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0" distR="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7" cstate="print"/>
                    <a:srcRect/>
                    <a:stretch>
                      <a:fillRect/>
                    </a:stretch>
                  </pic:blipFill>
                  <pic:spPr>
                    <a:xfrm>
                      <a:off x="0" y="0"/>
                      <a:ext cx="4288789" cy="690245"/>
                    </a:xfrm>
                    <a:prstGeom prst="rect">
                      <a:avLst/>
                    </a:prstGeom>
                    <a:ln>
                      <a:noFill/>
                    </a:ln>
                  </pic:spPr>
                </pic:pic>
              </a:graphicData>
            </a:graphic>
          </wp:anchor>
        </w:drawing>
      </w:r>
    </w:p>
    <w:p>
      <w:pPr>
        <w:pageBreakBefore w:val="0"/>
        <w:wordWrap/>
        <w:topLinePunct w:val="0"/>
        <w:bidi w:val="0"/>
        <w:spacing w:line="360" w:lineRule="auto"/>
        <w:jc w:val="center"/>
        <w:rPr>
          <w:rFonts w:hint="default" w:eastAsia="宋体"/>
          <w:b/>
          <w:color w:val="auto"/>
          <w:sz w:val="72"/>
          <w:highlight w:val="none"/>
          <w:lang w:val="en-US" w:eastAsia="zh-CN"/>
        </w:rPr>
      </w:pPr>
    </w:p>
    <w:p>
      <w:pPr>
        <w:pageBreakBefore w:val="0"/>
        <w:wordWrap/>
        <w:topLinePunct w:val="0"/>
        <w:bidi w:val="0"/>
        <w:spacing w:line="360" w:lineRule="auto"/>
        <w:jc w:val="both"/>
        <w:rPr>
          <w:b/>
          <w:color w:val="auto"/>
          <w:sz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 xml:space="preserve"> 南京现代表面处理科技产业中心项目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A地块建设工程临建配套空调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pPr>
        <w:pageBreakBefore w:val="0"/>
        <w:wordWrap/>
        <w:topLinePunct w:val="0"/>
        <w:bidi w:val="0"/>
        <w:spacing w:line="360" w:lineRule="auto"/>
        <w:jc w:val="both"/>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w:t>
      </w:r>
      <w:r>
        <w:rPr>
          <w:rFonts w:hint="eastAsia" w:ascii="Calibri" w:hAnsi="Calibri" w:eastAsia="宋体" w:cs="Times New Roman"/>
          <w:color w:val="auto"/>
          <w:sz w:val="28"/>
          <w:szCs w:val="28"/>
          <w:highlight w:val="none"/>
          <w:u w:val="none"/>
        </w:rPr>
        <w:t>东莞市中泰建安工程有限公司</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乙方（供方）：</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pPr>
        <w:pageBreakBefore w:val="0"/>
        <w:wordWrap/>
        <w:topLinePunct w:val="0"/>
        <w:bidi w:val="0"/>
        <w:spacing w:line="360" w:lineRule="auto"/>
        <w:jc w:val="both"/>
        <w:rPr>
          <w:rFonts w:hint="default" w:eastAsia="宋体"/>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pPr>
        <w:pageBreakBefore w:val="0"/>
        <w:wordWrap/>
        <w:topLinePunct w:val="0"/>
        <w:bidi w:val="0"/>
        <w:spacing w:before="0" w:after="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pPr>
        <w:pStyle w:val="7"/>
        <w:tabs>
          <w:tab w:val="right" w:leader="dot" w:pos="10206"/>
        </w:tabs>
        <w:rPr>
          <w:color w:val="auto"/>
          <w:highlight w:val="none"/>
        </w:rPr>
      </w:pPr>
      <w:bookmarkStart w:id="0" w:name="_Toc14412"/>
      <w:bookmarkStart w:id="1" w:name="_Toc1766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_Toc17474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color w:val="auto"/>
          <w:highlight w:val="none"/>
        </w:rPr>
        <w:t>3</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_Toc32399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4</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_Toc20399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_Toc20399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_Toc19751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_Toc28514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_Toc28514 \h </w:instrText>
      </w:r>
      <w:r>
        <w:rPr>
          <w:color w:val="auto"/>
          <w:highlight w:val="none"/>
        </w:rPr>
        <w:fldChar w:fldCharType="separate"/>
      </w:r>
      <w:r>
        <w:rPr>
          <w:color w:val="auto"/>
          <w:highlight w:val="none"/>
        </w:rPr>
        <w:t>13</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_Toc12600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_Toc12600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_Toc18645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_Toc18645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pP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color w:val="auto"/>
          <w:sz w:val="28"/>
          <w:szCs w:val="28"/>
          <w:highlight w:val="none"/>
          <w:u w:val="single"/>
          <w:lang w:val="en-US" w:eastAsia="zh-CN"/>
        </w:rPr>
        <w:t>南京现代表面处理科技产业中心项目一期A地块建设工程</w:t>
      </w:r>
      <w:r>
        <w:rPr>
          <w:rFonts w:hint="eastAsia" w:ascii="仿宋" w:hAnsi="仿宋" w:eastAsia="仿宋" w:cs="仿宋"/>
          <w:b w:val="0"/>
          <w:bCs w:val="0"/>
          <w:color w:val="auto"/>
          <w:kern w:val="2"/>
          <w:sz w:val="28"/>
          <w:szCs w:val="28"/>
          <w:highlight w:val="none"/>
          <w:u w:val="none"/>
          <w:lang w:val="en-US" w:eastAsia="zh-CN" w:bidi="ar-SA"/>
        </w:rPr>
        <w:t>项目”（以下简称“本项目”）的临建配套空调（以下简称“产品”）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17291"/>
      <w:bookmarkStart w:id="3" w:name="_Toc26009"/>
      <w:bookmarkStart w:id="4" w:name="_Toc30517"/>
      <w:bookmarkStart w:id="5" w:name="_Toc17474"/>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tbl>
      <w:tblPr>
        <w:tblStyle w:val="10"/>
        <w:tblW w:w="5157" w:type="pc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78"/>
        <w:gridCol w:w="1297"/>
        <w:gridCol w:w="1052"/>
        <w:gridCol w:w="2608"/>
        <w:gridCol w:w="470"/>
        <w:gridCol w:w="859"/>
        <w:gridCol w:w="1200"/>
        <w:gridCol w:w="1188"/>
        <w:gridCol w:w="678"/>
        <w:tblGridChange w:id="0">
          <w:tblGrid>
            <w:gridCol w:w="520"/>
            <w:gridCol w:w="878"/>
            <w:gridCol w:w="1297"/>
            <w:gridCol w:w="3660"/>
            <w:gridCol w:w="470"/>
            <w:gridCol w:w="859"/>
            <w:gridCol w:w="1200"/>
            <w:gridCol w:w="1188"/>
            <w:gridCol w:w="6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6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70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2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5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31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空调</w:t>
            </w:r>
          </w:p>
        </w:tc>
        <w:tc>
          <w:tcPr>
            <w:tcW w:w="6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70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1.5匹；挂机；含冷暖功能。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全新，包开孔、支架等辅材及安装。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含配套铜管长度</w:t>
            </w:r>
            <w:r>
              <w:rPr>
                <w:rFonts w:hint="eastAsia" w:ascii="仿宋" w:hAnsi="仿宋" w:eastAsia="仿宋" w:cs="仿宋"/>
                <w:b w:val="0"/>
                <w:bCs w:val="0"/>
                <w:color w:val="auto"/>
                <w:sz w:val="28"/>
                <w:szCs w:val="28"/>
                <w:highlight w:val="none"/>
                <w:u w:val="single"/>
                <w:vertAlign w:val="baseline"/>
                <w:lang w:val="en-US" w:eastAsia="zh-CN"/>
              </w:rPr>
              <w:t xml:space="preserve">   </w:t>
            </w:r>
            <w:r>
              <w:rPr>
                <w:rFonts w:hint="eastAsia" w:ascii="仿宋" w:hAnsi="仿宋" w:eastAsia="仿宋" w:cs="仿宋"/>
                <w:b w:val="0"/>
                <w:bCs w:val="0"/>
                <w:color w:val="auto"/>
                <w:sz w:val="28"/>
                <w:szCs w:val="28"/>
                <w:highlight w:val="none"/>
                <w:vertAlign w:val="baseline"/>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能效：</w:t>
            </w:r>
            <w:r>
              <w:rPr>
                <w:rFonts w:hint="eastAsia" w:ascii="仿宋" w:hAnsi="仿宋" w:eastAsia="仿宋" w:cs="仿宋"/>
                <w:b w:val="0"/>
                <w:bCs w:val="0"/>
                <w:color w:val="auto"/>
                <w:sz w:val="28"/>
                <w:szCs w:val="28"/>
                <w:highlight w:val="none"/>
                <w:u w:val="single"/>
                <w:vertAlign w:val="baseline"/>
                <w:lang w:val="en-US" w:eastAsia="zh-CN"/>
              </w:rPr>
              <w:t xml:space="preserve">   级</w:t>
            </w:r>
          </w:p>
        </w:tc>
        <w:tc>
          <w:tcPr>
            <w:tcW w:w="2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台</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118</w:t>
            </w:r>
          </w:p>
        </w:tc>
        <w:tc>
          <w:tcPr>
            <w:tcW w:w="5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空调</w:t>
            </w:r>
          </w:p>
        </w:tc>
        <w:tc>
          <w:tcPr>
            <w:tcW w:w="6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70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3匹；柜机；含冷暖功能。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全新，包开孔、支架等辅材及安装。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含配套铜管长度</w:t>
            </w:r>
            <w:r>
              <w:rPr>
                <w:rFonts w:hint="eastAsia" w:ascii="仿宋" w:hAnsi="仿宋" w:eastAsia="仿宋" w:cs="仿宋"/>
                <w:b w:val="0"/>
                <w:bCs w:val="0"/>
                <w:color w:val="auto"/>
                <w:sz w:val="28"/>
                <w:szCs w:val="28"/>
                <w:highlight w:val="none"/>
                <w:u w:val="single"/>
                <w:vertAlign w:val="baseline"/>
                <w:lang w:val="en-US" w:eastAsia="zh-CN"/>
              </w:rPr>
              <w:t xml:space="preserve">   </w:t>
            </w:r>
            <w:r>
              <w:rPr>
                <w:rFonts w:hint="eastAsia" w:ascii="仿宋" w:hAnsi="仿宋" w:eastAsia="仿宋" w:cs="仿宋"/>
                <w:b w:val="0"/>
                <w:bCs w:val="0"/>
                <w:color w:val="auto"/>
                <w:sz w:val="28"/>
                <w:szCs w:val="28"/>
                <w:highlight w:val="none"/>
                <w:vertAlign w:val="baseline"/>
                <w:lang w:val="en-US" w:eastAsia="zh-CN"/>
              </w:rPr>
              <w:t>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能效：</w:t>
            </w:r>
            <w:r>
              <w:rPr>
                <w:rFonts w:hint="eastAsia" w:ascii="仿宋" w:hAnsi="仿宋" w:eastAsia="仿宋" w:cs="仿宋"/>
                <w:b w:val="0"/>
                <w:bCs w:val="0"/>
                <w:color w:val="auto"/>
                <w:sz w:val="28"/>
                <w:szCs w:val="28"/>
                <w:highlight w:val="none"/>
                <w:u w:val="single"/>
                <w:vertAlign w:val="baseline"/>
                <w:lang w:val="en-US" w:eastAsia="zh-CN"/>
              </w:rPr>
              <w:t xml:space="preserve">   级</w:t>
            </w:r>
          </w:p>
        </w:tc>
        <w:tc>
          <w:tcPr>
            <w:tcW w:w="2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台</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5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铜管</w:t>
            </w:r>
          </w:p>
        </w:tc>
        <w:tc>
          <w:tcPr>
            <w:tcW w:w="6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70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标配外还需额外增加所需铜管长度</w:t>
            </w:r>
          </w:p>
        </w:tc>
        <w:tc>
          <w:tcPr>
            <w:tcW w:w="2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w:t>
            </w: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10</w:t>
            </w:r>
          </w:p>
        </w:tc>
        <w:tc>
          <w:tcPr>
            <w:tcW w:w="5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41"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N</w:t>
            </w:r>
          </w:p>
        </w:tc>
        <w:tc>
          <w:tcPr>
            <w:tcW w:w="40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60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702" w:type="pct"/>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1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9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55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1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742" w:type="pct"/>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合同暂定总价（1+2+…+N）</w:t>
            </w:r>
          </w:p>
        </w:tc>
        <w:tc>
          <w:tcPr>
            <w:tcW w:w="3257" w:type="pct"/>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 xml:space="preserve">元 </w:t>
            </w:r>
          </w:p>
        </w:tc>
      </w:tr>
    </w:tbl>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t>产品安装由：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产品调试由：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所需费用已含在本合同单价内无需另计。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yellow"/>
          <w:u w:val="single"/>
          <w:vertAlign w:val="baseline"/>
          <w:lang w:val="en-US" w:eastAsia="zh-CN"/>
        </w:rPr>
        <w:t>/</w:t>
      </w:r>
      <w:r>
        <w:rPr>
          <w:rFonts w:hint="eastAsia" w:ascii="仿宋" w:hAnsi="仿宋" w:eastAsia="仿宋" w:cs="仿宋"/>
          <w:color w:val="auto"/>
          <w:sz w:val="28"/>
          <w:szCs w:val="28"/>
          <w:highlight w:val="none"/>
          <w:u w:val="singl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1.5合同单价已包含各种保险费用，乙方不得另计保险而向甲方索要费用。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6" w:name="_Toc16052"/>
      <w:bookmarkStart w:id="7" w:name="_Toc32399"/>
      <w:bookmarkStart w:id="8" w:name="_Toc2446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r>
        <w:rPr>
          <w:rFonts w:hint="eastAsia" w:ascii="仿宋" w:hAnsi="仿宋" w:eastAsia="仿宋" w:cs="仿宋"/>
          <w:b/>
          <w:bCs/>
          <w:color w:val="auto"/>
          <w:sz w:val="28"/>
          <w:highlight w:val="none"/>
          <w:lang w:eastAsia="zh-CN"/>
        </w:rPr>
        <w:t>（视定标文件具体情况而定）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办法一、有预付款：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2.1.1本合同生效后，甲方支付合同暂定总价的</w:t>
      </w:r>
      <w:r>
        <w:rPr>
          <w:rFonts w:hint="eastAsia" w:ascii="仿宋" w:hAnsi="仿宋" w:eastAsia="仿宋" w:cs="仿宋"/>
          <w:color w:val="auto"/>
          <w:sz w:val="28"/>
          <w:highlight w:val="none"/>
          <w:u w:val="single"/>
          <w:lang w:val="en-US" w:eastAsia="zh-CN"/>
        </w:rPr>
        <w:t xml:space="preserve">30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20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highlight w:val="yellow"/>
        </w:rPr>
      </w:pPr>
      <w:r>
        <w:rPr>
          <w:rFonts w:hint="eastAsia" w:ascii="仿宋" w:hAnsi="仿宋" w:eastAsia="仿宋" w:cs="仿宋"/>
          <w:color w:val="auto"/>
          <w:sz w:val="28"/>
          <w:highlight w:val="yellow"/>
          <w:u w:val="none"/>
          <w:lang w:val="en-US" w:eastAsia="zh-CN"/>
        </w:rPr>
        <w:t>2.1.2产品到齐交货地点完成安装调试，经甲方验收合格并移交甲方正常使用，甲方收齐金额等于产品总价的发票等相关资料后付至产品总价的</w:t>
      </w:r>
      <w:r>
        <w:rPr>
          <w:rFonts w:hint="eastAsia" w:ascii="仿宋" w:hAnsi="仿宋" w:eastAsia="仿宋" w:cs="仿宋"/>
          <w:color w:val="auto"/>
          <w:sz w:val="28"/>
          <w:highlight w:val="yellow"/>
          <w:u w:val="single"/>
          <w:lang w:val="en-US" w:eastAsia="zh-CN"/>
        </w:rPr>
        <w:t xml:space="preserve"> 97 </w:t>
      </w:r>
      <w:r>
        <w:rPr>
          <w:rFonts w:hint="eastAsia" w:ascii="仿宋" w:hAnsi="仿宋" w:eastAsia="仿宋" w:cs="仿宋"/>
          <w:color w:val="auto"/>
          <w:sz w:val="28"/>
          <w:highlight w:val="yellow"/>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2.1.3产品总价的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办法二、月结，无预付款：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2.1.1每月货款下月支付，具体为:乙方按合同约定的时间交齐上月货款对账资料且与甲方完成对账后，甲方支付上月货款的</w:t>
      </w:r>
      <w:r>
        <w:rPr>
          <w:rFonts w:hint="eastAsia" w:ascii="仿宋" w:hAnsi="仿宋" w:eastAsia="仿宋" w:cs="仿宋"/>
          <w:color w:val="auto"/>
          <w:sz w:val="28"/>
          <w:highlight w:val="none"/>
          <w:u w:val="single"/>
          <w:lang w:val="en-US" w:eastAsia="zh-CN"/>
        </w:rPr>
        <w:t xml:space="preserve"> 100 </w:t>
      </w:r>
      <w:r>
        <w:rPr>
          <w:rFonts w:hint="eastAsia" w:ascii="仿宋" w:hAnsi="仿宋" w:eastAsia="仿宋" w:cs="仿宋"/>
          <w:color w:val="auto"/>
          <w:sz w:val="28"/>
          <w:highlight w:val="none"/>
          <w:u w:val="none"/>
          <w:lang w:val="en-US" w:eastAsia="zh-CN"/>
        </w:rPr>
        <w:t>%，上月货款的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%作为产品保修金，保修期满且乙方取得“保修合格证明”后，双方无息结清保修金。乙方逾期交齐对账资料或完成对账的，付款日期顺延至货款完成对账月份的下月底前。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时还须提供“同意延迟付款声明函”（格式详见附件二）给甲方，以此类推。(例：乙方在6月3日前交齐5月份货款的对账资料给甲方项目部并在6月8日完成对账的，则甲方在6月30日前支付5月份货款的</w:t>
      </w:r>
      <w:r>
        <w:rPr>
          <w:rFonts w:hint="eastAsia" w:ascii="仿宋" w:hAnsi="仿宋" w:eastAsia="仿宋" w:cs="仿宋"/>
          <w:color w:val="auto"/>
          <w:sz w:val="28"/>
          <w:highlight w:val="none"/>
          <w:u w:val="single"/>
          <w:lang w:val="en-US" w:eastAsia="zh-CN"/>
        </w:rPr>
        <w:t xml:space="preserve"> 100 </w:t>
      </w:r>
      <w:r>
        <w:rPr>
          <w:rFonts w:hint="eastAsia" w:ascii="仿宋" w:hAnsi="仿宋" w:eastAsia="仿宋" w:cs="仿宋"/>
          <w:color w:val="auto"/>
          <w:sz w:val="28"/>
          <w:highlight w:val="none"/>
          <w:u w:val="none"/>
          <w:lang w:val="en-US" w:eastAsia="zh-CN"/>
        </w:rPr>
        <w:t>%，余款作为保修金；若乙方6月4日（或更迟）交齐5月份货款的对账资料给甲方，则5月份货款的对账时间顺延至7月3日至8日，付款时间顺延至7月31日前，以此类推。)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乙方对账单（结算单）、本合同复印件（含调价函）、材料签收单、乙方送货单（发货单）、材料收货水印照片、材料款申报审批表、款项支付台账、供应商月度对账单、结清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办法三、其他办法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方支付完货款（不含保修金）后，视为乙方关于除保修金外的合同款支付事宜的全部权利消灭，乙方不得基于合同款支付事宜向甲方提出任何权利主张或追索其他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 xml:space="preserve"> </w:t>
      </w:r>
      <w:r>
        <w:rPr>
          <w:rFonts w:hint="eastAsia" w:ascii="仿宋" w:hAnsi="仿宋" w:eastAsia="仿宋" w:cs="仿宋"/>
          <w:color w:val="auto"/>
          <w:sz w:val="28"/>
          <w:highlight w:val="yellow"/>
          <w:u w:val="single"/>
          <w:vertAlign w:val="baseli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vertAlign w:val="baseline"/>
          <w:lang w:val="en-US" w:eastAsia="zh-CN"/>
        </w:rPr>
        <w:t xml:space="preserve">   按空调出厂包装标准。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包装物归甲方所有，费用已含于合同单价中。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19751"/>
      <w:bookmarkStart w:id="14" w:name="_Toc29235"/>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yellow"/>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以经甲方本合同执行联系人、施工员等相关岗位人员签名的物材料申购单（格式详见附件《物料申购单》）扫描件为准，详见第4.4.1条约定。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南京市六合区甲方项目部指定位置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 3</w:t>
      </w:r>
      <w:r>
        <w:rPr>
          <w:rFonts w:hint="eastAsia" w:ascii="仿宋" w:hAnsi="仿宋" w:eastAsia="仿宋" w:cs="仿宋"/>
          <w:b/>
          <w:bCs/>
          <w:color w:val="auto"/>
          <w:sz w:val="28"/>
          <w:highlight w:val="none"/>
          <w:u w:val="single"/>
          <w:lang w:val="en-US" w:eastAsia="zh-CN"/>
        </w:rPr>
        <w:t xml:space="preserve"> 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完成安装、调试并移交甲方正常使用。</w:t>
      </w:r>
      <w:r>
        <w:rPr>
          <w:rFonts w:hint="eastAsia" w:ascii="仿宋" w:hAnsi="仿宋" w:eastAsia="仿宋" w:cs="仿宋"/>
          <w:color w:val="auto"/>
          <w:sz w:val="28"/>
          <w:highlight w:val="none"/>
          <w:u w:val="single"/>
          <w:lang w:eastAsia="zh-CN"/>
        </w:rPr>
        <w:t>（按定标文件实际情况填写）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ascii="仿宋" w:hAnsi="仿宋" w:eastAsia="仿宋" w:cs="仿宋"/>
          <w:b w:val="0"/>
          <w:bCs w:val="0"/>
          <w:color w:val="000000"/>
          <w:sz w:val="28"/>
          <w:szCs w:val="28"/>
          <w:u w:val="single"/>
        </w:rPr>
        <w:t>彭善海（手机号码：13592796498）</w:t>
      </w:r>
      <w:r>
        <w:rPr>
          <w:rFonts w:hint="eastAsia" w:ascii="仿宋" w:hAnsi="仿宋" w:eastAsia="仿宋" w:cs="仿宋"/>
          <w:b w:val="0"/>
          <w:bCs w:val="0"/>
          <w:color w:val="auto"/>
          <w:sz w:val="28"/>
          <w:highlight w:val="none"/>
          <w:lang w:val="en-US" w:eastAsia="zh-CN"/>
        </w:rPr>
        <w:t>为本合同甲方执行联系人；</w:t>
      </w:r>
      <w:r>
        <w:rPr>
          <w:rFonts w:hint="eastAsia" w:ascii="仿宋" w:hAnsi="仿宋" w:eastAsia="仿宋" w:cs="仿宋"/>
          <w:b w:val="0"/>
          <w:bCs w:val="0"/>
          <w:color w:val="auto"/>
          <w:sz w:val="28"/>
          <w:highlight w:val="yellow"/>
          <w:lang w:val="en-US" w:eastAsia="zh-CN"/>
        </w:rPr>
        <w:t>指定</w:t>
      </w:r>
      <w:r>
        <w:rPr>
          <w:rFonts w:hint="eastAsia" w:ascii="仿宋" w:hAnsi="仿宋" w:eastAsia="仿宋" w:cs="仿宋"/>
          <w:sz w:val="28"/>
          <w:highlight w:val="yellow"/>
          <w:u w:val="single"/>
        </w:rPr>
        <w:t>熊斌华</w:t>
      </w:r>
      <w:r>
        <w:rPr>
          <w:rFonts w:hint="eastAsia" w:ascii="仿宋" w:hAnsi="仿宋" w:eastAsia="仿宋" w:cs="仿宋"/>
          <w:b w:val="0"/>
          <w:bCs w:val="0"/>
          <w:color w:val="auto"/>
          <w:sz w:val="28"/>
          <w:highlight w:val="yellow"/>
          <w:lang w:val="en-US" w:eastAsia="zh-CN"/>
        </w:rPr>
        <w:t>为产品签收人，联系电话</w:t>
      </w:r>
      <w:r>
        <w:rPr>
          <w:rFonts w:hint="eastAsia" w:ascii="仿宋" w:hAnsi="仿宋" w:eastAsia="仿宋" w:cs="仿宋"/>
          <w:b w:val="0"/>
          <w:bCs w:val="0"/>
          <w:color w:val="auto"/>
          <w:sz w:val="28"/>
          <w:highlight w:val="yellow"/>
          <w:u w:val="single"/>
          <w:lang w:val="en-US" w:eastAsia="zh-CN"/>
        </w:rPr>
        <w:t xml:space="preserve"> </w:t>
      </w:r>
      <w:r>
        <w:rPr>
          <w:rFonts w:hint="eastAsia" w:ascii="仿宋" w:hAnsi="仿宋" w:eastAsia="仿宋" w:cs="仿宋"/>
          <w:color w:val="auto"/>
          <w:sz w:val="28"/>
          <w:highlight w:val="yellow"/>
          <w:u w:val="single"/>
        </w:rPr>
        <w:t xml:space="preserve"> 13650073789</w:t>
      </w:r>
      <w:r>
        <w:rPr>
          <w:rFonts w:hint="eastAsia" w:ascii="仿宋" w:hAnsi="仿宋" w:eastAsia="仿宋" w:cs="仿宋"/>
          <w:b w:val="0"/>
          <w:bCs w:val="0"/>
          <w:color w:val="auto"/>
          <w:sz w:val="28"/>
          <w:highlight w:val="yellow"/>
          <w:u w:val="single"/>
          <w:lang w:val="en-US" w:eastAsia="zh-CN"/>
        </w:rPr>
        <w:t xml:space="preserve"> </w:t>
      </w:r>
      <w:r>
        <w:rPr>
          <w:rFonts w:hint="eastAsia" w:ascii="仿宋" w:hAnsi="仿宋" w:eastAsia="仿宋" w:cs="仿宋"/>
          <w:b w:val="0"/>
          <w:bCs w:val="0"/>
          <w:color w:val="auto"/>
          <w:sz w:val="28"/>
          <w:highlight w:val="yellow"/>
          <w:lang w:val="en-US" w:eastAsia="zh-CN"/>
        </w:rPr>
        <w:t>。</w:t>
      </w:r>
      <w:r>
        <w:rPr>
          <w:rFonts w:hint="eastAsia" w:ascii="仿宋" w:hAnsi="仿宋" w:eastAsia="仿宋" w:cs="仿宋"/>
          <w:b w:val="0"/>
          <w:bCs w:val="0"/>
          <w:color w:val="auto"/>
          <w:sz w:val="28"/>
          <w:highlight w:val="no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仅签名的文件亦无效。甲方项目负责人、合同执行联系人变更的，甲方将以书面形式通知乙方。</w:t>
      </w:r>
    </w:p>
    <w:p>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w:t>
      </w:r>
      <w:r>
        <w:rPr>
          <w:rFonts w:hint="eastAsia" w:ascii="仿宋" w:hAnsi="仿宋" w:eastAsia="仿宋" w:cs="仿宋"/>
          <w:b w:val="0"/>
          <w:bCs w:val="0"/>
          <w:color w:val="auto"/>
          <w:sz w:val="28"/>
          <w:highlight w:val="none"/>
          <w:u w:val="none"/>
          <w:lang w:val="en-US" w:eastAsia="zh-CN"/>
        </w:rPr>
        <w:t>不</w:t>
      </w:r>
      <w:r>
        <w:rPr>
          <w:rFonts w:hint="eastAsia" w:ascii="仿宋" w:hAnsi="仿宋" w:eastAsia="仿宋" w:cs="仿宋"/>
          <w:b w:val="0"/>
          <w:bCs w:val="0"/>
          <w:color w:val="auto"/>
          <w:sz w:val="28"/>
          <w:highlight w:val="none"/>
          <w:u w:val="none"/>
          <w:lang w:eastAsia="zh-CN"/>
        </w:rPr>
        <w:t>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FF0000"/>
          <w:sz w:val="28"/>
          <w:highlight w:val="none"/>
          <w:lang w:val="en-US" w:eastAsia="zh-CN"/>
        </w:rPr>
        <w:t>本合同有更长期限约定</w:t>
      </w:r>
      <w:bookmarkStart w:id="25" w:name="_GoBack"/>
      <w:bookmarkEnd w:id="25"/>
      <w:r>
        <w:rPr>
          <w:rFonts w:hint="eastAsia" w:ascii="仿宋" w:hAnsi="仿宋" w:eastAsia="仿宋" w:cs="仿宋"/>
          <w:color w:val="FF0000"/>
          <w:sz w:val="28"/>
          <w:highlight w:val="none"/>
          <w:lang w:val="en-US" w:eastAsia="zh-CN"/>
        </w:rPr>
        <w:t>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lang w:val="en-US" w:eastAsia="zh-CN"/>
        </w:rPr>
        <w:t>三</w:t>
      </w:r>
      <w:r>
        <w:rPr>
          <w:rFonts w:hint="eastAsia" w:ascii="仿宋" w:hAnsi="仿宋" w:eastAsia="仿宋" w:cs="仿宋"/>
          <w:color w:val="auto"/>
          <w:sz w:val="28"/>
          <w:highlight w:val="none"/>
          <w:lang w:eastAsia="zh-CN"/>
        </w:rPr>
        <w:t>年免费</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期自产品经甲方</w:t>
      </w:r>
      <w:r>
        <w:rPr>
          <w:rFonts w:hint="eastAsia" w:ascii="仿宋" w:hAnsi="仿宋" w:eastAsia="仿宋" w:cs="仿宋"/>
          <w:color w:val="auto"/>
          <w:sz w:val="28"/>
          <w:highlight w:val="none"/>
          <w:lang w:val="en-US" w:eastAsia="zh-CN"/>
        </w:rPr>
        <w:t>形式</w:t>
      </w:r>
      <w:r>
        <w:rPr>
          <w:rFonts w:hint="eastAsia" w:ascii="仿宋" w:hAnsi="仿宋" w:eastAsia="仿宋" w:cs="仿宋"/>
          <w:color w:val="auto"/>
          <w:sz w:val="28"/>
          <w:highlight w:val="none"/>
        </w:rPr>
        <w:t>验收合格并</w:t>
      </w:r>
      <w:r>
        <w:rPr>
          <w:rFonts w:hint="eastAsia" w:ascii="仿宋" w:hAnsi="仿宋" w:eastAsia="仿宋" w:cs="仿宋"/>
          <w:color w:val="auto"/>
          <w:sz w:val="28"/>
          <w:highlight w:val="none"/>
          <w:lang w:val="en-US" w:eastAsia="zh-CN"/>
        </w:rPr>
        <w:t>且本</w:t>
      </w:r>
      <w:r>
        <w:rPr>
          <w:rFonts w:hint="eastAsia" w:ascii="仿宋" w:hAnsi="仿宋" w:eastAsia="仿宋" w:cs="仿宋"/>
          <w:color w:val="auto"/>
          <w:sz w:val="28"/>
          <w:highlight w:val="none"/>
          <w:u w:val="none"/>
          <w:lang w:val="en-US" w:eastAsia="zh-CN"/>
        </w:rPr>
        <w:t>项目经建设单位竣工验收合格</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甲方形式验收仅查验合格证、数量、外观等，本</w:t>
      </w:r>
      <w:r>
        <w:rPr>
          <w:rFonts w:hint="eastAsia" w:ascii="仿宋" w:hAnsi="仿宋" w:eastAsia="仿宋" w:cs="仿宋"/>
          <w:color w:val="auto"/>
          <w:sz w:val="28"/>
          <w:highlight w:val="none"/>
          <w:u w:val="none"/>
          <w:lang w:val="en-US" w:eastAsia="zh-CN"/>
        </w:rPr>
        <w:t>项目经建设单位竣工验收合格视为乙方的产品验收合格</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安排第三方修复，同时乙方同意甲方从与乙方签订的其他合同款项中直接扣款用于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抵扣上述修复费用和损失。甲乙双方特别约定本条款不因本合同的终止而失效。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10040"/>
      <w:bookmarkStart w:id="16" w:name="_Toc28514"/>
      <w:bookmarkStart w:id="17" w:name="_Toc25201"/>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甲方有权直接从应付合同款中直接扣除乙方应承担的违约金、罚款等费用，如应付合同款及乙方支付的违约金、罚款不足补偿甲方损失，乙方在甲方通知之日起七个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29740"/>
      <w:bookmarkStart w:id="19" w:name="_Toc12600"/>
      <w:bookmarkStart w:id="20" w:name="_Toc2026"/>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8226"/>
      <w:bookmarkStart w:id="22" w:name="_Toc23013"/>
      <w:bookmarkStart w:id="23" w:name="_Toc18645"/>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w:t>
      </w:r>
      <w:r>
        <w:rPr>
          <w:rFonts w:hint="eastAsia" w:ascii="仿宋" w:hAnsi="仿宋" w:eastAsia="仿宋" w:cs="仿宋"/>
          <w:b w:val="0"/>
          <w:bCs w:val="0"/>
          <w:color w:val="auto"/>
          <w:sz w:val="28"/>
          <w:highlight w:val="none"/>
          <w:u w:val="none"/>
          <w:shd w:val="clear" w:color="auto" w:fill="auto"/>
          <w:lang w:val="en-US" w:eastAsia="zh-CN"/>
        </w:rPr>
        <w:t>均</w:t>
      </w:r>
      <w:r>
        <w:rPr>
          <w:rFonts w:hint="eastAsia" w:ascii="仿宋" w:hAnsi="仿宋" w:eastAsia="仿宋" w:cs="仿宋"/>
          <w:b w:val="0"/>
          <w:bCs w:val="0"/>
          <w:color w:val="auto"/>
          <w:sz w:val="28"/>
          <w:highlight w:val="none"/>
          <w:u w:val="none"/>
          <w:shd w:val="clear" w:color="auto" w:fill="auto"/>
          <w:lang w:eastAsia="zh-CN"/>
        </w:rPr>
        <w:t>须同时具备甲方公章及法定代表人（或授权代表人）签名，否则均不对甲方产生约束力，除非事后获得甲方另行追认。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eastAsia="zh-CN"/>
        </w:rPr>
        <w:t>控。如果出现此类情况，由乙方与第三方交涉并承担一切费用和责任，如造成甲方损失的，乙方向甲方赔偿。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rPr>
        <w:t>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保修义务、责任除外）之日起，本合同其余条款（保修条款除外）自动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7.17甲乙双方均确认已经审阅并理解本合同的全部条款，且已经就条款相关的任何疑问得到满意的解释，并确认本合同的条款为双方本着诚信互利的原则友好协商一致的结果，不属于任何一方的格式条款。</w:t>
      </w:r>
    </w:p>
    <w:bookmarkEnd w:id="24"/>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yellow"/>
          <w:u w:val="none"/>
          <w:lang w:val="en-US" w:eastAsia="zh-CN"/>
        </w:rPr>
      </w:pPr>
      <w:r>
        <w:rPr>
          <w:rFonts w:hint="eastAsia" w:ascii="仿宋" w:hAnsi="仿宋" w:eastAsia="仿宋" w:cs="仿宋"/>
          <w:color w:val="auto"/>
          <w:sz w:val="28"/>
          <w:highlight w:val="yellow"/>
          <w:u w:val="none"/>
          <w:lang w:val="en-US" w:eastAsia="zh-CN"/>
        </w:rPr>
        <w:t>附件七：《物料申购单》</w:t>
      </w:r>
      <w:r>
        <w:rPr>
          <w:rFonts w:hint="default" w:ascii="仿宋" w:hAnsi="仿宋" w:eastAsia="仿宋" w:cs="仿宋"/>
          <w:color w:val="auto"/>
          <w:sz w:val="28"/>
          <w:highlight w:val="yellow"/>
          <w:u w:val="none"/>
          <w:lang w:val="en-US" w:eastAsia="zh-CN"/>
        </w:rPr>
        <w:t>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签约代表：XXX                                   签约代表:XX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28"/>
          <w:szCs w:val="22"/>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p>
    <w:p>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br w:type="column"/>
      </w:r>
      <w:r>
        <w:rPr>
          <w:rFonts w:hint="eastAsia" w:ascii="仿宋" w:hAnsi="仿宋" w:eastAsia="仿宋" w:cs="仿宋"/>
          <w:b/>
          <w:bCs/>
          <w:color w:val="auto"/>
          <w:sz w:val="44"/>
          <w:szCs w:val="44"/>
          <w:highlight w:val="none"/>
          <w:lang w:val="en-US" w:eastAsia="zh-CN"/>
        </w:rPr>
        <w:t>附件一</w:t>
      </w:r>
    </w:p>
    <w:p>
      <w:pPr>
        <w:jc w:val="right"/>
        <w:rPr>
          <w:rFonts w:hint="default" w:ascii="仿宋" w:hAnsi="仿宋" w:eastAsia="仿宋" w:cs="仿宋"/>
          <w:b/>
          <w:bCs/>
          <w:color w:val="auto"/>
          <w:sz w:val="44"/>
          <w:szCs w:val="44"/>
          <w:highlight w:val="none"/>
          <w:lang w:val="en-US" w:eastAsia="zh-CN"/>
        </w:rPr>
      </w:pPr>
    </w:p>
    <w:p>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pPr>
        <w:pStyle w:val="3"/>
        <w:spacing w:before="97" w:line="222" w:lineRule="auto"/>
        <w:ind w:left="23"/>
        <w:rPr>
          <w:color w:val="auto"/>
          <w:sz w:val="28"/>
          <w:szCs w:val="28"/>
        </w:rPr>
      </w:pPr>
      <w:r>
        <w:rPr>
          <w:color w:val="auto"/>
          <w:spacing w:val="-2"/>
          <w:sz w:val="28"/>
          <w:szCs w:val="28"/>
        </w:rPr>
        <w:t>致：东莞市中泰建安工程有限公司</w:t>
      </w:r>
    </w:p>
    <w:p>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供应商，履约期间的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全部结清，我司合同中的所有权利全部消灭，我司将不再以任何理由、任何方式就该项目的合作向贵司提出任何权利主张或追索任何费用，同时我司相应的义务和责任按照合同执行。</w:t>
      </w:r>
    </w:p>
    <w:p>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pPr>
        <w:spacing w:line="261" w:lineRule="auto"/>
        <w:rPr>
          <w:rFonts w:ascii="Arial"/>
          <w:color w:val="auto"/>
          <w:sz w:val="20"/>
          <w:szCs w:val="22"/>
        </w:rPr>
      </w:pPr>
    </w:p>
    <w:p>
      <w:pPr>
        <w:spacing w:line="261" w:lineRule="auto"/>
        <w:rPr>
          <w:rFonts w:ascii="Arial"/>
          <w:color w:val="auto"/>
          <w:sz w:val="20"/>
          <w:szCs w:val="22"/>
        </w:rPr>
      </w:pPr>
    </w:p>
    <w:p>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pPr>
        <w:spacing w:line="281" w:lineRule="auto"/>
        <w:rPr>
          <w:rFonts w:ascii="Arial"/>
          <w:color w:val="auto"/>
          <w:sz w:val="20"/>
          <w:szCs w:val="22"/>
        </w:rPr>
      </w:pPr>
    </w:p>
    <w:p>
      <w:pPr>
        <w:spacing w:line="281" w:lineRule="auto"/>
        <w:rPr>
          <w:rFonts w:ascii="Arial"/>
          <w:color w:val="auto"/>
          <w:sz w:val="20"/>
          <w:szCs w:val="22"/>
        </w:rPr>
      </w:pPr>
    </w:p>
    <w:p>
      <w:pPr>
        <w:spacing w:line="281" w:lineRule="auto"/>
        <w:rPr>
          <w:rFonts w:ascii="Arial"/>
          <w:color w:val="auto"/>
          <w:sz w:val="20"/>
          <w:szCs w:val="22"/>
        </w:rPr>
      </w:pPr>
      <w:r>
        <w:rPr>
          <w:color w:val="auto"/>
          <w:sz w:val="20"/>
          <w:szCs w:val="22"/>
        </w:rPr>
        <mc:AlternateContent>
          <mc:Choice Requires="wps">
            <w:drawing>
              <wp:anchor distT="0" distB="0" distL="0" distR="0" simplePos="0" relativeHeight="251659264"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1027"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rect l="l" t="t" r="r" b="b"/>
                          <a:pathLst>
                            <a:path w="9970" h="15">
                              <a:moveTo>
                                <a:pt x="0" y="7"/>
                              </a:moveTo>
                              <a:lnTo>
                                <a:pt x="9969" y="7"/>
                              </a:lnTo>
                            </a:path>
                          </a:pathLst>
                        </a:custGeom>
                        <a:ln w="9144" cap="flat" cmpd="sng">
                          <a:solidFill>
                            <a:srgbClr val="000000"/>
                          </a:solidFill>
                          <a:prstDash val="dash"/>
                          <a:bevel/>
                          <a:headEnd type="none" w="med" len="med"/>
                          <a:tailEnd type="none" w="med" len="med"/>
                        </a:ln>
                      </wps:spPr>
                      <wps:bodyPr/>
                    </wps:wsp>
                  </a:graphicData>
                </a:graphic>
              </wp:anchor>
            </w:drawing>
          </mc:Choice>
          <mc:Fallback>
            <w:pict>
              <v:shape id="任意多边形 3" o:spid="_x0000_s1026" o:spt="100" style="position:absolute;left:0pt;margin-left:0.35pt;margin-top:2.3pt;height:0.75pt;width:498.5pt;z-index:251659264;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qN7+1AAAAAQBAAAPAAAAAAAAAAEAIAAAACIAAABkcnMv&#10;ZG93bnJldi54bWxQSwECFAAUAAAACACHTuJAKqSy2UACAACiBAAADgAAAAAAAAABACAAAAAjAQAA&#10;ZHJzL2Uyb0RvYy54bWxQSwUGAAAAAAYABgBZAQAA1QUAAAAA&#10;" path="m0,7l9969,7e">
                <v:fill on="f" focussize="0,0"/>
                <v:stroke weight="0.72pt" color="#000000" joinstyle="bevel" dashstyle="dash"/>
                <v:imagedata o:title=""/>
                <o:lock v:ext="edit" aspectratio="f"/>
              </v:shape>
            </w:pict>
          </mc:Fallback>
        </mc:AlternateContent>
      </w:r>
    </w:p>
    <w:p>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pPr>
        <w:numPr>
          <w:ilvl w:val="0"/>
          <w:numId w:val="0"/>
        </w:numPr>
        <w:ind w:leftChars="0"/>
        <w:jc w:val="left"/>
        <w:rPr>
          <w:rFonts w:hint="eastAsia" w:ascii="仿宋" w:hAnsi="仿宋" w:eastAsia="仿宋" w:cs="仿宋"/>
          <w:bCs/>
          <w:color w:val="auto"/>
          <w:kern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color w:val="auto"/>
          <w:sz w:val="44"/>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pPr>
        <w:pStyle w:val="8"/>
        <w:pageBreakBefore w:val="0"/>
        <w:wordWrap/>
        <w:topLinePunct w:val="0"/>
        <w:bidi w:val="0"/>
        <w:spacing w:line="360" w:lineRule="auto"/>
        <w:ind w:left="0" w:leftChars="0" w:firstLine="0" w:firstLineChars="0"/>
        <w:rPr>
          <w:rFonts w:hint="default" w:ascii="仿宋" w:hAnsi="仿宋" w:eastAsia="仿宋" w:cs="仿宋"/>
          <w:b/>
          <w:bCs/>
          <w:color w:val="auto"/>
          <w:sz w:val="30"/>
          <w:highlight w:val="none"/>
          <w:lang w:val="en-US" w:eastAsia="zh-CN"/>
        </w:rPr>
      </w:pPr>
    </w:p>
    <w:p>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pPr>
        <w:pageBreakBefore w:val="0"/>
        <w:wordWrap/>
        <w:topLinePunct w:val="0"/>
        <w:bidi w:val="0"/>
        <w:spacing w:line="360" w:lineRule="auto"/>
        <w:rPr>
          <w:rFonts w:cs="宋体"/>
          <w:color w:val="auto"/>
          <w:highlight w:val="none"/>
        </w:rPr>
      </w:pPr>
    </w:p>
    <w:p>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tcPr>
          <w:p>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p>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484"/>
        <w:gridCol w:w="1117"/>
        <w:gridCol w:w="1117"/>
        <w:gridCol w:w="1570"/>
        <w:gridCol w:w="2017"/>
        <w:gridCol w:w="1117"/>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rPr>
            </w:pPr>
            <w:r>
              <w:rPr>
                <w:rFonts w:hint="eastAsia" w:ascii="仿宋" w:hAnsi="仿宋" w:eastAsia="仿宋" w:cs="仿宋"/>
                <w:b/>
                <w:bCs/>
                <w:i w:val="0"/>
                <w:iCs w:val="0"/>
                <w:color w:val="auto"/>
                <w:kern w:val="0"/>
                <w:sz w:val="44"/>
                <w:szCs w:val="44"/>
                <w:highlight w:val="none"/>
                <w:u w:val="none"/>
                <w:lang w:val="en-US" w:eastAsia="zh-CN"/>
              </w:rPr>
              <w:t>附件四</w:t>
            </w:r>
          </w:p>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rPr>
              <w:t>款项支付台账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合同名称：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付款公司名称：东莞市中泰建安工程有限公司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71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收/付款日期</w:t>
            </w:r>
            <w:r>
              <w:rPr>
                <w:rFonts w:hint="eastAsia" w:ascii="仿宋" w:hAnsi="仿宋" w:eastAsia="仿宋" w:cs="仿宋"/>
                <w:i w:val="0"/>
                <w:iCs w:val="0"/>
                <w:color w:val="auto"/>
                <w:kern w:val="0"/>
                <w:sz w:val="22"/>
                <w:szCs w:val="22"/>
                <w:highlight w:val="none"/>
                <w:u w:val="none"/>
                <w:lang w:val="en-US" w:eastAsia="zh-CN"/>
              </w:rPr>
              <w:br w:type="textWrapping"/>
            </w:r>
            <w:r>
              <w:rPr>
                <w:rFonts w:hint="eastAsia" w:ascii="仿宋" w:hAnsi="仿宋" w:eastAsia="仿宋" w:cs="仿宋"/>
                <w:i w:val="0"/>
                <w:iCs w:val="0"/>
                <w:color w:val="auto"/>
                <w:kern w:val="0"/>
                <w:sz w:val="22"/>
                <w:szCs w:val="22"/>
                <w:highlight w:val="none"/>
                <w:u w:val="none"/>
                <w:lang w:val="en-US" w:eastAsia="zh-CN"/>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22" w:type="pct"/>
            <w:gridSpan w:val="2"/>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制表人：</w:t>
            </w: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制表日期：</w:t>
            </w:r>
          </w:p>
        </w:tc>
        <w:tc>
          <w:tcPr>
            <w:tcW w:w="535" w:type="pct"/>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收款公司名称：</w:t>
            </w:r>
          </w:p>
        </w:tc>
        <w:tc>
          <w:tcPr>
            <w:tcW w:w="535"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10"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（加盖公章）</w:t>
            </w:r>
          </w:p>
        </w:tc>
        <w:tc>
          <w:tcPr>
            <w:tcW w:w="535" w:type="pct"/>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收款公司负责人：</w:t>
            </w:r>
          </w:p>
        </w:tc>
        <w:tc>
          <w:tcPr>
            <w:tcW w:w="535" w:type="pct"/>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0"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p>
    <w:p>
      <w:pPr>
        <w:rPr>
          <w:rFonts w:hint="default"/>
          <w:color w:val="auto"/>
          <w:highlight w:val="none"/>
          <w:lang w:val="en-US" w:eastAsia="zh-CN"/>
        </w:rPr>
      </w:pPr>
    </w:p>
    <w:p>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pPr>
        <w:pStyle w:val="3"/>
        <w:spacing w:before="35" w:line="309" w:lineRule="exact"/>
        <w:ind w:left="67"/>
        <w:rPr>
          <w:rFonts w:hint="eastAsia" w:ascii="宋体" w:hAnsi="宋体" w:eastAsia="宋体" w:cs="宋体"/>
          <w:color w:val="auto"/>
          <w:spacing w:val="8"/>
          <w:position w:val="10"/>
          <w:sz w:val="20"/>
          <w:szCs w:val="20"/>
          <w:highlight w:val="none"/>
        </w:rPr>
      </w:pPr>
    </w:p>
    <w:p>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3"/>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tcPr>
          <w:p>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tcPr>
          <w:p>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tcPr>
          <w:p>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tcPr>
          <w:p>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tcPr>
          <w:p>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tcPr>
          <w:p>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tcPr>
          <w:p>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tcPr>
          <w:p>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tcPr>
          <w:p>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tcPr>
          <w:p>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tcPr>
          <w:p>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tcPr>
          <w:p>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pPr>
              <w:pStyle w:val="14"/>
              <w:rPr>
                <w:color w:val="auto"/>
                <w:highlight w:val="none"/>
              </w:rPr>
            </w:pP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tcPr>
          <w:p>
            <w:pPr>
              <w:pStyle w:val="14"/>
              <w:rPr>
                <w:color w:val="auto"/>
                <w:highlight w:val="none"/>
              </w:rPr>
            </w:pPr>
          </w:p>
        </w:tc>
        <w:tc>
          <w:tcPr>
            <w:tcW w:w="930" w:type="dxa"/>
          </w:tcPr>
          <w:p>
            <w:pPr>
              <w:pStyle w:val="14"/>
              <w:rPr>
                <w:color w:val="auto"/>
                <w:highlight w:val="none"/>
              </w:rPr>
            </w:pPr>
          </w:p>
        </w:tc>
        <w:tc>
          <w:tcPr>
            <w:tcW w:w="931" w:type="dxa"/>
          </w:tcPr>
          <w:p>
            <w:pPr>
              <w:pStyle w:val="14"/>
              <w:rPr>
                <w:color w:val="auto"/>
                <w:highlight w:val="none"/>
              </w:rPr>
            </w:pPr>
          </w:p>
        </w:tc>
        <w:tc>
          <w:tcPr>
            <w:tcW w:w="900" w:type="dxa"/>
          </w:tcPr>
          <w:p>
            <w:pPr>
              <w:pStyle w:val="14"/>
              <w:rPr>
                <w:color w:val="auto"/>
                <w:highlight w:val="none"/>
              </w:rPr>
            </w:pPr>
          </w:p>
        </w:tc>
        <w:tc>
          <w:tcPr>
            <w:tcW w:w="1065" w:type="dxa"/>
          </w:tcPr>
          <w:p>
            <w:pPr>
              <w:pStyle w:val="14"/>
              <w:rPr>
                <w:color w:val="auto"/>
                <w:highlight w:val="none"/>
              </w:rPr>
            </w:pPr>
          </w:p>
        </w:tc>
        <w:tc>
          <w:tcPr>
            <w:tcW w:w="854" w:type="dxa"/>
          </w:tcPr>
          <w:p>
            <w:pPr>
              <w:pStyle w:val="14"/>
              <w:rPr>
                <w:color w:val="auto"/>
                <w:highlight w:val="none"/>
              </w:rPr>
            </w:pPr>
          </w:p>
        </w:tc>
        <w:tc>
          <w:tcPr>
            <w:tcW w:w="1201" w:type="dxa"/>
          </w:tcPr>
          <w:p>
            <w:pPr>
              <w:pStyle w:val="14"/>
              <w:rPr>
                <w:color w:val="auto"/>
                <w:highlight w:val="none"/>
              </w:rPr>
            </w:pPr>
          </w:p>
        </w:tc>
        <w:tc>
          <w:tcPr>
            <w:tcW w:w="846" w:type="dxa"/>
          </w:tcPr>
          <w:p>
            <w:pPr>
              <w:pStyle w:val="14"/>
              <w:rPr>
                <w:color w:val="auto"/>
                <w:highlight w:val="none"/>
              </w:rPr>
            </w:pPr>
          </w:p>
        </w:tc>
        <w:tc>
          <w:tcPr>
            <w:tcW w:w="916" w:type="dxa"/>
          </w:tcPr>
          <w:p>
            <w:pPr>
              <w:pStyle w:val="14"/>
              <w:rPr>
                <w:color w:val="auto"/>
                <w:highlight w:val="none"/>
              </w:rPr>
            </w:pPr>
          </w:p>
        </w:tc>
        <w:tc>
          <w:tcPr>
            <w:tcW w:w="1142" w:type="dxa"/>
          </w:tcPr>
          <w:p>
            <w:pPr>
              <w:pStyle w:val="14"/>
              <w:rPr>
                <w:color w:val="auto"/>
                <w:highlight w:val="none"/>
              </w:rPr>
            </w:pPr>
          </w:p>
        </w:tc>
        <w:tc>
          <w:tcPr>
            <w:tcW w:w="1142" w:type="dxa"/>
          </w:tcPr>
          <w:p>
            <w:pPr>
              <w:pStyle w:val="14"/>
              <w:rPr>
                <w:color w:val="auto"/>
                <w:highlight w:val="none"/>
              </w:rPr>
            </w:pPr>
          </w:p>
        </w:tc>
        <w:tc>
          <w:tcPr>
            <w:tcW w:w="2777" w:type="dxa"/>
          </w:tcPr>
          <w:p>
            <w:pPr>
              <w:pStyle w:val="14"/>
              <w:rPr>
                <w:color w:val="auto"/>
                <w:highlight w:val="none"/>
              </w:rPr>
            </w:pPr>
          </w:p>
        </w:tc>
      </w:tr>
    </w:tbl>
    <w:p>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pPr>
        <w:spacing w:line="480" w:lineRule="auto"/>
        <w:jc w:val="both"/>
        <w:rPr>
          <w:rFonts w:hint="eastAsia"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ascii="宋体" w:hAnsi="宋体" w:cs="宋体"/>
          <w:color w:val="auto"/>
          <w:spacing w:val="8"/>
          <w:position w:val="-1"/>
          <w:sz w:val="24"/>
          <w:szCs w:val="24"/>
          <w:highlight w:val="none"/>
          <w:lang w:eastAsia="zh-CN"/>
        </w:rPr>
        <w:t>：</w:t>
      </w:r>
    </w:p>
    <w:p>
      <w:pPr>
        <w:spacing w:line="480" w:lineRule="auto"/>
        <w:jc w:val="both"/>
        <w:rPr>
          <w:rFonts w:hint="eastAsia" w:ascii="仿宋" w:hAnsi="仿宋" w:eastAsia="仿宋" w:cs="仿宋"/>
          <w:b/>
          <w:bCs/>
          <w:color w:val="auto"/>
          <w:sz w:val="44"/>
          <w:szCs w:val="44"/>
          <w:highlight w:val="none"/>
          <w:lang w:val="en-US" w:eastAsia="zh-CN"/>
        </w:rPr>
      </w:pPr>
      <w:r>
        <w:rPr>
          <w:rFonts w:hint="eastAsia" w:ascii="宋体" w:hAnsi="宋体" w:eastAsia="宋体" w:cs="宋体"/>
          <w:color w:val="auto"/>
          <w:spacing w:val="-5"/>
          <w:position w:val="-1"/>
          <w:sz w:val="24"/>
          <w:szCs w:val="24"/>
          <w:highlight w:val="none"/>
          <w:lang w:val="en-US" w:eastAsia="zh-CN"/>
        </w:rPr>
        <w:t>日期:</w:t>
      </w:r>
      <w:r>
        <w:rPr>
          <w:rFonts w:hint="eastAsia" w:ascii="宋体" w:hAnsi="宋体" w:cs="宋体"/>
          <w:color w:val="auto"/>
          <w:spacing w:val="-5"/>
          <w:position w:val="-1"/>
          <w:sz w:val="24"/>
          <w:szCs w:val="24"/>
          <w:highlight w:val="none"/>
          <w:lang w:val="en-US" w:eastAsia="zh-CN"/>
        </w:rPr>
        <w:t xml:space="preserve">                                                                              日期：</w:t>
      </w:r>
    </w:p>
    <w:p>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Times New Roman" w:hAnsi="Times New Roman" w:cs="Times New Roman"/>
          <w:b/>
          <w:bCs/>
          <w:color w:val="auto"/>
          <w:sz w:val="40"/>
          <w:szCs w:val="40"/>
          <w:highlight w:val="none"/>
          <w:lang w:val="en-US" w:eastAsia="zh-CN"/>
        </w:rPr>
        <w:t>附件六</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(签订合同时上传）</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yellow"/>
          <w:u w:val="none"/>
          <w:lang w:val="en-US" w:eastAsia="zh-CN"/>
        </w:rPr>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jc w:val="right"/>
        <w:rPr>
          <w:rFonts w:hint="eastAsia" w:eastAsia="宋体"/>
          <w:color w:val="auto"/>
          <w:sz w:val="36"/>
          <w:szCs w:val="36"/>
          <w:highlight w:val="yellow"/>
          <w:lang w:val="en-US" w:eastAsia="zh-CN"/>
        </w:rPr>
      </w:pPr>
      <w:r>
        <w:rPr>
          <w:rFonts w:hint="eastAsia"/>
          <w:color w:val="auto"/>
          <w:sz w:val="36"/>
          <w:szCs w:val="36"/>
          <w:highlight w:val="yellow"/>
          <w:lang w:val="en-US" w:eastAsia="zh-CN"/>
        </w:rPr>
        <w:t>附件七</w:t>
      </w:r>
    </w:p>
    <w:p>
      <w:pPr>
        <w:jc w:val="center"/>
        <w:rPr>
          <w:color w:val="auto"/>
        </w:rPr>
      </w:pPr>
      <w:r>
        <w:rPr>
          <w:color w:val="auto"/>
          <w:sz w:val="44"/>
        </w:rPr>
        <mc:AlternateContent>
          <mc:Choice Requires="wps">
            <w:drawing>
              <wp:anchor distT="0" distB="0" distL="0" distR="0" simplePos="0" relativeHeight="251659264" behindDoc="0" locked="0" layoutInCell="1" allowOverlap="1">
                <wp:simplePos x="0" y="0"/>
                <wp:positionH relativeFrom="column">
                  <wp:posOffset>8208645</wp:posOffset>
                </wp:positionH>
                <wp:positionV relativeFrom="paragraph">
                  <wp:posOffset>406400</wp:posOffset>
                </wp:positionV>
                <wp:extent cx="1208405" cy="360045"/>
                <wp:effectExtent l="0" t="0" r="0" b="0"/>
                <wp:wrapNone/>
                <wp:docPr id="1028" name="文本框 5"/>
                <wp:cNvGraphicFramePr/>
                <a:graphic xmlns:a="http://schemas.openxmlformats.org/drawingml/2006/main">
                  <a:graphicData uri="http://schemas.microsoft.com/office/word/2010/wordprocessingShape">
                    <wps:wsp>
                      <wps:cNvSpPr/>
                      <wps:spPr>
                        <a:xfrm>
                          <a:off x="0" y="0"/>
                          <a:ext cx="1208405" cy="360045"/>
                        </a:xfrm>
                        <a:prstGeom prst="rect">
                          <a:avLst/>
                        </a:prstGeom>
                        <a:ln>
                          <a:noFill/>
                        </a:ln>
                      </wps:spPr>
                      <wps:txbx>
                        <w:txbxContent>
                          <w:p>
                            <w:pPr>
                              <w:rPr>
                                <w:b/>
                                <w:bCs/>
                                <w:sz w:val="30"/>
                                <w:szCs w:val="30"/>
                              </w:rPr>
                            </w:pPr>
                            <w:r>
                              <w:rPr>
                                <w:rFonts w:hint="eastAsia"/>
                                <w:b/>
                                <w:bCs/>
                                <w:sz w:val="30"/>
                                <w:szCs w:val="30"/>
                              </w:rPr>
                              <w:t>No.0000001</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646.35pt;margin-top:32pt;height:28.35pt;width:95.15pt;z-index:251659264;mso-width-relative:page;mso-height-relative:page;" filled="f" stroked="f" coordsize="21600,21600" o:gfxdata="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BQT/2wAAAAwBAAAPAAAA&#10;AAAAAAEAIAAAACIAAABkcnMvZG93bnJldi54bWxQSwECFAAUAAAACACHTuJA4n0LzNkBAACjAwAA&#10;DgAAAAAAAAABACAAAAAqAQAAZHJzL2Uyb0RvYy54bWxQSwUGAAAAAAYABgBZAQAAdQUAAAAA&#10;">
                <v:fill on="f" focussize="0,0"/>
                <v:stroke on="f"/>
                <v:imagedata o:title=""/>
                <o:lock v:ext="edit" aspectratio="f"/>
                <v:textbox>
                  <w:txbxContent>
                    <w:p>
                      <w:pPr>
                        <w:rPr>
                          <w:b/>
                          <w:bCs/>
                          <w:sz w:val="30"/>
                          <w:szCs w:val="30"/>
                        </w:rPr>
                      </w:pPr>
                      <w:r>
                        <w:rPr>
                          <w:rFonts w:hint="eastAsia"/>
                          <w:b/>
                          <w:bCs/>
                          <w:sz w:val="30"/>
                          <w:szCs w:val="30"/>
                        </w:rPr>
                        <w:t>No.0000001</w:t>
                      </w:r>
                    </w:p>
                  </w:txbxContent>
                </v:textbox>
              </v:rect>
            </w:pict>
          </mc:Fallback>
        </mc:AlternateContent>
      </w:r>
      <w:r>
        <w:rPr>
          <w:rFonts w:hint="eastAsia"/>
          <w:color w:val="auto"/>
          <w:sz w:val="44"/>
          <w:szCs w:val="44"/>
        </w:rPr>
        <w:drawing>
          <wp:inline distT="0" distB="0" distL="0" distR="0">
            <wp:extent cx="5977255" cy="673735"/>
            <wp:effectExtent l="0" t="0" r="4445" b="12065"/>
            <wp:docPr id="1029" name="图片 6" descr="LOGO-1"/>
            <wp:cNvGraphicFramePr/>
            <a:graphic xmlns:a="http://schemas.openxmlformats.org/drawingml/2006/main">
              <a:graphicData uri="http://schemas.openxmlformats.org/drawingml/2006/picture">
                <pic:pic xmlns:pic="http://schemas.openxmlformats.org/drawingml/2006/picture">
                  <pic:nvPicPr>
                    <pic:cNvPr id="1029" name="图片 6" descr="LOGO-1"/>
                    <pic:cNvPicPr/>
                  </pic:nvPicPr>
                  <pic:blipFill>
                    <a:blip r:embed="rId8" cstate="print">
                      <a:clrChange>
                        <a:clrFrom>
                          <a:srgbClr val="FFFFFF"/>
                        </a:clrFrom>
                        <a:clrTo>
                          <a:srgbClr val="FFFFFF">
                            <a:alpha val="0"/>
                          </a:srgbClr>
                        </a:clrTo>
                      </a:clrChange>
                    </a:blip>
                    <a:srcRect/>
                    <a:stretch>
                      <a:fillRect/>
                    </a:stretch>
                  </pic:blipFill>
                  <pic:spPr>
                    <a:xfrm>
                      <a:off x="0" y="0"/>
                      <a:ext cx="5977255" cy="673735"/>
                    </a:xfrm>
                    <a:prstGeom prst="rect">
                      <a:avLst/>
                    </a:prstGeom>
                  </pic:spPr>
                </pic:pic>
              </a:graphicData>
            </a:graphic>
          </wp:inline>
        </w:drawing>
      </w:r>
    </w:p>
    <w:p>
      <w:pPr>
        <w:spacing w:line="480" w:lineRule="exact"/>
        <w:jc w:val="center"/>
        <w:rPr>
          <w:color w:val="auto"/>
          <w:sz w:val="36"/>
          <w:szCs w:val="36"/>
        </w:rPr>
      </w:pPr>
      <w:r>
        <w:rPr>
          <w:rFonts w:hint="eastAsia"/>
          <w:color w:val="auto"/>
          <w:sz w:val="36"/>
          <w:szCs w:val="36"/>
        </w:rPr>
        <w:t>物 料 申 购 单</w:t>
      </w:r>
    </w:p>
    <w:p>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pPr>
              <w:jc w:val="center"/>
              <w:rPr>
                <w:rFonts w:eastAsia="宋体"/>
                <w:color w:val="auto"/>
              </w:rPr>
            </w:pPr>
            <w:r>
              <w:rPr>
                <w:rFonts w:hint="eastAsia"/>
                <w:color w:val="auto"/>
              </w:rPr>
              <w:t>序号</w:t>
            </w:r>
          </w:p>
        </w:tc>
        <w:tc>
          <w:tcPr>
            <w:tcW w:w="2603" w:type="dxa"/>
            <w:vAlign w:val="center"/>
          </w:tcPr>
          <w:p>
            <w:pPr>
              <w:jc w:val="center"/>
              <w:rPr>
                <w:color w:val="auto"/>
              </w:rPr>
            </w:pPr>
            <w:r>
              <w:rPr>
                <w:rFonts w:hint="eastAsia"/>
                <w:color w:val="auto"/>
              </w:rPr>
              <w:t>材料名称/规格</w:t>
            </w:r>
          </w:p>
        </w:tc>
        <w:tc>
          <w:tcPr>
            <w:tcW w:w="1560" w:type="dxa"/>
            <w:vAlign w:val="center"/>
          </w:tcPr>
          <w:p>
            <w:pPr>
              <w:jc w:val="center"/>
              <w:rPr>
                <w:color w:val="auto"/>
              </w:rPr>
            </w:pPr>
            <w:r>
              <w:rPr>
                <w:rFonts w:hint="eastAsia"/>
                <w:color w:val="auto"/>
              </w:rPr>
              <w:t>数量/单位</w:t>
            </w:r>
          </w:p>
        </w:tc>
        <w:tc>
          <w:tcPr>
            <w:tcW w:w="1335" w:type="dxa"/>
            <w:vAlign w:val="center"/>
          </w:tcPr>
          <w:p>
            <w:pPr>
              <w:jc w:val="center"/>
              <w:rPr>
                <w:color w:val="auto"/>
              </w:rPr>
            </w:pPr>
            <w:r>
              <w:rPr>
                <w:rFonts w:hint="eastAsia"/>
                <w:color w:val="auto"/>
              </w:rPr>
              <w:t>到货日期</w:t>
            </w:r>
          </w:p>
        </w:tc>
        <w:tc>
          <w:tcPr>
            <w:tcW w:w="1515" w:type="dxa"/>
            <w:vAlign w:val="center"/>
          </w:tcPr>
          <w:p>
            <w:pPr>
              <w:jc w:val="center"/>
              <w:rPr>
                <w:color w:val="auto"/>
              </w:rPr>
            </w:pPr>
            <w:r>
              <w:rPr>
                <w:rFonts w:hint="eastAsia"/>
                <w:color w:val="auto"/>
              </w:rPr>
              <w:t>质量要求</w:t>
            </w:r>
          </w:p>
        </w:tc>
        <w:tc>
          <w:tcPr>
            <w:tcW w:w="2174" w:type="dxa"/>
            <w:vAlign w:val="center"/>
          </w:tcPr>
          <w:p>
            <w:pPr>
              <w:jc w:val="center"/>
              <w:rPr>
                <w:color w:val="auto"/>
              </w:rPr>
            </w:pPr>
            <w:r>
              <w:rPr>
                <w:rFonts w:hint="eastAsia"/>
                <w:color w:val="auto"/>
              </w:rPr>
              <w:t>用途等备注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pPr>
              <w:jc w:val="center"/>
              <w:rPr>
                <w:rFonts w:hint="eastAsia" w:eastAsia="宋体"/>
                <w:color w:val="auto"/>
                <w:lang w:val="en-US" w:eastAsia="zh-CN"/>
              </w:rPr>
            </w:pPr>
            <w:r>
              <w:rPr>
                <w:rFonts w:hint="eastAsia"/>
                <w:color w:val="auto"/>
                <w:lang w:val="en-US" w:eastAsia="zh-CN"/>
              </w:rPr>
              <w:t>1</w:t>
            </w:r>
          </w:p>
        </w:tc>
        <w:tc>
          <w:tcPr>
            <w:tcW w:w="2603" w:type="dxa"/>
            <w:vAlign w:val="center"/>
          </w:tcPr>
          <w:p>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eastAsia="宋体"/>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restart"/>
            <w:vAlign w:val="center"/>
          </w:tcPr>
          <w:p>
            <w:pPr>
              <w:jc w:val="both"/>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pPr>
              <w:jc w:val="center"/>
              <w:rPr>
                <w:rFonts w:hint="eastAsia" w:eastAsia="宋体"/>
                <w:color w:val="auto"/>
                <w:lang w:val="en-US" w:eastAsia="zh-CN"/>
              </w:rPr>
            </w:pPr>
            <w:r>
              <w:rPr>
                <w:rFonts w:hint="eastAsia"/>
                <w:color w:val="auto"/>
                <w:lang w:val="en-US" w:eastAsia="zh-CN"/>
              </w:rPr>
              <w:t>2</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eastAsia="宋体"/>
                <w:color w:val="auto"/>
                <w:lang w:val="en-US" w:eastAsia="zh-CN"/>
              </w:rPr>
            </w:pPr>
          </w:p>
        </w:tc>
        <w:tc>
          <w:tcPr>
            <w:tcW w:w="1515" w:type="dxa"/>
            <w:vAlign w:val="center"/>
          </w:tcPr>
          <w:p>
            <w:pPr>
              <w:jc w:val="center"/>
              <w:rPr>
                <w:rFonts w:hint="eastAsia" w:eastAsia="宋体"/>
                <w:color w:val="auto"/>
                <w:lang w:eastAsia="zh-CN"/>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pPr>
              <w:jc w:val="center"/>
              <w:rPr>
                <w:rFonts w:hint="eastAsia" w:eastAsia="宋体"/>
                <w:color w:val="auto"/>
                <w:lang w:val="en-US" w:eastAsia="zh-CN"/>
              </w:rPr>
            </w:pPr>
            <w:r>
              <w:rPr>
                <w:rFonts w:hint="eastAsia"/>
                <w:color w:val="auto"/>
                <w:lang w:val="en-US" w:eastAsia="zh-CN"/>
              </w:rPr>
              <w:t>3</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eastAsia" w:eastAsia="宋体"/>
                <w:color w:val="auto"/>
                <w:lang w:val="en-US" w:eastAsia="zh-CN"/>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pPr>
              <w:jc w:val="center"/>
              <w:rPr>
                <w:rFonts w:hint="eastAsia" w:eastAsia="宋体"/>
                <w:color w:val="auto"/>
                <w:lang w:val="en-US" w:eastAsia="zh-CN"/>
              </w:rPr>
            </w:pPr>
            <w:r>
              <w:rPr>
                <w:rFonts w:hint="eastAsia"/>
                <w:color w:val="auto"/>
                <w:lang w:val="en-US" w:eastAsia="zh-CN"/>
              </w:rPr>
              <w:t>4</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ascii="Calibri" w:hAnsi="Calibri" w:eastAsia="宋体" w:cs="宋体"/>
                <w:color w:val="auto"/>
                <w:kern w:val="2"/>
                <w:sz w:val="21"/>
                <w:szCs w:val="24"/>
                <w:lang w:val="en-US" w:eastAsia="zh-CN" w:bidi="ar-SA"/>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eastAsia" w:eastAsia="宋体"/>
                <w:color w:val="auto"/>
                <w:lang w:eastAsia="zh-CN"/>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jc w:val="center"/>
              <w:rPr>
                <w:rFonts w:hint="default"/>
                <w:color w:val="auto"/>
                <w:lang w:val="en-US" w:eastAsia="zh-CN"/>
              </w:rPr>
            </w:pPr>
            <w:r>
              <w:rPr>
                <w:rFonts w:hint="eastAsia"/>
                <w:color w:val="auto"/>
                <w:lang w:val="en-US" w:eastAsia="zh-CN"/>
              </w:rPr>
              <w:t>5</w:t>
            </w:r>
          </w:p>
        </w:tc>
        <w:tc>
          <w:tcPr>
            <w:tcW w:w="2603" w:type="dxa"/>
            <w:vAlign w:val="center"/>
          </w:tcPr>
          <w:p>
            <w:pPr>
              <w:jc w:val="center"/>
              <w:rPr>
                <w:rFonts w:hint="default" w:ascii="Calibri" w:hAnsi="Calibri" w:eastAsia="宋体" w:cs="Calibri"/>
                <w:color w:val="auto"/>
                <w:kern w:val="2"/>
                <w:sz w:val="21"/>
                <w:szCs w:val="24"/>
                <w:lang w:val="en-US" w:eastAsia="zh-CN" w:bidi="ar-SA"/>
              </w:rPr>
            </w:pPr>
          </w:p>
        </w:tc>
        <w:tc>
          <w:tcPr>
            <w:tcW w:w="1560" w:type="dxa"/>
            <w:vAlign w:val="center"/>
          </w:tcPr>
          <w:p>
            <w:pPr>
              <w:jc w:val="center"/>
              <w:rPr>
                <w:rFonts w:hint="eastAsia" w:ascii="Calibri" w:hAnsi="Calibri" w:eastAsia="宋体" w:cs="宋体"/>
                <w:color w:val="auto"/>
                <w:kern w:val="2"/>
                <w:sz w:val="21"/>
                <w:szCs w:val="24"/>
                <w:lang w:val="en-US" w:eastAsia="zh-CN" w:bidi="ar-SA"/>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pPr>
              <w:jc w:val="center"/>
              <w:rPr>
                <w:rFonts w:hint="default" w:eastAsia="宋体"/>
                <w:color w:val="auto"/>
                <w:lang w:val="en-US" w:eastAsia="zh-CN"/>
              </w:rPr>
            </w:pPr>
            <w:r>
              <w:rPr>
                <w:rFonts w:hint="eastAsia"/>
                <w:color w:val="auto"/>
                <w:lang w:val="en-US" w:eastAsia="zh-CN"/>
              </w:rPr>
              <w:t>6</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eastAsia" w:ascii="Calibri" w:hAnsi="Calibri" w:eastAsia="宋体" w:cs="宋体"/>
                <w:color w:val="auto"/>
                <w:kern w:val="2"/>
                <w:sz w:val="21"/>
                <w:szCs w:val="24"/>
                <w:lang w:val="en-US" w:eastAsia="zh-CN" w:bidi="ar-SA"/>
              </w:rPr>
            </w:pPr>
          </w:p>
        </w:tc>
        <w:tc>
          <w:tcPr>
            <w:tcW w:w="1515" w:type="dxa"/>
            <w:vAlign w:val="center"/>
          </w:tcPr>
          <w:p>
            <w:pPr>
              <w:jc w:val="center"/>
              <w:rPr>
                <w:rFonts w:hint="eastAsia" w:eastAsia="宋体"/>
                <w:color w:val="auto"/>
                <w:lang w:eastAsia="zh-CN"/>
              </w:rPr>
            </w:pPr>
          </w:p>
        </w:tc>
        <w:tc>
          <w:tcPr>
            <w:tcW w:w="2174" w:type="dxa"/>
            <w:vMerge w:val="restart"/>
            <w:vAlign w:val="center"/>
          </w:tcPr>
          <w:p>
            <w:pPr>
              <w:jc w:val="cente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7</w:t>
            </w:r>
          </w:p>
        </w:tc>
        <w:tc>
          <w:tcPr>
            <w:tcW w:w="2603" w:type="dxa"/>
            <w:vAlign w:val="center"/>
          </w:tcPr>
          <w:p>
            <w:pPr>
              <w:jc w:val="center"/>
              <w:rPr>
                <w:rFonts w:hint="default"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pPr>
              <w:jc w:val="center"/>
              <w:rPr>
                <w:rFonts w:hint="default"/>
                <w:color w:val="auto"/>
                <w:lang w:val="en-US" w:eastAsia="zh-CN"/>
              </w:rPr>
            </w:pPr>
            <w:r>
              <w:rPr>
                <w:rFonts w:hint="eastAsia"/>
                <w:color w:val="auto"/>
                <w:lang w:val="en-US" w:eastAsia="zh-CN"/>
              </w:rPr>
              <w:t>8</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pPr>
              <w:jc w:val="center"/>
              <w:rPr>
                <w:rFonts w:hint="default"/>
                <w:color w:val="auto"/>
                <w:lang w:val="en-US" w:eastAsia="zh-CN"/>
              </w:rPr>
            </w:pPr>
            <w:r>
              <w:rPr>
                <w:rFonts w:hint="eastAsia"/>
                <w:color w:val="auto"/>
                <w:lang w:val="en-US" w:eastAsia="zh-CN"/>
              </w:rPr>
              <w:t>9</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pPr>
              <w:jc w:val="center"/>
              <w:rPr>
                <w:rFonts w:hint="default"/>
                <w:color w:val="auto"/>
                <w:lang w:val="en-US" w:eastAsia="zh-CN"/>
              </w:rPr>
            </w:pPr>
            <w:r>
              <w:rPr>
                <w:rFonts w:hint="eastAsia"/>
                <w:color w:val="auto"/>
                <w:lang w:val="en-US" w:eastAsia="zh-CN"/>
              </w:rPr>
              <w:t>10</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eastAsia="宋体"/>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11</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12</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pPr>
              <w:jc w:val="center"/>
              <w:rPr>
                <w:rFonts w:hint="default"/>
                <w:color w:val="auto"/>
                <w:lang w:val="en-US" w:eastAsia="zh-CN"/>
              </w:rPr>
            </w:pPr>
            <w:r>
              <w:rPr>
                <w:rFonts w:hint="eastAsia"/>
                <w:color w:val="auto"/>
                <w:lang w:val="en-US" w:eastAsia="zh-CN"/>
              </w:rPr>
              <w:t>13</w:t>
            </w:r>
          </w:p>
        </w:tc>
        <w:tc>
          <w:tcPr>
            <w:tcW w:w="2603" w:type="dxa"/>
            <w:vAlign w:val="center"/>
          </w:tcPr>
          <w:p>
            <w:pPr>
              <w:tabs>
                <w:tab w:val="left" w:pos="631"/>
              </w:tabs>
              <w:jc w:val="left"/>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14</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pPr>
              <w:jc w:val="center"/>
              <w:rPr>
                <w:rFonts w:hint="default"/>
                <w:color w:val="auto"/>
                <w:lang w:val="en-US" w:eastAsia="zh-CN"/>
              </w:rPr>
            </w:pPr>
            <w:r>
              <w:rPr>
                <w:rFonts w:hint="eastAsia"/>
                <w:color w:val="auto"/>
                <w:lang w:val="en-US" w:eastAsia="zh-CN"/>
              </w:rPr>
              <w:t>15</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pPr>
              <w:jc w:val="center"/>
              <w:rPr>
                <w:rFonts w:hint="default"/>
                <w:color w:val="auto"/>
                <w:lang w:val="en-US" w:eastAsia="zh-CN"/>
              </w:rPr>
            </w:pPr>
            <w:r>
              <w:rPr>
                <w:rFonts w:hint="eastAsia"/>
                <w:color w:val="auto"/>
                <w:lang w:val="en-US" w:eastAsia="zh-CN"/>
              </w:rPr>
              <w:t>16</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17</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pPr>
              <w:jc w:val="center"/>
              <w:rPr>
                <w:rFonts w:hint="default"/>
                <w:color w:val="auto"/>
                <w:lang w:val="en-US" w:eastAsia="zh-CN"/>
              </w:rPr>
            </w:pPr>
            <w:r>
              <w:rPr>
                <w:rFonts w:hint="eastAsia"/>
                <w:color w:val="auto"/>
                <w:lang w:val="en-US" w:eastAsia="zh-CN"/>
              </w:rPr>
              <w:t>18</w:t>
            </w:r>
          </w:p>
        </w:tc>
        <w:tc>
          <w:tcPr>
            <w:tcW w:w="2603" w:type="dxa"/>
            <w:vAlign w:val="center"/>
          </w:tcPr>
          <w:p>
            <w:pPr>
              <w:jc w:val="center"/>
              <w:rPr>
                <w:rFonts w:hint="default" w:ascii="Calibri" w:hAnsi="Calibri" w:cs="Calibri"/>
                <w:color w:val="auto"/>
                <w:kern w:val="2"/>
                <w:sz w:val="21"/>
                <w:szCs w:val="24"/>
                <w:lang w:val="en-US" w:eastAsia="zh-CN" w:bidi="ar-SA"/>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bl>
    <w:p>
      <w:pPr>
        <w:jc w:val="left"/>
        <w:rPr>
          <w:color w:val="auto"/>
        </w:rPr>
      </w:pPr>
      <w:r>
        <w:rPr>
          <w:color w:val="auto"/>
        </w:rPr>
        <mc:AlternateContent>
          <mc:Choice Requires="wps">
            <w:drawing>
              <wp:anchor distT="0" distB="0" distL="0" distR="0" simplePos="0" relativeHeight="251659264"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1030" name="文本框 7"/>
                <wp:cNvGraphicFramePr/>
                <a:graphic xmlns:a="http://schemas.openxmlformats.org/drawingml/2006/main">
                  <a:graphicData uri="http://schemas.microsoft.com/office/word/2010/wordprocessingShape">
                    <wps:wsp>
                      <wps:cNvSpPr/>
                      <wps:spPr>
                        <a:xfrm>
                          <a:off x="0" y="0"/>
                          <a:ext cx="351790" cy="4276725"/>
                        </a:xfrm>
                        <a:prstGeom prst="rect">
                          <a:avLst/>
                        </a:prstGeom>
                        <a:ln>
                          <a:noFill/>
                        </a:ln>
                      </wps:spPr>
                      <wps:txbx>
                        <w:txbxContent>
                          <w:p>
                            <w:pPr>
                              <w:jc w:val="center"/>
                              <w:rPr>
                                <w:rFonts w:eastAsia="宋体"/>
                                <w:szCs w:val="21"/>
                              </w:rPr>
                            </w:pPr>
                            <w:r>
                              <w:rPr>
                                <w:rFonts w:hint="eastAsia"/>
                                <w:szCs w:val="21"/>
                              </w:rPr>
                              <w:t>一 存根（白）二 财务（红）三 顾客（绿）</w:t>
                            </w:r>
                          </w:p>
                        </w:txbxContent>
                      </wps:txbx>
                      <wps:bodyPr vert="eaVert" wrap="square" lIns="91440" tIns="45720" rIns="91440" bIns="45720" anchor="t">
                        <a:noAutofit/>
                      </wps:bodyPr>
                    </wps:wsp>
                  </a:graphicData>
                </a:graphic>
              </wp:anchor>
            </w:drawing>
          </mc:Choice>
          <mc:Fallback>
            <w:pict>
              <v:rect id="文本框 7" o:spid="_x0000_s1026" o:spt="1" style="position:absolute;left:0pt;margin-left:739.2pt;margin-top:15.2pt;height:336.75pt;width:27.7pt;z-index:251659264;mso-width-relative:page;mso-height-relative:page;" filled="f" stroked="f" coordsize="21600,21600" o:gfxdata="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dtdNsAAAAMAQAADwAA&#10;AAAAAAABACAAAAAiAAAAZHJzL2Rvd25yZXYueG1sUEsBAhQAFAAAAAgAh07iQDNY6YfaAQAApQMA&#10;AA4AAAAAAAAAAQAgAAAAKgEAAGRycy9lMm9Eb2MueG1sUEsFBgAAAAAGAAYAWQEAAHYFAAAAAA==&#10;">
                <v:fill on="f" focussize="0,0"/>
                <v:stroke on="f"/>
                <v:imagedata o:title=""/>
                <o:lock v:ext="edit" aspectratio="f"/>
                <v:textbox style="layout-flow:vertical-ideographic;">
                  <w:txbxContent>
                    <w:p>
                      <w:pPr>
                        <w:jc w:val="center"/>
                        <w:rPr>
                          <w:rFonts w:eastAsia="宋体"/>
                          <w:szCs w:val="21"/>
                        </w:rPr>
                      </w:pPr>
                      <w:r>
                        <w:rPr>
                          <w:rFonts w:hint="eastAsia"/>
                          <w:szCs w:val="21"/>
                        </w:rPr>
                        <w:t>一 存根（白）二 财务（红）三 顾客（绿）</w:t>
                      </w: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30"/>
          <w:highlight w:val="none"/>
          <w:lang w:val="en-US" w:eastAsia="zh-CN"/>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w:t>
      </w: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005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400D2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Body Text Indent"/>
    <w:basedOn w:val="1"/>
    <w:qFormat/>
    <w:uiPriority w:val="99"/>
    <w:pPr>
      <w:ind w:firstLine="525"/>
      <w:jc w:val="left"/>
    </w:pPr>
    <w:rPr>
      <w:rFonts w:ascii="宋体" w:hAnsi="Times New Roman" w:cs="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basedOn w:val="4"/>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Calibri" w:hAnsi="Calibri" w:eastAsia="宋体" w:cs="Times New Roman"/>
      <w:sz w:val="20"/>
      <w:szCs w:val="20"/>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11712</Words>
  <Characters>12214</Characters>
  <Paragraphs>803</Paragraphs>
  <TotalTime>2</TotalTime>
  <ScaleCrop>false</ScaleCrop>
  <LinksUpToDate>false</LinksUpToDate>
  <CharactersWithSpaces>13301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周小龙</cp:lastModifiedBy>
  <cp:lastPrinted>2023-05-22T02:04:00Z</cp:lastPrinted>
  <dcterms:modified xsi:type="dcterms:W3CDTF">2024-08-15T00:37:49Z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e9800a19e0734346940f2f017ccc365f_23</vt:lpwstr>
  </property>
</Properties>
</file>