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4731B">
      <w:pPr>
        <w:pageBreakBefore w:val="0"/>
        <w:wordWrap/>
        <w:topLinePunct w:val="0"/>
        <w:bidi w:val="0"/>
        <w:adjustRightInd w:val="0"/>
        <w:snapToGrid w:val="0"/>
        <w:spacing w:line="360" w:lineRule="auto"/>
        <w:jc w:val="both"/>
        <w:rPr>
          <w:rFonts w:hint="eastAsia" w:ascii="仿宋" w:hAnsi="仿宋" w:eastAsia="仿宋" w:cs="仿宋"/>
          <w:color w:val="auto"/>
          <w:highlight w:val="none"/>
          <w:lang w:val="en-US" w:eastAsia="zh-CN"/>
        </w:rPr>
      </w:pPr>
    </w:p>
    <w:p w14:paraId="33F2DD1E">
      <w:pPr>
        <w:pageBreakBefore w:val="0"/>
        <w:wordWrap/>
        <w:topLinePunct w:val="0"/>
        <w:bidi w:val="0"/>
        <w:adjustRightInd w:val="0"/>
        <w:snapToGrid w:val="0"/>
        <w:spacing w:line="360" w:lineRule="auto"/>
        <w:jc w:val="both"/>
        <w:rPr>
          <w:rFonts w:hint="eastAsia" w:ascii="仿宋" w:hAnsi="仿宋" w:eastAsia="仿宋" w:cs="仿宋"/>
          <w:color w:val="auto"/>
          <w:highlight w:val="none"/>
          <w:lang w:val="en-US" w:eastAsia="zh-CN"/>
        </w:rPr>
      </w:pPr>
    </w:p>
    <w:p w14:paraId="29BBB157">
      <w:pPr>
        <w:pageBreakBefore w:val="0"/>
        <w:wordWrap/>
        <w:topLinePunct w:val="0"/>
        <w:bidi w:val="0"/>
        <w:adjustRightInd w:val="0"/>
        <w:snapToGrid w:val="0"/>
        <w:spacing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rPr>
        <w:drawing>
          <wp:anchor distT="0" distB="0" distL="114300" distR="114300" simplePos="0" relativeHeight="251659264" behindDoc="0" locked="0" layoutInCell="1" allowOverlap="1">
            <wp:simplePos x="0" y="0"/>
            <wp:positionH relativeFrom="column">
              <wp:posOffset>1161415</wp:posOffset>
            </wp:positionH>
            <wp:positionV relativeFrom="paragraph">
              <wp:posOffset>19685</wp:posOffset>
            </wp:positionV>
            <wp:extent cx="4288790" cy="690245"/>
            <wp:effectExtent l="0" t="0" r="16510" b="14605"/>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8"/>
                    <a:stretch>
                      <a:fillRect/>
                    </a:stretch>
                  </pic:blipFill>
                  <pic:spPr>
                    <a:xfrm>
                      <a:off x="0" y="0"/>
                      <a:ext cx="4288790" cy="690245"/>
                    </a:xfrm>
                    <a:prstGeom prst="rect">
                      <a:avLst/>
                    </a:prstGeom>
                    <a:noFill/>
                    <a:ln>
                      <a:noFill/>
                    </a:ln>
                  </pic:spPr>
                </pic:pic>
              </a:graphicData>
            </a:graphic>
          </wp:anchor>
        </w:drawing>
      </w:r>
    </w:p>
    <w:p w14:paraId="4DC1CAA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cs="仿宋"/>
          <w:b/>
          <w:color w:val="auto"/>
          <w:sz w:val="52"/>
          <w:szCs w:val="52"/>
          <w:highlight w:val="none"/>
          <w:u w:val="none"/>
          <w:lang w:val="en-US" w:eastAsia="zh-CN"/>
        </w:rPr>
      </w:pPr>
      <w:bookmarkStart w:id="0" w:name="_Toc7629"/>
    </w:p>
    <w:p w14:paraId="1B167F6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52"/>
          <w:szCs w:val="52"/>
          <w:highlight w:val="none"/>
          <w:u w:val="none"/>
          <w:lang w:val="en-US" w:eastAsia="zh-CN"/>
        </w:rPr>
      </w:pPr>
    </w:p>
    <w:p w14:paraId="1F8628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none"/>
          <w:lang w:val="en-US" w:eastAsia="zh-CN"/>
        </w:rPr>
        <w:t>南京现代表面处理科技产业中心项目B地块</w:t>
      </w:r>
      <w:bookmarkEnd w:id="0"/>
      <w:r>
        <w:rPr>
          <w:rFonts w:hint="eastAsia" w:ascii="仿宋" w:hAnsi="仿宋" w:eastAsia="仿宋" w:cs="仿宋"/>
          <w:b/>
          <w:color w:val="auto"/>
          <w:sz w:val="52"/>
          <w:szCs w:val="52"/>
          <w:highlight w:val="none"/>
          <w:u w:val="none"/>
          <w:lang w:val="en-US" w:eastAsia="zh-CN"/>
        </w:rPr>
        <w:t>工程砂、砖渣、碎石、石粉、袋装水泥</w:t>
      </w:r>
    </w:p>
    <w:p w14:paraId="1BC9D8C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52"/>
          <w:szCs w:val="52"/>
          <w:highlight w:val="none"/>
          <w:lang w:val="en-US" w:eastAsia="zh-CN"/>
        </w:rPr>
      </w:pPr>
      <w:bookmarkStart w:id="1" w:name="_Toc12879"/>
      <w:r>
        <w:rPr>
          <w:rFonts w:hint="eastAsia" w:ascii="仿宋" w:hAnsi="仿宋" w:eastAsia="仿宋" w:cs="仿宋"/>
          <w:b/>
          <w:color w:val="auto"/>
          <w:sz w:val="52"/>
          <w:szCs w:val="52"/>
          <w:highlight w:val="none"/>
          <w:lang w:val="en-US" w:eastAsia="zh-CN"/>
        </w:rPr>
        <w:t>购</w:t>
      </w:r>
      <w:bookmarkEnd w:id="1"/>
    </w:p>
    <w:p w14:paraId="2DDB5BB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52"/>
          <w:szCs w:val="52"/>
          <w:highlight w:val="none"/>
          <w:lang w:val="en-US" w:eastAsia="zh-CN"/>
        </w:rPr>
      </w:pPr>
      <w:bookmarkStart w:id="2" w:name="_Toc30244"/>
      <w:r>
        <w:rPr>
          <w:rFonts w:hint="eastAsia" w:ascii="仿宋" w:hAnsi="仿宋" w:eastAsia="仿宋" w:cs="仿宋"/>
          <w:b/>
          <w:color w:val="auto"/>
          <w:sz w:val="52"/>
          <w:szCs w:val="52"/>
          <w:highlight w:val="none"/>
          <w:lang w:val="en-US" w:eastAsia="zh-CN"/>
        </w:rPr>
        <w:t>销</w:t>
      </w:r>
      <w:bookmarkEnd w:id="2"/>
    </w:p>
    <w:p w14:paraId="4A8D90F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color w:val="auto"/>
          <w:sz w:val="52"/>
          <w:szCs w:val="52"/>
          <w:highlight w:val="none"/>
          <w:lang w:val="en-US" w:eastAsia="zh-CN"/>
        </w:rPr>
      </w:pPr>
      <w:bookmarkStart w:id="3" w:name="_Toc3078"/>
      <w:r>
        <w:rPr>
          <w:rFonts w:hint="eastAsia" w:ascii="仿宋" w:hAnsi="仿宋" w:eastAsia="仿宋" w:cs="仿宋"/>
          <w:b/>
          <w:color w:val="auto"/>
          <w:sz w:val="52"/>
          <w:szCs w:val="52"/>
          <w:highlight w:val="none"/>
          <w:lang w:val="en-US" w:eastAsia="zh-CN"/>
        </w:rPr>
        <w:t>合</w:t>
      </w:r>
      <w:bookmarkEnd w:id="3"/>
    </w:p>
    <w:p w14:paraId="2E68D79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color w:val="auto"/>
          <w:highlight w:val="none"/>
          <w:lang w:val="en-US" w:eastAsia="zh-CN"/>
        </w:rPr>
      </w:pPr>
      <w:bookmarkStart w:id="4" w:name="_Toc13807"/>
      <w:r>
        <w:rPr>
          <w:rFonts w:hint="eastAsia" w:ascii="仿宋" w:hAnsi="仿宋" w:eastAsia="仿宋" w:cs="仿宋"/>
          <w:b/>
          <w:color w:val="auto"/>
          <w:sz w:val="52"/>
          <w:szCs w:val="52"/>
          <w:highlight w:val="none"/>
          <w:lang w:val="en-US" w:eastAsia="zh-CN"/>
        </w:rPr>
        <w:t>同</w:t>
      </w:r>
      <w:bookmarkEnd w:id="4"/>
    </w:p>
    <w:p w14:paraId="2CFF1C3F">
      <w:pPr>
        <w:pageBreakBefore w:val="0"/>
        <w:wordWrap/>
        <w:topLinePunct w:val="0"/>
        <w:bidi w:val="0"/>
        <w:adjustRightInd w:val="0"/>
        <w:snapToGrid w:val="0"/>
        <w:spacing w:line="360" w:lineRule="auto"/>
        <w:jc w:val="both"/>
        <w:rPr>
          <w:rFonts w:hint="eastAsia" w:ascii="仿宋" w:hAnsi="仿宋" w:eastAsia="仿宋" w:cs="仿宋"/>
          <w:color w:val="auto"/>
          <w:highlight w:val="none"/>
          <w:lang w:val="en-US" w:eastAsia="zh-CN"/>
        </w:rPr>
      </w:pPr>
    </w:p>
    <w:p w14:paraId="75B422B6">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left"/>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合同编号：</w:t>
      </w:r>
    </w:p>
    <w:p w14:paraId="768A8815">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left"/>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甲方（需方）：</w:t>
      </w:r>
      <w:r>
        <w:rPr>
          <w:rFonts w:hint="eastAsia" w:ascii="仿宋" w:hAnsi="仿宋" w:eastAsia="仿宋" w:cs="仿宋"/>
          <w:color w:val="auto"/>
          <w:sz w:val="28"/>
          <w:szCs w:val="28"/>
          <w:highlight w:val="none"/>
          <w:u w:val="none"/>
        </w:rPr>
        <w:t>东莞市中泰建安工程有限公司</w:t>
      </w:r>
    </w:p>
    <w:p w14:paraId="12D29075">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left"/>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乙方（供方）：</w:t>
      </w:r>
    </w:p>
    <w:p w14:paraId="17CD85EC">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left"/>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签订日期：202</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年</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月</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日</w:t>
      </w:r>
    </w:p>
    <w:p w14:paraId="6D9459D2">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left"/>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签订地点：广东东莞南城。</w:t>
      </w:r>
    </w:p>
    <w:p w14:paraId="4AA47111">
      <w:pPr>
        <w:pageBreakBefore w:val="0"/>
        <w:wordWrap/>
        <w:topLinePunct w:val="0"/>
        <w:bidi w:val="0"/>
        <w:adjustRightInd w:val="0"/>
        <w:snapToGrid w:val="0"/>
        <w:spacing w:line="360" w:lineRule="auto"/>
        <w:jc w:val="both"/>
        <w:rPr>
          <w:rFonts w:hint="eastAsia" w:ascii="仿宋" w:hAnsi="仿宋" w:eastAsia="仿宋" w:cs="仿宋"/>
          <w:color w:val="auto"/>
          <w:highlight w:val="none"/>
          <w:lang w:val="en-US" w:eastAsia="zh-CN"/>
        </w:rPr>
      </w:pPr>
    </w:p>
    <w:p w14:paraId="68E54E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kern w:val="2"/>
          <w:sz w:val="32"/>
          <w:szCs w:val="32"/>
          <w:highlight w:val="none"/>
          <w:u w:val="none"/>
          <w:lang w:val="en-US" w:eastAsia="zh-CN" w:bidi="ar-SA"/>
        </w:rPr>
        <w:sectPr>
          <w:headerReference r:id="rId3" w:type="default"/>
          <w:footerReference r:id="rId4" w:type="default"/>
          <w:pgSz w:w="11906" w:h="16838"/>
          <w:pgMar w:top="1440" w:right="846" w:bottom="898" w:left="1020" w:header="737" w:footer="624" w:gutter="0"/>
          <w:pgBorders w:display="firstPage">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sdt>
      <w:sdtPr>
        <w:rPr>
          <w:rFonts w:hint="eastAsia" w:ascii="仿宋" w:hAnsi="仿宋" w:eastAsia="仿宋" w:cs="仿宋"/>
          <w:b/>
          <w:bCs/>
          <w:kern w:val="2"/>
          <w:sz w:val="30"/>
          <w:szCs w:val="30"/>
          <w:lang w:val="en-US" w:eastAsia="zh-CN" w:bidi="ar-SA"/>
        </w:rPr>
        <w:id w:val="147466032"/>
        <w15:color w:val="DBDBDB"/>
        <w:docPartObj>
          <w:docPartGallery w:val="Table of Contents"/>
          <w:docPartUnique/>
        </w:docPartObj>
      </w:sdtPr>
      <w:sdtEndPr>
        <w:rPr>
          <w:rFonts w:hint="eastAsia" w:ascii="仿宋" w:hAnsi="仿宋" w:eastAsia="仿宋" w:cs="仿宋"/>
          <w:b/>
          <w:bCs/>
          <w:color w:val="auto"/>
          <w:kern w:val="2"/>
          <w:sz w:val="28"/>
          <w:szCs w:val="28"/>
          <w:highlight w:val="none"/>
          <w:lang w:val="en-US" w:eastAsia="zh-CN" w:bidi="ar-SA"/>
        </w:rPr>
      </w:sdtEndPr>
      <w:sdtContent>
        <w:p w14:paraId="33A9A8C3">
          <w:pPr>
            <w:spacing w:before="0" w:beforeLines="0" w:after="0" w:afterLines="0" w:line="240" w:lineRule="auto"/>
            <w:ind w:left="0" w:leftChars="0" w:right="0" w:rightChars="0" w:firstLine="0" w:firstLineChars="0"/>
            <w:jc w:val="center"/>
            <w:rPr>
              <w:rFonts w:hint="eastAsia" w:ascii="仿宋" w:hAnsi="仿宋" w:eastAsia="仿宋" w:cs="仿宋"/>
              <w:b/>
              <w:bCs/>
              <w:sz w:val="30"/>
              <w:szCs w:val="30"/>
            </w:rPr>
          </w:pPr>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p>
        <w:p w14:paraId="0CABAAE6">
          <w:pPr>
            <w:pStyle w:val="12"/>
            <w:tabs>
              <w:tab w:val="right" w:leader="dot" w:pos="9638"/>
            </w:tabs>
            <w:jc w:val="both"/>
            <w:rPr>
              <w:rFonts w:hint="eastAsia" w:ascii="仿宋" w:hAnsi="仿宋" w:eastAsia="仿宋" w:cs="仿宋"/>
              <w:sz w:val="28"/>
              <w:szCs w:val="28"/>
            </w:rPr>
          </w:pP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color w:val="auto"/>
              <w:kern w:val="2"/>
              <w:sz w:val="28"/>
              <w:szCs w:val="28"/>
              <w:highlight w:val="none"/>
              <w:lang w:val="en-US" w:eastAsia="zh-CN" w:bidi="ar-SA"/>
            </w:rPr>
            <w:instrText xml:space="preserve">TOC \o "1-1" \h \u </w:instrText>
          </w:r>
          <w:r>
            <w:rPr>
              <w:rFonts w:hint="eastAsia" w:ascii="仿宋" w:hAnsi="仿宋" w:eastAsia="仿宋" w:cs="仿宋"/>
              <w:bCs/>
              <w:color w:val="auto"/>
              <w:kern w:val="2"/>
              <w:sz w:val="28"/>
              <w:szCs w:val="28"/>
              <w:highlight w:val="none"/>
              <w:lang w:val="en-US" w:eastAsia="zh-CN" w:bidi="ar-SA"/>
            </w:rPr>
            <w:fldChar w:fldCharType="separate"/>
          </w:r>
        </w:p>
        <w:p w14:paraId="2D467391">
          <w:pPr>
            <w:pStyle w:val="12"/>
            <w:tabs>
              <w:tab w:val="right" w:leader="dot" w:pos="9638"/>
            </w:tabs>
            <w:jc w:val="both"/>
            <w:rPr>
              <w:rFonts w:hint="eastAsia" w:ascii="仿宋" w:hAnsi="仿宋" w:eastAsia="仿宋" w:cs="仿宋"/>
              <w:sz w:val="28"/>
              <w:szCs w:val="28"/>
            </w:rPr>
          </w:pP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kern w:val="2"/>
              <w:sz w:val="28"/>
              <w:szCs w:val="28"/>
              <w:highlight w:val="none"/>
              <w:lang w:val="en-US" w:eastAsia="zh-CN" w:bidi="ar-SA"/>
            </w:rPr>
            <w:instrText xml:space="preserve"> HYPERLINK \l _Toc1654 </w:instrText>
          </w:r>
          <w:r>
            <w:rPr>
              <w:rFonts w:hint="eastAsia" w:ascii="仿宋" w:hAnsi="仿宋" w:eastAsia="仿宋" w:cs="仿宋"/>
              <w:bCs/>
              <w:kern w:val="2"/>
              <w:sz w:val="28"/>
              <w:szCs w:val="28"/>
              <w:highlight w:val="none"/>
              <w:lang w:val="en-US" w:eastAsia="zh-CN" w:bidi="ar-SA"/>
            </w:rPr>
            <w:fldChar w:fldCharType="separate"/>
          </w:r>
          <w:r>
            <w:rPr>
              <w:rFonts w:hint="eastAsia" w:ascii="仿宋" w:hAnsi="仿宋" w:eastAsia="仿宋" w:cs="仿宋"/>
              <w:bCs/>
              <w:sz w:val="28"/>
              <w:szCs w:val="28"/>
              <w:lang w:val="en-US" w:eastAsia="zh-CN"/>
            </w:rPr>
            <w:t>第一章、</w:t>
          </w:r>
          <w:r>
            <w:rPr>
              <w:rFonts w:hint="eastAsia" w:ascii="仿宋" w:hAnsi="仿宋" w:eastAsia="仿宋" w:cs="仿宋"/>
              <w:bCs/>
              <w:sz w:val="28"/>
              <w:szCs w:val="28"/>
              <w:highlight w:val="none"/>
            </w:rPr>
            <w:t>产品内容</w:t>
          </w:r>
          <w:r>
            <w:rPr>
              <w:rFonts w:hint="eastAsia" w:ascii="仿宋" w:hAnsi="仿宋" w:eastAsia="仿宋" w:cs="仿宋"/>
              <w:bCs/>
              <w:sz w:val="28"/>
              <w:szCs w:val="28"/>
              <w:highlight w:val="none"/>
              <w:lang w:val="en-US" w:eastAsia="zh-CN"/>
            </w:rPr>
            <w:t>及合同价款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1D53DD83">
          <w:pPr>
            <w:pStyle w:val="12"/>
            <w:tabs>
              <w:tab w:val="right" w:leader="dot" w:pos="9638"/>
            </w:tabs>
            <w:jc w:val="both"/>
            <w:rPr>
              <w:rFonts w:hint="eastAsia" w:ascii="仿宋" w:hAnsi="仿宋" w:eastAsia="仿宋" w:cs="仿宋"/>
              <w:sz w:val="28"/>
              <w:szCs w:val="28"/>
            </w:rPr>
          </w:pP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kern w:val="2"/>
              <w:sz w:val="28"/>
              <w:szCs w:val="28"/>
              <w:highlight w:val="none"/>
              <w:lang w:val="en-US" w:eastAsia="zh-CN" w:bidi="ar-SA"/>
            </w:rPr>
            <w:instrText xml:space="preserve"> HYPERLINK \l _Toc14155 </w:instrText>
          </w:r>
          <w:r>
            <w:rPr>
              <w:rFonts w:hint="eastAsia" w:ascii="仿宋" w:hAnsi="仿宋" w:eastAsia="仿宋" w:cs="仿宋"/>
              <w:bCs/>
              <w:kern w:val="2"/>
              <w:sz w:val="28"/>
              <w:szCs w:val="28"/>
              <w:highlight w:val="none"/>
              <w:lang w:val="en-US" w:eastAsia="zh-CN" w:bidi="ar-SA"/>
            </w:rPr>
            <w:fldChar w:fldCharType="separate"/>
          </w:r>
          <w:r>
            <w:rPr>
              <w:rFonts w:hint="eastAsia" w:ascii="仿宋" w:hAnsi="仿宋" w:eastAsia="仿宋" w:cs="仿宋"/>
              <w:bCs/>
              <w:sz w:val="28"/>
              <w:szCs w:val="28"/>
              <w:highlight w:val="none"/>
              <w:lang w:val="en-US" w:eastAsia="zh-CN"/>
            </w:rPr>
            <w:t>第二章、</w:t>
          </w:r>
          <w:r>
            <w:rPr>
              <w:rFonts w:hint="eastAsia" w:ascii="仿宋" w:hAnsi="仿宋" w:eastAsia="仿宋" w:cs="仿宋"/>
              <w:bCs/>
              <w:sz w:val="28"/>
              <w:szCs w:val="28"/>
              <w:highlight w:val="none"/>
            </w:rPr>
            <w:t>付款方式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_Toc14155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0252A2F2">
          <w:pPr>
            <w:pStyle w:val="12"/>
            <w:tabs>
              <w:tab w:val="right" w:leader="dot" w:pos="9638"/>
            </w:tabs>
            <w:jc w:val="both"/>
            <w:rPr>
              <w:rFonts w:hint="eastAsia" w:ascii="仿宋" w:hAnsi="仿宋" w:eastAsia="仿宋" w:cs="仿宋"/>
              <w:sz w:val="28"/>
              <w:szCs w:val="28"/>
            </w:rPr>
          </w:pP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kern w:val="2"/>
              <w:sz w:val="28"/>
              <w:szCs w:val="28"/>
              <w:highlight w:val="none"/>
              <w:lang w:val="en-US" w:eastAsia="zh-CN" w:bidi="ar-SA"/>
            </w:rPr>
            <w:instrText xml:space="preserve"> HYPERLINK \l _Toc23826 </w:instrText>
          </w:r>
          <w:r>
            <w:rPr>
              <w:rFonts w:hint="eastAsia" w:ascii="仿宋" w:hAnsi="仿宋" w:eastAsia="仿宋" w:cs="仿宋"/>
              <w:bCs/>
              <w:kern w:val="2"/>
              <w:sz w:val="28"/>
              <w:szCs w:val="28"/>
              <w:highlight w:val="none"/>
              <w:lang w:val="en-US" w:eastAsia="zh-CN" w:bidi="ar-SA"/>
            </w:rPr>
            <w:fldChar w:fldCharType="separate"/>
          </w:r>
          <w:r>
            <w:rPr>
              <w:rFonts w:hint="eastAsia" w:ascii="仿宋" w:hAnsi="仿宋" w:eastAsia="仿宋" w:cs="仿宋"/>
              <w:bCs/>
              <w:sz w:val="28"/>
              <w:szCs w:val="28"/>
              <w:highlight w:val="none"/>
              <w:lang w:val="en-US" w:eastAsia="zh-CN"/>
            </w:rPr>
            <w:t>第三章、产品</w:t>
          </w:r>
          <w:r>
            <w:rPr>
              <w:rFonts w:hint="eastAsia" w:ascii="仿宋" w:hAnsi="仿宋" w:eastAsia="仿宋" w:cs="仿宋"/>
              <w:bCs/>
              <w:sz w:val="28"/>
              <w:szCs w:val="28"/>
              <w:highlight w:val="none"/>
            </w:rPr>
            <w:t>质量</w:t>
          </w:r>
          <w:r>
            <w:rPr>
              <w:rFonts w:hint="eastAsia" w:ascii="仿宋" w:hAnsi="仿宋" w:eastAsia="仿宋" w:cs="仿宋"/>
              <w:bCs/>
              <w:sz w:val="28"/>
              <w:szCs w:val="28"/>
              <w:highlight w:val="none"/>
              <w:lang w:val="en-US" w:eastAsia="zh-CN"/>
            </w:rPr>
            <w:t>及包装要求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_Toc23826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3F4A4163">
          <w:pPr>
            <w:pStyle w:val="12"/>
            <w:tabs>
              <w:tab w:val="right" w:leader="dot" w:pos="9638"/>
            </w:tabs>
            <w:jc w:val="both"/>
            <w:rPr>
              <w:rFonts w:hint="eastAsia" w:ascii="仿宋" w:hAnsi="仿宋" w:eastAsia="仿宋" w:cs="仿宋"/>
              <w:sz w:val="28"/>
              <w:szCs w:val="28"/>
            </w:rPr>
          </w:pP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kern w:val="2"/>
              <w:sz w:val="28"/>
              <w:szCs w:val="28"/>
              <w:highlight w:val="none"/>
              <w:lang w:val="en-US" w:eastAsia="zh-CN" w:bidi="ar-SA"/>
            </w:rPr>
            <w:instrText xml:space="preserve"> HYPERLINK \l _Toc31306 </w:instrText>
          </w:r>
          <w:r>
            <w:rPr>
              <w:rFonts w:hint="eastAsia" w:ascii="仿宋" w:hAnsi="仿宋" w:eastAsia="仿宋" w:cs="仿宋"/>
              <w:bCs/>
              <w:kern w:val="2"/>
              <w:sz w:val="28"/>
              <w:szCs w:val="28"/>
              <w:highlight w:val="none"/>
              <w:lang w:val="en-US" w:eastAsia="zh-CN" w:bidi="ar-SA"/>
            </w:rPr>
            <w:fldChar w:fldCharType="separate"/>
          </w:r>
          <w:r>
            <w:rPr>
              <w:rFonts w:hint="eastAsia" w:ascii="仿宋" w:hAnsi="仿宋" w:eastAsia="仿宋" w:cs="仿宋"/>
              <w:bCs/>
              <w:sz w:val="28"/>
              <w:szCs w:val="28"/>
              <w:highlight w:val="none"/>
              <w:lang w:val="en-US" w:eastAsia="zh-CN"/>
            </w:rPr>
            <w:t>第四章、</w:t>
          </w:r>
          <w:r>
            <w:rPr>
              <w:rFonts w:hint="eastAsia" w:ascii="仿宋" w:hAnsi="仿宋" w:eastAsia="仿宋" w:cs="仿宋"/>
              <w:bCs/>
              <w:sz w:val="28"/>
              <w:szCs w:val="28"/>
              <w:highlight w:val="none"/>
              <w:lang w:eastAsia="zh-CN"/>
            </w:rPr>
            <w:t>订货、</w:t>
          </w:r>
          <w:r>
            <w:rPr>
              <w:rFonts w:hint="eastAsia" w:ascii="仿宋" w:hAnsi="仿宋" w:eastAsia="仿宋" w:cs="仿宋"/>
              <w:bCs/>
              <w:sz w:val="28"/>
              <w:szCs w:val="28"/>
              <w:highlight w:val="none"/>
            </w:rPr>
            <w:t>交货</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验收</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包装物</w:t>
          </w:r>
          <w:r>
            <w:rPr>
              <w:rFonts w:hint="eastAsia" w:ascii="仿宋" w:hAnsi="仿宋" w:eastAsia="仿宋" w:cs="仿宋"/>
              <w:bCs/>
              <w:sz w:val="28"/>
              <w:szCs w:val="28"/>
              <w:highlight w:val="none"/>
              <w:lang w:eastAsia="zh-CN"/>
            </w:rPr>
            <w:t>及保修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_Toc31306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229A0389">
          <w:pPr>
            <w:pStyle w:val="12"/>
            <w:tabs>
              <w:tab w:val="right" w:leader="dot" w:pos="9638"/>
            </w:tabs>
            <w:jc w:val="both"/>
            <w:rPr>
              <w:rFonts w:hint="eastAsia" w:ascii="仿宋" w:hAnsi="仿宋" w:eastAsia="仿宋" w:cs="仿宋"/>
              <w:sz w:val="28"/>
              <w:szCs w:val="28"/>
            </w:rPr>
          </w:pP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kern w:val="2"/>
              <w:sz w:val="28"/>
              <w:szCs w:val="28"/>
              <w:highlight w:val="none"/>
              <w:lang w:val="en-US" w:eastAsia="zh-CN" w:bidi="ar-SA"/>
            </w:rPr>
            <w:instrText xml:space="preserve"> HYPERLINK \l _Toc14170 </w:instrText>
          </w:r>
          <w:r>
            <w:rPr>
              <w:rFonts w:hint="eastAsia" w:ascii="仿宋" w:hAnsi="仿宋" w:eastAsia="仿宋" w:cs="仿宋"/>
              <w:bCs/>
              <w:kern w:val="2"/>
              <w:sz w:val="28"/>
              <w:szCs w:val="28"/>
              <w:highlight w:val="none"/>
              <w:lang w:val="en-US" w:eastAsia="zh-CN" w:bidi="ar-SA"/>
            </w:rPr>
            <w:fldChar w:fldCharType="separate"/>
          </w:r>
          <w:r>
            <w:rPr>
              <w:rFonts w:hint="eastAsia" w:ascii="仿宋" w:hAnsi="仿宋" w:eastAsia="仿宋" w:cs="仿宋"/>
              <w:bCs/>
              <w:sz w:val="28"/>
              <w:szCs w:val="28"/>
              <w:highlight w:val="none"/>
              <w:lang w:val="en-US" w:eastAsia="zh-CN"/>
            </w:rPr>
            <w:t>第五章</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_Toc14170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590049E6">
          <w:pPr>
            <w:pStyle w:val="12"/>
            <w:tabs>
              <w:tab w:val="right" w:leader="dot" w:pos="9638"/>
            </w:tabs>
            <w:jc w:val="both"/>
            <w:rPr>
              <w:rFonts w:hint="eastAsia" w:ascii="仿宋" w:hAnsi="仿宋" w:eastAsia="仿宋" w:cs="仿宋"/>
              <w:sz w:val="28"/>
              <w:szCs w:val="28"/>
            </w:rPr>
          </w:pP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kern w:val="2"/>
              <w:sz w:val="28"/>
              <w:szCs w:val="28"/>
              <w:highlight w:val="none"/>
              <w:lang w:val="en-US" w:eastAsia="zh-CN" w:bidi="ar-SA"/>
            </w:rPr>
            <w:instrText xml:space="preserve"> HYPERLINK \l _Toc32115 </w:instrText>
          </w:r>
          <w:r>
            <w:rPr>
              <w:rFonts w:hint="eastAsia" w:ascii="仿宋" w:hAnsi="仿宋" w:eastAsia="仿宋" w:cs="仿宋"/>
              <w:bCs/>
              <w:kern w:val="2"/>
              <w:sz w:val="28"/>
              <w:szCs w:val="28"/>
              <w:highlight w:val="none"/>
              <w:lang w:val="en-US" w:eastAsia="zh-CN" w:bidi="ar-SA"/>
            </w:rPr>
            <w:fldChar w:fldCharType="separate"/>
          </w:r>
          <w:r>
            <w:rPr>
              <w:rFonts w:hint="eastAsia" w:ascii="仿宋" w:hAnsi="仿宋" w:eastAsia="仿宋" w:cs="仿宋"/>
              <w:bCs/>
              <w:sz w:val="28"/>
              <w:szCs w:val="28"/>
              <w:highlight w:val="none"/>
              <w:lang w:val="en-US" w:eastAsia="zh-CN"/>
            </w:rPr>
            <w:t>第六章</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廉洁条款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_Toc32115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19701B9F">
          <w:pPr>
            <w:pStyle w:val="12"/>
            <w:tabs>
              <w:tab w:val="right" w:leader="dot" w:pos="9638"/>
            </w:tabs>
            <w:jc w:val="both"/>
            <w:rPr>
              <w:rFonts w:hint="eastAsia" w:ascii="仿宋" w:hAnsi="仿宋" w:eastAsia="仿宋" w:cs="仿宋"/>
              <w:sz w:val="28"/>
              <w:szCs w:val="28"/>
            </w:rPr>
          </w:pPr>
          <w:r>
            <w:rPr>
              <w:rFonts w:hint="eastAsia" w:ascii="仿宋" w:hAnsi="仿宋" w:eastAsia="仿宋" w:cs="仿宋"/>
              <w:bCs/>
              <w:color w:val="auto"/>
              <w:kern w:val="2"/>
              <w:sz w:val="28"/>
              <w:szCs w:val="28"/>
              <w:highlight w:val="none"/>
              <w:lang w:val="en-US" w:eastAsia="zh-CN" w:bidi="ar-SA"/>
            </w:rPr>
            <w:fldChar w:fldCharType="begin"/>
          </w:r>
          <w:r>
            <w:rPr>
              <w:rFonts w:hint="eastAsia" w:ascii="仿宋" w:hAnsi="仿宋" w:eastAsia="仿宋" w:cs="仿宋"/>
              <w:bCs/>
              <w:kern w:val="2"/>
              <w:sz w:val="28"/>
              <w:szCs w:val="28"/>
              <w:highlight w:val="none"/>
              <w:lang w:val="en-US" w:eastAsia="zh-CN" w:bidi="ar-SA"/>
            </w:rPr>
            <w:instrText xml:space="preserve"> HYPERLINK \l _Toc16640 </w:instrText>
          </w:r>
          <w:r>
            <w:rPr>
              <w:rFonts w:hint="eastAsia" w:ascii="仿宋" w:hAnsi="仿宋" w:eastAsia="仿宋" w:cs="仿宋"/>
              <w:bCs/>
              <w:kern w:val="2"/>
              <w:sz w:val="28"/>
              <w:szCs w:val="28"/>
              <w:highlight w:val="none"/>
              <w:lang w:val="en-US" w:eastAsia="zh-CN" w:bidi="ar-SA"/>
            </w:rPr>
            <w:fldChar w:fldCharType="separate"/>
          </w:r>
          <w:r>
            <w:rPr>
              <w:rFonts w:hint="eastAsia" w:ascii="仿宋" w:hAnsi="仿宋" w:eastAsia="仿宋" w:cs="仿宋"/>
              <w:bCs/>
              <w:sz w:val="28"/>
              <w:szCs w:val="28"/>
              <w:highlight w:val="none"/>
              <w:lang w:val="en-US" w:eastAsia="zh-CN"/>
            </w:rPr>
            <w:t>第七章</w:t>
          </w:r>
          <w:r>
            <w:rPr>
              <w:rFonts w:hint="eastAsia" w:ascii="仿宋" w:hAnsi="仿宋" w:eastAsia="仿宋" w:cs="仿宋"/>
              <w:bCs/>
              <w:sz w:val="28"/>
              <w:szCs w:val="28"/>
              <w:highlight w:val="none"/>
              <w:lang w:eastAsia="zh-CN"/>
            </w:rPr>
            <w:t>、其他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_Toc16640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bCs/>
              <w:color w:val="auto"/>
              <w:kern w:val="2"/>
              <w:sz w:val="28"/>
              <w:szCs w:val="28"/>
              <w:highlight w:val="none"/>
              <w:lang w:val="en-US" w:eastAsia="zh-CN" w:bidi="ar-SA"/>
            </w:rPr>
            <w:fldChar w:fldCharType="end"/>
          </w:r>
        </w:p>
        <w:p w14:paraId="2CAE90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bCs/>
              <w:color w:val="auto"/>
              <w:kern w:val="2"/>
              <w:sz w:val="28"/>
              <w:szCs w:val="28"/>
              <w:highlight w:val="none"/>
              <w:lang w:val="en-US" w:eastAsia="zh-CN" w:bidi="ar-SA"/>
            </w:rPr>
            <w:fldChar w:fldCharType="end"/>
          </w:r>
        </w:p>
      </w:sdtContent>
    </w:sdt>
    <w:p w14:paraId="184EDB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3A3360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68DB99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3C8F66D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28CE34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2EEF83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56716EB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0428C0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3F4699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398E93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7FB579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63BCFA6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2A166CE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38801F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45B2A9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731FAE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7FA23C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038D69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bCs/>
          <w:color w:val="auto"/>
          <w:kern w:val="2"/>
          <w:sz w:val="21"/>
          <w:szCs w:val="28"/>
          <w:highlight w:val="none"/>
          <w:lang w:val="en-US" w:eastAsia="zh-CN" w:bidi="ar-SA"/>
        </w:rPr>
      </w:pPr>
    </w:p>
    <w:p w14:paraId="27CFC576">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360" w:lineRule="auto"/>
        <w:ind w:firstLine="0" w:firstLineChars="0"/>
        <w:jc w:val="both"/>
        <w:textAlignment w:val="auto"/>
        <w:rPr>
          <w:rFonts w:hint="eastAsia" w:ascii="仿宋" w:hAnsi="仿宋" w:eastAsia="仿宋" w:cs="仿宋"/>
          <w:b w:val="0"/>
          <w:bCs w:val="0"/>
          <w:color w:val="auto"/>
          <w:kern w:val="2"/>
          <w:sz w:val="28"/>
          <w:szCs w:val="28"/>
          <w:highlight w:val="none"/>
          <w:u w:val="none"/>
          <w:lang w:val="en-US" w:eastAsia="zh-CN" w:bidi="ar-SA"/>
        </w:rPr>
      </w:pPr>
    </w:p>
    <w:p w14:paraId="5880283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color w:val="auto"/>
          <w:kern w:val="2"/>
          <w:sz w:val="28"/>
          <w:szCs w:val="28"/>
          <w:highlight w:val="none"/>
          <w:u w:val="none"/>
          <w:lang w:val="en-US" w:eastAsia="zh-CN" w:bidi="ar-SA"/>
        </w:rPr>
        <w:sectPr>
          <w:footerReference r:id="rId5" w:type="default"/>
          <w:pgSz w:w="11906" w:h="16838"/>
          <w:pgMar w:top="1361" w:right="1134" w:bottom="1247" w:left="1134" w:header="737" w:footer="624" w:gutter="0"/>
          <w:pgBorders>
            <w:top w:val="none" w:sz="0" w:space="0"/>
            <w:left w:val="none" w:sz="0" w:space="0"/>
            <w:bottom w:val="none" w:sz="0" w:space="0"/>
            <w:right w:val="none" w:sz="0" w:space="0"/>
          </w:pgBorders>
          <w:pgNumType w:fmt="decimal" w:start="1"/>
          <w:cols w:space="425" w:num="1"/>
          <w:rtlGutter w:val="0"/>
          <w:docGrid w:type="lines" w:linePitch="312" w:charSpace="0"/>
        </w:sectPr>
      </w:pPr>
    </w:p>
    <w:p w14:paraId="25D0BDB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依据《中华人民共和国民法典》《中华人民共和国产品质量法》及其他有关法律法规，甲、乙双方在平等、自愿、公平和诚实守信的原则上，就拟用于“</w:t>
      </w:r>
      <w:r>
        <w:rPr>
          <w:rFonts w:hint="eastAsia" w:ascii="仿宋" w:hAnsi="仿宋" w:eastAsia="仿宋" w:cs="仿宋"/>
          <w:color w:val="auto"/>
          <w:sz w:val="28"/>
          <w:szCs w:val="28"/>
          <w:highlight w:val="none"/>
          <w:u w:val="single"/>
          <w:lang w:val="en-US" w:eastAsia="zh-CN"/>
        </w:rPr>
        <w:t>南京现代表面处理科技产业中心项目B地块工程</w:t>
      </w:r>
      <w:r>
        <w:rPr>
          <w:rFonts w:hint="eastAsia" w:ascii="仿宋" w:hAnsi="仿宋" w:eastAsia="仿宋" w:cs="仿宋"/>
          <w:b w:val="0"/>
          <w:bCs w:val="0"/>
          <w:color w:val="auto"/>
          <w:kern w:val="2"/>
          <w:sz w:val="28"/>
          <w:szCs w:val="28"/>
          <w:highlight w:val="none"/>
          <w:u w:val="none"/>
          <w:lang w:val="en-US" w:eastAsia="zh-CN" w:bidi="ar-SA"/>
        </w:rPr>
        <w:t>”（以下简称“本项目”）的</w:t>
      </w:r>
      <w:r>
        <w:rPr>
          <w:rFonts w:hint="eastAsia" w:ascii="仿宋" w:hAnsi="仿宋" w:eastAsia="仿宋" w:cs="仿宋"/>
          <w:b w:val="0"/>
          <w:bCs w:val="0"/>
          <w:color w:val="auto"/>
          <w:kern w:val="2"/>
          <w:sz w:val="28"/>
          <w:szCs w:val="28"/>
          <w:highlight w:val="none"/>
          <w:u w:val="single"/>
          <w:lang w:val="en-US" w:eastAsia="zh-CN" w:bidi="ar-SA"/>
        </w:rPr>
        <w:t>砂、砖渣、碎石、石粉、袋装水泥</w:t>
      </w:r>
      <w:r>
        <w:rPr>
          <w:rFonts w:hint="eastAsia" w:ascii="仿宋" w:hAnsi="仿宋" w:eastAsia="仿宋" w:cs="仿宋"/>
          <w:b w:val="0"/>
          <w:bCs w:val="0"/>
          <w:color w:val="auto"/>
          <w:kern w:val="2"/>
          <w:sz w:val="28"/>
          <w:szCs w:val="28"/>
          <w:highlight w:val="none"/>
          <w:u w:val="none"/>
          <w:lang w:val="en-US" w:eastAsia="zh-CN" w:bidi="ar-SA"/>
        </w:rPr>
        <w:t>（以下简称“产品”） 购销事宜协商一致，特签订本合同。（本合同范围内，对以</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color w:val="auto"/>
          <w:kern w:val="2"/>
          <w:sz w:val="28"/>
          <w:szCs w:val="28"/>
          <w:highlight w:val="none"/>
          <w:u w:val="none"/>
          <w:lang w:val="en-US" w:eastAsia="zh-CN" w:bidi="ar-SA"/>
        </w:rPr>
        <w:t>或</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color w:val="auto"/>
          <w:kern w:val="2"/>
          <w:sz w:val="28"/>
          <w:szCs w:val="28"/>
          <w:highlight w:val="none"/>
          <w:u w:val="none"/>
          <w:lang w:val="en-US" w:eastAsia="zh-CN" w:bidi="ar-SA"/>
        </w:rPr>
        <w:t>开头的内容，以</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color w:val="auto"/>
          <w:kern w:val="2"/>
          <w:sz w:val="28"/>
          <w:szCs w:val="28"/>
          <w:highlight w:val="none"/>
          <w:u w:val="none"/>
          <w:lang w:val="en-US" w:eastAsia="zh-CN" w:bidi="ar-SA"/>
        </w:rPr>
        <w:t>开头的内容为准）</w:t>
      </w:r>
    </w:p>
    <w:p w14:paraId="206D8E4E">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textAlignment w:val="auto"/>
        <w:outlineLvl w:val="0"/>
        <w:rPr>
          <w:rFonts w:hint="eastAsia" w:ascii="仿宋" w:hAnsi="仿宋" w:eastAsia="仿宋" w:cs="仿宋"/>
          <w:b/>
          <w:bCs/>
          <w:color w:val="auto"/>
          <w:sz w:val="28"/>
          <w:szCs w:val="28"/>
          <w:highlight w:val="none"/>
          <w:lang w:val="en-US" w:eastAsia="zh-CN"/>
        </w:rPr>
      </w:pPr>
      <w:bookmarkStart w:id="5" w:name="_Toc17291"/>
      <w:bookmarkStart w:id="6" w:name="_Toc26009"/>
      <w:bookmarkStart w:id="7" w:name="_Toc30517"/>
      <w:bookmarkStart w:id="8" w:name="_Toc1654"/>
      <w:bookmarkStart w:id="9" w:name="_Toc3633"/>
      <w:bookmarkStart w:id="10" w:name="_Toc17474"/>
      <w:r>
        <w:rPr>
          <w:rFonts w:hint="eastAsia" w:ascii="仿宋" w:hAnsi="仿宋" w:eastAsia="仿宋" w:cs="仿宋"/>
          <w:b/>
          <w:bCs/>
          <w:color w:val="auto"/>
          <w:sz w:val="28"/>
          <w:szCs w:val="28"/>
          <w:highlight w:val="none"/>
        </w:rPr>
        <w:t>产品内容</w:t>
      </w:r>
      <w:bookmarkEnd w:id="5"/>
      <w:bookmarkEnd w:id="6"/>
      <w:bookmarkEnd w:id="7"/>
      <w:r>
        <w:rPr>
          <w:rFonts w:hint="eastAsia" w:ascii="仿宋" w:hAnsi="仿宋" w:eastAsia="仿宋" w:cs="仿宋"/>
          <w:b/>
          <w:bCs/>
          <w:color w:val="auto"/>
          <w:sz w:val="28"/>
          <w:szCs w:val="28"/>
          <w:highlight w:val="none"/>
          <w:lang w:val="en-US" w:eastAsia="zh-CN"/>
        </w:rPr>
        <w:t>及合同价款</w:t>
      </w:r>
      <w:bookmarkEnd w:id="8"/>
      <w:bookmarkEnd w:id="9"/>
      <w:bookmarkEnd w:id="10"/>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699"/>
        <w:gridCol w:w="1695"/>
        <w:gridCol w:w="1552"/>
        <w:gridCol w:w="699"/>
        <w:gridCol w:w="537"/>
        <w:gridCol w:w="696"/>
        <w:gridCol w:w="1260"/>
        <w:gridCol w:w="1260"/>
        <w:gridCol w:w="920"/>
      </w:tblGrid>
      <w:tr w14:paraId="6B24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604321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699" w:type="dxa"/>
            <w:tcBorders>
              <w:top w:val="single" w:color="000000" w:sz="4" w:space="0"/>
              <w:left w:val="single" w:color="auto" w:sz="4" w:space="0"/>
              <w:bottom w:val="nil"/>
              <w:right w:val="single" w:color="000000" w:sz="4" w:space="0"/>
            </w:tcBorders>
            <w:shd w:val="clear" w:color="auto" w:fill="auto"/>
            <w:vAlign w:val="center"/>
          </w:tcPr>
          <w:p w14:paraId="0D9F01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材料名称</w:t>
            </w:r>
          </w:p>
        </w:tc>
        <w:tc>
          <w:tcPr>
            <w:tcW w:w="1695" w:type="dxa"/>
            <w:tcBorders>
              <w:top w:val="single" w:color="000000" w:sz="4" w:space="0"/>
              <w:left w:val="single" w:color="000000" w:sz="4" w:space="0"/>
              <w:bottom w:val="nil"/>
              <w:right w:val="single" w:color="000000" w:sz="4" w:space="0"/>
            </w:tcBorders>
            <w:shd w:val="clear" w:color="auto" w:fill="auto"/>
            <w:vAlign w:val="center"/>
          </w:tcPr>
          <w:p w14:paraId="1D9956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报价产品的品牌、制造商</w:t>
            </w:r>
          </w:p>
        </w:tc>
        <w:tc>
          <w:tcPr>
            <w:tcW w:w="1552" w:type="dxa"/>
            <w:tcBorders>
              <w:top w:val="single" w:color="000000" w:sz="4" w:space="0"/>
              <w:left w:val="single" w:color="000000" w:sz="4" w:space="0"/>
              <w:bottom w:val="nil"/>
              <w:right w:val="single" w:color="000000" w:sz="4" w:space="0"/>
            </w:tcBorders>
            <w:shd w:val="clear" w:color="auto" w:fill="auto"/>
            <w:vAlign w:val="center"/>
          </w:tcPr>
          <w:p w14:paraId="6CF0E6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规格、尺寸、材质、参数</w:t>
            </w:r>
          </w:p>
        </w:tc>
        <w:tc>
          <w:tcPr>
            <w:tcW w:w="699" w:type="dxa"/>
            <w:tcBorders>
              <w:top w:val="single" w:color="000000" w:sz="4" w:space="0"/>
              <w:left w:val="single" w:color="000000" w:sz="4" w:space="0"/>
              <w:bottom w:val="nil"/>
              <w:right w:val="single" w:color="000000" w:sz="4" w:space="0"/>
            </w:tcBorders>
            <w:shd w:val="clear" w:color="auto" w:fill="auto"/>
            <w:vAlign w:val="center"/>
          </w:tcPr>
          <w:p w14:paraId="3EFAF9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质量等级</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0E9AB5C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c>
          <w:tcPr>
            <w:tcW w:w="696" w:type="dxa"/>
            <w:tcBorders>
              <w:top w:val="single" w:color="000000" w:sz="4" w:space="0"/>
              <w:left w:val="single" w:color="000000" w:sz="4" w:space="0"/>
              <w:bottom w:val="nil"/>
              <w:right w:val="single" w:color="000000" w:sz="4" w:space="0"/>
            </w:tcBorders>
            <w:shd w:val="clear" w:color="auto" w:fill="auto"/>
            <w:vAlign w:val="center"/>
          </w:tcPr>
          <w:p w14:paraId="3EBCB8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暂定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数量</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4984FA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含税单价（元）</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3D7998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暂定合价（元）</w:t>
            </w:r>
          </w:p>
        </w:tc>
        <w:tc>
          <w:tcPr>
            <w:tcW w:w="920" w:type="dxa"/>
            <w:tcBorders>
              <w:top w:val="single" w:color="000000" w:sz="4" w:space="0"/>
              <w:left w:val="single" w:color="000000" w:sz="4" w:space="0"/>
              <w:bottom w:val="nil"/>
              <w:right w:val="single" w:color="000000" w:sz="4" w:space="0"/>
            </w:tcBorders>
            <w:shd w:val="clear" w:color="auto" w:fill="auto"/>
            <w:vAlign w:val="center"/>
          </w:tcPr>
          <w:p w14:paraId="6AD8AC1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w:t>
            </w:r>
          </w:p>
        </w:tc>
      </w:tr>
      <w:tr w14:paraId="48A0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6" w:type="dxa"/>
            <w:tcBorders>
              <w:top w:val="single" w:color="auto" w:sz="4" w:space="0"/>
              <w:left w:val="single" w:color="000000" w:sz="4" w:space="0"/>
              <w:bottom w:val="single" w:color="000000" w:sz="4" w:space="0"/>
              <w:right w:val="single" w:color="000000" w:sz="4" w:space="0"/>
            </w:tcBorders>
            <w:shd w:val="clear" w:color="auto" w:fill="auto"/>
            <w:vAlign w:val="center"/>
          </w:tcPr>
          <w:p w14:paraId="3033D4A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3EC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洗水砂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8AF8">
            <w:pPr>
              <w:jc w:val="center"/>
              <w:rPr>
                <w:rFonts w:hint="eastAsia" w:ascii="仿宋" w:hAnsi="仿宋" w:eastAsia="仿宋" w:cs="仿宋"/>
                <w:i w:val="0"/>
                <w:iCs w:val="0"/>
                <w:color w:val="auto"/>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D0A0">
            <w:pPr>
              <w:keepNext w:val="0"/>
              <w:keepLines w:val="0"/>
              <w:widowControl/>
              <w:suppressLineNumbers w:val="0"/>
              <w:jc w:val="center"/>
              <w:textAlignment w:val="cente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山砂</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3B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4B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CC87">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1652">
            <w:pPr>
              <w:jc w:val="center"/>
              <w:rPr>
                <w:rFonts w:hint="eastAsia" w:ascii="仿宋" w:hAnsi="仿宋" w:eastAsia="仿宋" w:cs="仿宋"/>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A055">
            <w:pPr>
              <w:jc w:val="center"/>
              <w:rPr>
                <w:rFonts w:hint="eastAsia" w:ascii="仿宋" w:hAnsi="仿宋" w:eastAsia="仿宋" w:cs="仿宋"/>
                <w:i w:val="0"/>
                <w:iCs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7D17">
            <w:pPr>
              <w:rPr>
                <w:rFonts w:hint="eastAsia" w:ascii="仿宋" w:hAnsi="仿宋" w:eastAsia="仿宋" w:cs="仿宋"/>
                <w:i w:val="0"/>
                <w:iCs w:val="0"/>
                <w:color w:val="auto"/>
                <w:sz w:val="24"/>
                <w:szCs w:val="24"/>
                <w:u w:val="none"/>
              </w:rPr>
            </w:pPr>
          </w:p>
        </w:tc>
      </w:tr>
      <w:tr w14:paraId="1A892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FAE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42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自然砂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6F2E">
            <w:pPr>
              <w:jc w:val="center"/>
              <w:rPr>
                <w:rFonts w:hint="eastAsia" w:ascii="仿宋" w:hAnsi="仿宋" w:eastAsia="仿宋" w:cs="仿宋"/>
                <w:i w:val="0"/>
                <w:iCs w:val="0"/>
                <w:color w:val="auto"/>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741D">
            <w:pPr>
              <w:keepNext w:val="0"/>
              <w:keepLines w:val="0"/>
              <w:widowControl/>
              <w:suppressLineNumbers w:val="0"/>
              <w:jc w:val="center"/>
              <w:textAlignment w:val="cente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河沙</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C3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9DC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16E3">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F724">
            <w:pPr>
              <w:jc w:val="center"/>
              <w:rPr>
                <w:rFonts w:hint="eastAsia" w:ascii="仿宋" w:hAnsi="仿宋" w:eastAsia="仿宋" w:cs="仿宋"/>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9946">
            <w:pPr>
              <w:jc w:val="center"/>
              <w:rPr>
                <w:rFonts w:hint="eastAsia" w:ascii="仿宋" w:hAnsi="仿宋" w:eastAsia="仿宋" w:cs="仿宋"/>
                <w:i w:val="0"/>
                <w:iCs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AAC8">
            <w:pPr>
              <w:rPr>
                <w:rFonts w:hint="eastAsia" w:ascii="仿宋" w:hAnsi="仿宋" w:eastAsia="仿宋" w:cs="仿宋"/>
                <w:i w:val="0"/>
                <w:iCs w:val="0"/>
                <w:color w:val="auto"/>
                <w:sz w:val="24"/>
                <w:szCs w:val="24"/>
                <w:u w:val="none"/>
              </w:rPr>
            </w:pPr>
          </w:p>
        </w:tc>
      </w:tr>
      <w:tr w14:paraId="266B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A9C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CA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砖渣</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0A76">
            <w:pPr>
              <w:jc w:val="center"/>
              <w:rPr>
                <w:rFonts w:hint="eastAsia" w:ascii="仿宋" w:hAnsi="仿宋" w:eastAsia="仿宋" w:cs="仿宋"/>
                <w:i w:val="0"/>
                <w:iCs w:val="0"/>
                <w:color w:val="auto"/>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AE3F">
            <w:pPr>
              <w:keepNext w:val="0"/>
              <w:keepLines w:val="0"/>
              <w:widowControl/>
              <w:suppressLineNumbers w:val="0"/>
              <w:jc w:val="center"/>
              <w:textAlignment w:val="cente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建渣，不含灰砂砖</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39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5A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B667">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823C">
            <w:pPr>
              <w:jc w:val="center"/>
              <w:rPr>
                <w:rFonts w:hint="eastAsia" w:ascii="仿宋" w:hAnsi="仿宋" w:eastAsia="仿宋" w:cs="仿宋"/>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A74F">
            <w:pPr>
              <w:jc w:val="center"/>
              <w:rPr>
                <w:rFonts w:hint="eastAsia" w:ascii="仿宋" w:hAnsi="仿宋" w:eastAsia="仿宋" w:cs="仿宋"/>
                <w:i w:val="0"/>
                <w:iCs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84F8">
            <w:pPr>
              <w:rPr>
                <w:rFonts w:hint="eastAsia" w:ascii="仿宋" w:hAnsi="仿宋" w:eastAsia="仿宋" w:cs="仿宋"/>
                <w:i w:val="0"/>
                <w:iCs w:val="0"/>
                <w:color w:val="auto"/>
                <w:sz w:val="24"/>
                <w:szCs w:val="24"/>
                <w:u w:val="none"/>
              </w:rPr>
            </w:pPr>
          </w:p>
        </w:tc>
      </w:tr>
      <w:tr w14:paraId="6580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FC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48A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再生碎石</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405A">
            <w:pPr>
              <w:jc w:val="center"/>
              <w:rPr>
                <w:rFonts w:hint="eastAsia" w:ascii="仿宋" w:hAnsi="仿宋" w:eastAsia="仿宋" w:cs="仿宋"/>
                <w:i w:val="0"/>
                <w:iCs w:val="0"/>
                <w:color w:val="auto"/>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68F1">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1-3,2-4石粉，混拌</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A52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DC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F75E">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D54F">
            <w:pPr>
              <w:jc w:val="center"/>
              <w:rPr>
                <w:rFonts w:hint="eastAsia" w:ascii="仿宋" w:hAnsi="仿宋" w:eastAsia="仿宋" w:cs="仿宋"/>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38B6">
            <w:pPr>
              <w:jc w:val="center"/>
              <w:rPr>
                <w:rFonts w:hint="eastAsia" w:ascii="仿宋" w:hAnsi="仿宋" w:eastAsia="仿宋" w:cs="仿宋"/>
                <w:i w:val="0"/>
                <w:iCs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35FC">
            <w:pP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1-3级配碎石</w:t>
            </w:r>
          </w:p>
        </w:tc>
      </w:tr>
      <w:tr w14:paraId="6FC7C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154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6B9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碎石</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DEC8">
            <w:pPr>
              <w:jc w:val="center"/>
              <w:rPr>
                <w:rFonts w:hint="eastAsia" w:ascii="仿宋" w:hAnsi="仿宋" w:eastAsia="仿宋" w:cs="仿宋"/>
                <w:i w:val="0"/>
                <w:iCs w:val="0"/>
                <w:color w:val="auto"/>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17A2">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原生5-15mm</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62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62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7BC4">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3AA3">
            <w:pPr>
              <w:jc w:val="center"/>
              <w:rPr>
                <w:rFonts w:hint="eastAsia" w:ascii="仿宋" w:hAnsi="仿宋" w:eastAsia="仿宋" w:cs="仿宋"/>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AFAA">
            <w:pPr>
              <w:jc w:val="center"/>
              <w:rPr>
                <w:rFonts w:hint="eastAsia" w:ascii="仿宋" w:hAnsi="仿宋" w:eastAsia="仿宋" w:cs="仿宋"/>
                <w:i w:val="0"/>
                <w:iCs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02E2">
            <w:pPr>
              <w:jc w:val="center"/>
              <w:rPr>
                <w:rFonts w:hint="eastAsia" w:ascii="仿宋" w:hAnsi="仿宋" w:eastAsia="仿宋" w:cs="仿宋"/>
                <w:i w:val="0"/>
                <w:iCs w:val="0"/>
                <w:color w:val="auto"/>
                <w:sz w:val="24"/>
                <w:szCs w:val="24"/>
                <w:u w:val="none"/>
              </w:rPr>
            </w:pPr>
          </w:p>
        </w:tc>
      </w:tr>
      <w:tr w14:paraId="45ADB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FAF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7C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再生石粉</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6A53">
            <w:pPr>
              <w:jc w:val="center"/>
              <w:rPr>
                <w:rFonts w:hint="eastAsia" w:ascii="仿宋" w:hAnsi="仿宋" w:eastAsia="仿宋" w:cs="仿宋"/>
                <w:i w:val="0"/>
                <w:iCs w:val="0"/>
                <w:color w:val="auto"/>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BCFC">
            <w:pPr>
              <w:keepNext w:val="0"/>
              <w:keepLines w:val="0"/>
              <w:widowControl/>
              <w:suppressLineNumbers w:val="0"/>
              <w:jc w:val="center"/>
              <w:textAlignment w:val="cente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建渣</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81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189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7C28">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0FB9">
            <w:pPr>
              <w:jc w:val="center"/>
              <w:rPr>
                <w:rFonts w:hint="eastAsia" w:ascii="仿宋" w:hAnsi="仿宋" w:eastAsia="仿宋" w:cs="仿宋"/>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67D4">
            <w:pPr>
              <w:jc w:val="center"/>
              <w:rPr>
                <w:rFonts w:hint="eastAsia" w:ascii="仿宋" w:hAnsi="仿宋" w:eastAsia="仿宋" w:cs="仿宋"/>
                <w:i w:val="0"/>
                <w:iCs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85C4">
            <w:pPr>
              <w:rPr>
                <w:rFonts w:hint="eastAsia" w:ascii="仿宋" w:hAnsi="仿宋" w:eastAsia="仿宋" w:cs="仿宋"/>
                <w:i w:val="0"/>
                <w:iCs w:val="0"/>
                <w:color w:val="auto"/>
                <w:sz w:val="24"/>
                <w:szCs w:val="24"/>
                <w:u w:val="none"/>
              </w:rPr>
            </w:pPr>
          </w:p>
        </w:tc>
      </w:tr>
      <w:tr w14:paraId="78588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E1E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3B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原生石粉</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801C">
            <w:pPr>
              <w:jc w:val="center"/>
              <w:rPr>
                <w:rFonts w:hint="eastAsia" w:ascii="仿宋" w:hAnsi="仿宋" w:eastAsia="仿宋" w:cs="仿宋"/>
                <w:i w:val="0"/>
                <w:iCs w:val="0"/>
                <w:color w:val="auto"/>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9ECF">
            <w:pPr>
              <w:jc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92E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9D4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4EC9">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943D">
            <w:pPr>
              <w:jc w:val="center"/>
              <w:rPr>
                <w:rFonts w:hint="eastAsia" w:ascii="仿宋" w:hAnsi="仿宋" w:eastAsia="仿宋" w:cs="仿宋"/>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9F9D">
            <w:pPr>
              <w:jc w:val="center"/>
              <w:rPr>
                <w:rFonts w:hint="eastAsia" w:ascii="仿宋" w:hAnsi="仿宋" w:eastAsia="仿宋" w:cs="仿宋"/>
                <w:i w:val="0"/>
                <w:iCs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E06A">
            <w:pPr>
              <w:jc w:val="center"/>
              <w:rPr>
                <w:rFonts w:hint="eastAsia" w:ascii="仿宋" w:hAnsi="仿宋" w:eastAsia="仿宋" w:cs="仿宋"/>
                <w:i w:val="0"/>
                <w:iCs w:val="0"/>
                <w:color w:val="auto"/>
                <w:sz w:val="24"/>
                <w:szCs w:val="24"/>
                <w:u w:val="none"/>
              </w:rPr>
            </w:pPr>
          </w:p>
        </w:tc>
      </w:tr>
      <w:tr w14:paraId="57CAB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D7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C4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石仔</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06DA">
            <w:pPr>
              <w:jc w:val="center"/>
              <w:rPr>
                <w:rFonts w:hint="eastAsia" w:ascii="仿宋" w:hAnsi="仿宋" w:eastAsia="仿宋" w:cs="仿宋"/>
                <w:i w:val="0"/>
                <w:iCs w:val="0"/>
                <w:color w:val="auto"/>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A992">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5-8,6-9石</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FCF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77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5AB7">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C647">
            <w:pPr>
              <w:jc w:val="center"/>
              <w:rPr>
                <w:rFonts w:hint="eastAsia" w:ascii="仿宋" w:hAnsi="仿宋" w:eastAsia="仿宋" w:cs="仿宋"/>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CD7C">
            <w:pPr>
              <w:jc w:val="center"/>
              <w:rPr>
                <w:rFonts w:hint="eastAsia" w:ascii="仿宋" w:hAnsi="仿宋" w:eastAsia="仿宋" w:cs="仿宋"/>
                <w:i w:val="0"/>
                <w:iCs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EA64">
            <w:pPr>
              <w:jc w:val="center"/>
              <w:rPr>
                <w:rFonts w:hint="eastAsia" w:ascii="仿宋" w:hAnsi="仿宋" w:eastAsia="仿宋" w:cs="仿宋"/>
                <w:i w:val="0"/>
                <w:iCs w:val="0"/>
                <w:color w:val="auto"/>
                <w:sz w:val="24"/>
                <w:szCs w:val="24"/>
                <w:u w:val="none"/>
              </w:rPr>
            </w:pPr>
          </w:p>
        </w:tc>
      </w:tr>
      <w:tr w14:paraId="3ADA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F0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3E1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袋装水泥</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23C9">
            <w:pPr>
              <w:keepNext w:val="0"/>
              <w:keepLines w:val="0"/>
              <w:widowControl/>
              <w:suppressLineNumbers w:val="0"/>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海螺、华润</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DB7A">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single"/>
                <w:lang w:val="en-US" w:eastAsia="zh-CN"/>
              </w:rPr>
              <w:t>M32.5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2AA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078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A03C">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BC35">
            <w:pPr>
              <w:jc w:val="center"/>
              <w:rPr>
                <w:rFonts w:hint="eastAsia" w:ascii="仿宋" w:hAnsi="仿宋" w:eastAsia="仿宋" w:cs="仿宋"/>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7916">
            <w:pPr>
              <w:jc w:val="center"/>
              <w:rPr>
                <w:rFonts w:hint="eastAsia" w:ascii="仿宋" w:hAnsi="仿宋" w:eastAsia="仿宋" w:cs="仿宋"/>
                <w:i w:val="0"/>
                <w:iCs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2704">
            <w:pPr>
              <w:rPr>
                <w:rFonts w:hint="eastAsia" w:ascii="仿宋" w:hAnsi="仿宋" w:eastAsia="仿宋" w:cs="仿宋"/>
                <w:i w:val="0"/>
                <w:iCs w:val="0"/>
                <w:color w:val="auto"/>
                <w:sz w:val="24"/>
                <w:szCs w:val="24"/>
                <w:u w:val="none"/>
              </w:rPr>
            </w:pPr>
          </w:p>
        </w:tc>
      </w:tr>
      <w:tr w14:paraId="1943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DF1A">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3687">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袋装水泥</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72E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海螺、华润</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E198">
            <w:pPr>
              <w:keepNext w:val="0"/>
              <w:keepLines w:val="0"/>
              <w:widowControl/>
              <w:suppressLineNumbers w:val="0"/>
              <w:jc w:val="center"/>
              <w:textAlignment w:val="center"/>
              <w:rPr>
                <w:rFonts w:hint="default" w:ascii="仿宋" w:hAnsi="仿宋" w:eastAsia="仿宋" w:cs="仿宋"/>
                <w:i w:val="0"/>
                <w:iCs w:val="0"/>
                <w:color w:val="auto"/>
                <w:sz w:val="24"/>
                <w:szCs w:val="24"/>
                <w:u w:val="single"/>
                <w:lang w:val="en-US" w:eastAsia="zh-CN"/>
              </w:rPr>
            </w:pPr>
            <w:r>
              <w:rPr>
                <w:rFonts w:hint="eastAsia" w:ascii="仿宋" w:hAnsi="仿宋" w:eastAsia="仿宋" w:cs="仿宋"/>
                <w:i w:val="0"/>
                <w:iCs w:val="0"/>
                <w:color w:val="auto"/>
                <w:sz w:val="24"/>
                <w:szCs w:val="24"/>
                <w:u w:val="single"/>
                <w:lang w:val="en-US" w:eastAsia="zh-CN"/>
              </w:rPr>
              <w:t>PC42.5</w:t>
            </w:r>
          </w:p>
        </w:tc>
        <w:tc>
          <w:tcPr>
            <w:tcW w:w="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0F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95EC">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BBEA">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2D37">
            <w:pPr>
              <w:jc w:val="center"/>
              <w:rPr>
                <w:rFonts w:hint="eastAsia" w:ascii="仿宋" w:hAnsi="仿宋" w:eastAsia="仿宋" w:cs="仿宋"/>
                <w:i w:val="0"/>
                <w:iCs w:val="0"/>
                <w:color w:val="auto"/>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D69F">
            <w:pPr>
              <w:jc w:val="center"/>
              <w:rPr>
                <w:rFonts w:hint="eastAsia" w:ascii="仿宋" w:hAnsi="仿宋" w:eastAsia="仿宋" w:cs="仿宋"/>
                <w:i w:val="0"/>
                <w:iCs w:val="0"/>
                <w:color w:val="auto"/>
                <w:sz w:val="24"/>
                <w:szCs w:val="24"/>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64A6">
            <w:pPr>
              <w:rPr>
                <w:rFonts w:hint="eastAsia" w:ascii="仿宋" w:hAnsi="仿宋" w:eastAsia="仿宋" w:cs="仿宋"/>
                <w:i w:val="0"/>
                <w:iCs w:val="0"/>
                <w:color w:val="auto"/>
                <w:sz w:val="24"/>
                <w:szCs w:val="24"/>
                <w:u w:val="none"/>
              </w:rPr>
            </w:pPr>
          </w:p>
        </w:tc>
      </w:tr>
      <w:tr w14:paraId="40951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9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0DCD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eastAsia="zh-CN"/>
              </w:rPr>
            </w:pPr>
            <w:r>
              <w:rPr>
                <w:rFonts w:hint="eastAsia" w:ascii="仿宋" w:hAnsi="仿宋" w:eastAsia="仿宋" w:cs="仿宋"/>
                <w:b/>
                <w:bCs/>
                <w:i w:val="0"/>
                <w:iCs w:val="0"/>
                <w:color w:val="auto"/>
                <w:sz w:val="24"/>
                <w:szCs w:val="24"/>
                <w:u w:val="none"/>
                <w:lang w:val="en-US" w:eastAsia="zh-CN"/>
              </w:rPr>
              <w:t>合同暂定总价</w:t>
            </w:r>
          </w:p>
        </w:tc>
        <w:tc>
          <w:tcPr>
            <w:tcW w:w="69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50E2CE">
            <w:pPr>
              <w:jc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sz w:val="24"/>
                <w:szCs w:val="24"/>
                <w:u w:val="none"/>
                <w:lang w:val="en-US" w:eastAsia="zh-CN"/>
              </w:rPr>
              <w:t>人民币</w:t>
            </w:r>
            <w:r>
              <w:rPr>
                <w:rFonts w:hint="eastAsia" w:ascii="仿宋" w:hAnsi="仿宋" w:eastAsia="仿宋" w:cs="仿宋"/>
                <w:b/>
                <w:bCs/>
                <w:i w:val="0"/>
                <w:iCs w:val="0"/>
                <w:color w:val="auto"/>
                <w:sz w:val="24"/>
                <w:szCs w:val="24"/>
                <w:u w:val="single"/>
                <w:lang w:val="en-US" w:eastAsia="zh-CN"/>
              </w:rPr>
              <w:t xml:space="preserve">        </w:t>
            </w:r>
            <w:r>
              <w:rPr>
                <w:rFonts w:hint="eastAsia" w:ascii="仿宋" w:hAnsi="仿宋" w:eastAsia="仿宋" w:cs="仿宋"/>
                <w:b/>
                <w:bCs/>
                <w:i w:val="0"/>
                <w:iCs w:val="0"/>
                <w:color w:val="auto"/>
                <w:sz w:val="24"/>
                <w:szCs w:val="24"/>
                <w:u w:val="none"/>
                <w:lang w:val="en-US" w:eastAsia="zh-CN"/>
              </w:rPr>
              <w:t>元（仅供参考，不作结算用途）</w:t>
            </w:r>
          </w:p>
        </w:tc>
      </w:tr>
    </w:tbl>
    <w:p w14:paraId="7D6988C5">
      <w:pPr>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vertAlign w:val="baseline"/>
          <w:lang w:val="en-US" w:eastAsia="zh-CN"/>
        </w:rPr>
        <w:t>本合同为固定单价合同，</w:t>
      </w:r>
      <w:r>
        <w:rPr>
          <w:rFonts w:hint="eastAsia" w:ascii="仿宋" w:hAnsi="仿宋" w:eastAsia="仿宋" w:cs="仿宋"/>
          <w:color w:val="auto"/>
          <w:sz w:val="28"/>
          <w:szCs w:val="28"/>
          <w:highlight w:val="none"/>
          <w:vertAlign w:val="baseline"/>
        </w:rPr>
        <w:t>合同单价含</w:t>
      </w:r>
      <w:r>
        <w:rPr>
          <w:rFonts w:hint="eastAsia" w:ascii="仿宋" w:hAnsi="仿宋" w:eastAsia="仿宋" w:cs="仿宋"/>
          <w:color w:val="auto"/>
          <w:sz w:val="28"/>
          <w:szCs w:val="28"/>
          <w:highlight w:val="none"/>
          <w:vertAlign w:val="baseline"/>
          <w:lang w:eastAsia="zh-CN"/>
        </w:rPr>
        <w:t>产品费、</w:t>
      </w:r>
      <w:r>
        <w:rPr>
          <w:rFonts w:hint="eastAsia" w:ascii="仿宋" w:hAnsi="仿宋" w:eastAsia="仿宋" w:cs="仿宋"/>
          <w:color w:val="auto"/>
          <w:sz w:val="28"/>
          <w:szCs w:val="28"/>
          <w:highlight w:val="none"/>
          <w:vertAlign w:val="baseline"/>
        </w:rPr>
        <w:t>材料费、人工费（指</w:t>
      </w:r>
      <w:r>
        <w:rPr>
          <w:rFonts w:hint="eastAsia" w:ascii="仿宋" w:hAnsi="仿宋" w:eastAsia="仿宋" w:cs="仿宋"/>
          <w:color w:val="auto"/>
          <w:sz w:val="28"/>
          <w:szCs w:val="28"/>
          <w:highlight w:val="none"/>
          <w:vertAlign w:val="baseline"/>
          <w:lang w:val="en-US" w:eastAsia="zh-CN"/>
        </w:rPr>
        <w:t>产品移交给甲方所需</w:t>
      </w:r>
      <w:r>
        <w:rPr>
          <w:rFonts w:hint="eastAsia" w:ascii="仿宋" w:hAnsi="仿宋" w:eastAsia="仿宋" w:cs="仿宋"/>
          <w:color w:val="auto"/>
          <w:sz w:val="28"/>
          <w:szCs w:val="28"/>
          <w:highlight w:val="none"/>
          <w:vertAlign w:val="baseline"/>
        </w:rPr>
        <w:t>的所有人工费）、包装费、运输费、</w:t>
      </w:r>
      <w:r>
        <w:rPr>
          <w:rFonts w:hint="eastAsia" w:ascii="仿宋" w:hAnsi="仿宋" w:eastAsia="仿宋" w:cs="仿宋"/>
          <w:color w:val="auto"/>
          <w:sz w:val="28"/>
          <w:szCs w:val="28"/>
          <w:highlight w:val="none"/>
          <w:vertAlign w:val="baseline"/>
          <w:lang w:eastAsia="zh-CN"/>
        </w:rPr>
        <w:t>装车费、</w:t>
      </w: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szCs w:val="28"/>
          <w:highlight w:val="none"/>
          <w:vertAlign w:val="baseline"/>
          <w:lang w:val="en-US" w:eastAsia="zh-CN"/>
        </w:rPr>
        <w:t>卸车费</w:t>
      </w:r>
      <w:r>
        <w:rPr>
          <w:rFonts w:hint="eastAsia" w:ascii="仿宋" w:hAnsi="仿宋" w:eastAsia="仿宋" w:cs="仿宋"/>
          <w:color w:val="auto"/>
          <w:sz w:val="28"/>
          <w:szCs w:val="28"/>
          <w:highlight w:val="none"/>
          <w:u w:val="none"/>
          <w:vertAlign w:val="baseline"/>
          <w:lang w:val="en-US" w:eastAsia="zh-CN"/>
        </w:rPr>
        <w:t>、检验检测费（产品移交甲方前的所有检验检测费用，检验检测须符合产品使用地点政府主管部门要求）、</w:t>
      </w:r>
      <w:r>
        <w:rPr>
          <w:rFonts w:hint="eastAsia" w:ascii="仿宋" w:hAnsi="仿宋" w:eastAsia="仿宋" w:cs="仿宋"/>
          <w:color w:val="auto"/>
          <w:sz w:val="28"/>
          <w:szCs w:val="28"/>
          <w:highlight w:val="none"/>
          <w:u w:val="none"/>
          <w:vertAlign w:val="baseline"/>
        </w:rPr>
        <w:t>保险费、利</w:t>
      </w:r>
      <w:r>
        <w:rPr>
          <w:rFonts w:hint="eastAsia" w:ascii="仿宋" w:hAnsi="仿宋" w:eastAsia="仿宋" w:cs="仿宋"/>
          <w:color w:val="auto"/>
          <w:sz w:val="28"/>
          <w:szCs w:val="28"/>
          <w:highlight w:val="none"/>
          <w:vertAlign w:val="baseline"/>
        </w:rPr>
        <w:t>润、管理费</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税金（</w:t>
      </w:r>
      <w:r>
        <w:rPr>
          <w:rFonts w:hint="eastAsia" w:ascii="仿宋" w:hAnsi="仿宋" w:eastAsia="仿宋" w:cs="仿宋"/>
          <w:color w:val="auto"/>
          <w:sz w:val="28"/>
          <w:szCs w:val="28"/>
          <w:highlight w:val="none"/>
          <w:vertAlign w:val="baseline"/>
          <w:lang w:val="en-US" w:eastAsia="zh-CN"/>
        </w:rPr>
        <w:t>乙方</w:t>
      </w:r>
      <w:r>
        <w:rPr>
          <w:rFonts w:hint="eastAsia" w:ascii="仿宋" w:hAnsi="仿宋" w:eastAsia="仿宋" w:cs="仿宋"/>
          <w:color w:val="auto"/>
          <w:sz w:val="28"/>
          <w:szCs w:val="28"/>
          <w:highlight w:val="none"/>
          <w:vertAlign w:val="baseline"/>
        </w:rPr>
        <w:t>开具税率</w:t>
      </w:r>
      <w:r>
        <w:rPr>
          <w:rFonts w:hint="eastAsia" w:ascii="仿宋" w:hAnsi="仿宋" w:eastAsia="仿宋" w:cs="仿宋"/>
          <w:color w:val="auto"/>
          <w:sz w:val="28"/>
          <w:szCs w:val="28"/>
          <w:highlight w:val="none"/>
          <w:u w:val="single"/>
          <w:vertAlign w:val="baseline"/>
          <w:lang w:val="en-US" w:eastAsia="zh-CN"/>
        </w:rPr>
        <w:t xml:space="preserve">   </w:t>
      </w:r>
      <w:r>
        <w:rPr>
          <w:rFonts w:hint="eastAsia" w:ascii="仿宋" w:hAnsi="仿宋" w:eastAsia="仿宋" w:cs="仿宋"/>
          <w:color w:val="auto"/>
          <w:sz w:val="28"/>
          <w:szCs w:val="28"/>
          <w:highlight w:val="none"/>
          <w:vertAlign w:val="baseline"/>
        </w:rPr>
        <w:t>%的增值</w:t>
      </w:r>
      <w:r>
        <w:rPr>
          <w:rFonts w:hint="eastAsia" w:ascii="仿宋" w:hAnsi="仿宋" w:eastAsia="仿宋" w:cs="仿宋"/>
          <w:b w:val="0"/>
          <w:bCs w:val="0"/>
          <w:color w:val="auto"/>
          <w:sz w:val="28"/>
          <w:szCs w:val="28"/>
          <w:highlight w:val="none"/>
          <w:vertAlign w:val="baseline"/>
        </w:rPr>
        <w:t>税</w:t>
      </w:r>
      <w:r>
        <w:rPr>
          <w:rFonts w:hint="eastAsia" w:ascii="仿宋" w:hAnsi="仿宋" w:eastAsia="仿宋" w:cs="仿宋"/>
          <w:b w:val="0"/>
          <w:bCs w:val="0"/>
          <w:color w:val="auto"/>
          <w:sz w:val="28"/>
          <w:highlight w:val="none"/>
          <w:u w:val="none"/>
          <w:lang w:val="en-US" w:eastAsia="zh-CN"/>
        </w:rPr>
        <w:sym w:font="Wingdings" w:char="00FE"/>
      </w:r>
      <w:r>
        <w:rPr>
          <w:rFonts w:hint="eastAsia" w:ascii="仿宋" w:hAnsi="仿宋" w:eastAsia="仿宋" w:cs="仿宋"/>
          <w:b w:val="0"/>
          <w:bCs w:val="0"/>
          <w:color w:val="auto"/>
          <w:sz w:val="28"/>
          <w:szCs w:val="28"/>
          <w:highlight w:val="none"/>
          <w:vertAlign w:val="baseline"/>
        </w:rPr>
        <w:t>专用</w:t>
      </w:r>
      <w:r>
        <w:rPr>
          <w:rFonts w:hint="eastAsia" w:ascii="仿宋" w:hAnsi="仿宋" w:eastAsia="仿宋" w:cs="仿宋"/>
          <w:b w:val="0"/>
          <w:bCs w:val="0"/>
          <w:color w:val="auto"/>
          <w:sz w:val="28"/>
          <w:szCs w:val="28"/>
          <w:highlight w:val="none"/>
          <w:vertAlign w:val="baseline"/>
          <w:lang w:val="en-US" w:eastAsia="zh-CN"/>
        </w:rPr>
        <w:t>发票/</w:t>
      </w:r>
      <w:r>
        <w:rPr>
          <w:rFonts w:hint="eastAsia" w:ascii="仿宋" w:hAnsi="仿宋" w:eastAsia="仿宋" w:cs="仿宋"/>
          <w:b w:val="0"/>
          <w:bCs w:val="0"/>
          <w:color w:val="auto"/>
          <w:sz w:val="28"/>
          <w:highlight w:val="none"/>
          <w:u w:val="none"/>
          <w:lang w:val="en-US" w:eastAsia="zh-CN"/>
        </w:rPr>
        <w:sym w:font="Wingdings" w:char="00A8"/>
      </w:r>
      <w:r>
        <w:rPr>
          <w:rFonts w:hint="eastAsia" w:ascii="仿宋" w:hAnsi="仿宋" w:eastAsia="仿宋" w:cs="仿宋"/>
          <w:b w:val="0"/>
          <w:bCs w:val="0"/>
          <w:color w:val="auto"/>
          <w:sz w:val="28"/>
          <w:szCs w:val="28"/>
          <w:highlight w:val="none"/>
          <w:vertAlign w:val="baseline"/>
          <w:lang w:val="en-US" w:eastAsia="zh-CN"/>
        </w:rPr>
        <w:t>普通</w:t>
      </w:r>
      <w:r>
        <w:rPr>
          <w:rFonts w:hint="eastAsia" w:ascii="仿宋" w:hAnsi="仿宋" w:eastAsia="仿宋" w:cs="仿宋"/>
          <w:b w:val="0"/>
          <w:bCs w:val="0"/>
          <w:color w:val="auto"/>
          <w:sz w:val="28"/>
          <w:szCs w:val="28"/>
          <w:highlight w:val="none"/>
          <w:vertAlign w:val="baseline"/>
        </w:rPr>
        <w:t>发票</w:t>
      </w:r>
      <w:r>
        <w:rPr>
          <w:rFonts w:hint="eastAsia" w:ascii="仿宋" w:hAnsi="仿宋" w:eastAsia="仿宋" w:cs="仿宋"/>
          <w:b w:val="0"/>
          <w:bCs w:val="0"/>
          <w:color w:val="auto"/>
          <w:sz w:val="28"/>
          <w:szCs w:val="28"/>
          <w:highlight w:val="none"/>
          <w:vertAlign w:val="baseline"/>
          <w:lang w:eastAsia="zh-CN"/>
        </w:rPr>
        <w:t>，</w:t>
      </w:r>
      <w:r>
        <w:rPr>
          <w:rFonts w:hint="eastAsia" w:ascii="仿宋" w:hAnsi="仿宋" w:eastAsia="仿宋" w:cs="仿宋"/>
          <w:b w:val="0"/>
          <w:bCs w:val="0"/>
          <w:color w:val="auto"/>
          <w:sz w:val="28"/>
          <w:szCs w:val="28"/>
          <w:highlight w:val="none"/>
          <w:vertAlign w:val="baseline"/>
        </w:rPr>
        <w:t>税率按国家政策执行，</w:t>
      </w:r>
      <w:r>
        <w:rPr>
          <w:rFonts w:hint="eastAsia" w:ascii="仿宋" w:hAnsi="仿宋" w:eastAsia="仿宋" w:cs="仿宋"/>
          <w:b w:val="0"/>
          <w:bCs w:val="0"/>
          <w:color w:val="auto"/>
          <w:sz w:val="28"/>
          <w:szCs w:val="28"/>
          <w:highlight w:val="none"/>
          <w:vertAlign w:val="baseline"/>
          <w:lang w:eastAsia="zh-CN"/>
        </w:rPr>
        <w:t>如</w:t>
      </w:r>
      <w:r>
        <w:rPr>
          <w:rFonts w:hint="eastAsia" w:ascii="仿宋" w:hAnsi="仿宋" w:eastAsia="仿宋" w:cs="仿宋"/>
          <w:b w:val="0"/>
          <w:bCs w:val="0"/>
          <w:color w:val="auto"/>
          <w:sz w:val="28"/>
          <w:szCs w:val="28"/>
          <w:highlight w:val="none"/>
          <w:vertAlign w:val="baseline"/>
          <w:lang w:val="en-US" w:eastAsia="zh-CN"/>
        </w:rPr>
        <w:t>税率</w:t>
      </w:r>
      <w:r>
        <w:rPr>
          <w:rFonts w:hint="eastAsia" w:ascii="仿宋" w:hAnsi="仿宋" w:eastAsia="仿宋" w:cs="仿宋"/>
          <w:b w:val="0"/>
          <w:bCs w:val="0"/>
          <w:color w:val="auto"/>
          <w:sz w:val="28"/>
          <w:szCs w:val="28"/>
          <w:highlight w:val="none"/>
          <w:vertAlign w:val="baseline"/>
          <w:lang w:eastAsia="zh-CN"/>
        </w:rPr>
        <w:t>调整，</w:t>
      </w:r>
      <w:r>
        <w:rPr>
          <w:rFonts w:hint="eastAsia" w:ascii="仿宋" w:hAnsi="仿宋" w:eastAsia="仿宋" w:cs="仿宋"/>
          <w:b w:val="0"/>
          <w:bCs w:val="0"/>
          <w:color w:val="auto"/>
          <w:sz w:val="28"/>
          <w:szCs w:val="28"/>
          <w:highlight w:val="none"/>
          <w:vertAlign w:val="baseline"/>
          <w:lang w:val="en-US" w:eastAsia="zh-CN"/>
        </w:rPr>
        <w:t>合同</w:t>
      </w:r>
      <w:r>
        <w:rPr>
          <w:rFonts w:hint="eastAsia" w:ascii="仿宋" w:hAnsi="仿宋" w:eastAsia="仿宋" w:cs="仿宋"/>
          <w:b w:val="0"/>
          <w:bCs w:val="0"/>
          <w:color w:val="auto"/>
          <w:sz w:val="28"/>
          <w:szCs w:val="28"/>
          <w:highlight w:val="none"/>
          <w:vertAlign w:val="baseline"/>
        </w:rPr>
        <w:t>单价随之调整）等，含乙方承担合同义务、责任、风险的费用</w:t>
      </w:r>
      <w:r>
        <w:rPr>
          <w:rFonts w:hint="eastAsia" w:ascii="仿宋" w:hAnsi="仿宋" w:eastAsia="仿宋" w:cs="仿宋"/>
          <w:b w:val="0"/>
          <w:bCs w:val="0"/>
          <w:color w:val="auto"/>
          <w:sz w:val="28"/>
          <w:szCs w:val="28"/>
          <w:highlight w:val="none"/>
          <w:vertAlign w:val="baseline"/>
          <w:lang w:eastAsia="zh-CN"/>
        </w:rPr>
        <w:t>，</w:t>
      </w:r>
      <w:r>
        <w:rPr>
          <w:rFonts w:hint="eastAsia" w:ascii="仿宋" w:hAnsi="仿宋" w:eastAsia="仿宋" w:cs="仿宋"/>
          <w:b w:val="0"/>
          <w:bCs w:val="0"/>
          <w:color w:val="auto"/>
          <w:sz w:val="28"/>
          <w:szCs w:val="28"/>
          <w:highlight w:val="none"/>
          <w:vertAlign w:val="baseline"/>
        </w:rPr>
        <w:t>除合同另有约</w:t>
      </w:r>
      <w:r>
        <w:rPr>
          <w:rFonts w:hint="eastAsia" w:ascii="仿宋" w:hAnsi="仿宋" w:eastAsia="仿宋" w:cs="仿宋"/>
          <w:b w:val="0"/>
          <w:bCs w:val="0"/>
          <w:color w:val="auto"/>
          <w:sz w:val="28"/>
          <w:szCs w:val="28"/>
          <w:highlight w:val="none"/>
          <w:u w:val="none"/>
          <w:vertAlign w:val="baseline"/>
        </w:rPr>
        <w:t>定外</w:t>
      </w:r>
      <w:r>
        <w:rPr>
          <w:rFonts w:hint="eastAsia" w:ascii="仿宋" w:hAnsi="仿宋" w:eastAsia="仿宋" w:cs="仿宋"/>
          <w:b w:val="0"/>
          <w:bCs w:val="0"/>
          <w:color w:val="auto"/>
          <w:sz w:val="28"/>
          <w:szCs w:val="28"/>
          <w:highlight w:val="none"/>
          <w:u w:val="none"/>
          <w:vertAlign w:val="baseline"/>
          <w:lang w:eastAsia="zh-CN"/>
        </w:rPr>
        <w:t>，单价</w:t>
      </w:r>
      <w:r>
        <w:rPr>
          <w:rFonts w:hint="eastAsia" w:ascii="仿宋" w:hAnsi="仿宋" w:eastAsia="仿宋" w:cs="仿宋"/>
          <w:b w:val="0"/>
          <w:bCs w:val="0"/>
          <w:color w:val="auto"/>
          <w:sz w:val="28"/>
          <w:szCs w:val="28"/>
          <w:highlight w:val="none"/>
          <w:u w:val="none"/>
          <w:vertAlign w:val="baseline"/>
        </w:rPr>
        <w:t>不</w:t>
      </w:r>
      <w:r>
        <w:rPr>
          <w:rFonts w:hint="eastAsia" w:ascii="仿宋" w:hAnsi="仿宋" w:eastAsia="仿宋" w:cs="仿宋"/>
          <w:b w:val="0"/>
          <w:bCs w:val="0"/>
          <w:color w:val="auto"/>
          <w:sz w:val="28"/>
          <w:szCs w:val="28"/>
          <w:highlight w:val="none"/>
          <w:u w:val="none"/>
          <w:vertAlign w:val="baseline"/>
          <w:lang w:eastAsia="zh-CN"/>
        </w:rPr>
        <w:t>作</w:t>
      </w:r>
      <w:r>
        <w:rPr>
          <w:rFonts w:hint="eastAsia" w:ascii="仿宋" w:hAnsi="仿宋" w:eastAsia="仿宋" w:cs="仿宋"/>
          <w:b w:val="0"/>
          <w:bCs w:val="0"/>
          <w:color w:val="auto"/>
          <w:sz w:val="28"/>
          <w:szCs w:val="28"/>
          <w:highlight w:val="none"/>
          <w:u w:val="none"/>
          <w:vertAlign w:val="baseline"/>
        </w:rPr>
        <w:t>任何调整</w:t>
      </w:r>
      <w:r>
        <w:rPr>
          <w:rFonts w:hint="eastAsia" w:ascii="仿宋" w:hAnsi="仿宋" w:eastAsia="仿宋" w:cs="仿宋"/>
          <w:b w:val="0"/>
          <w:bCs w:val="0"/>
          <w:color w:val="auto"/>
          <w:sz w:val="28"/>
          <w:szCs w:val="28"/>
          <w:highlight w:val="none"/>
          <w:u w:val="none"/>
          <w:vertAlign w:val="baseline"/>
          <w:lang w:eastAsia="zh-CN"/>
        </w:rPr>
        <w:t>。</w:t>
      </w:r>
    </w:p>
    <w:p w14:paraId="1ABC2D0B">
      <w:pPr>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ind w:leftChars="0" w:firstLine="560" w:firstLineChars="200"/>
        <w:jc w:val="left"/>
        <w:textAlignment w:val="auto"/>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u w:val="none"/>
          <w:vertAlign w:val="baseline"/>
          <w:lang w:val="en-US" w:eastAsia="zh-CN"/>
        </w:rPr>
        <w:t>如市场价格发生变化，乙方须提前三个工作日向甲方书面提出（调价函格式详见附件），双方根据市场浮动情况协商调整并书面确认，如不能达成一致意见，双方结清已供货款（按原合同单价执行）后本合同终止，双方互不追究违约责任。</w:t>
      </w:r>
      <w:bookmarkStart w:id="49" w:name="_GoBack"/>
      <w:bookmarkEnd w:id="49"/>
    </w:p>
    <w:p w14:paraId="3FFB9E4B">
      <w:pPr>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u w:val="none"/>
          <w:vertAlign w:val="baseline"/>
        </w:rPr>
        <w:t>乙方</w:t>
      </w:r>
      <w:r>
        <w:rPr>
          <w:rFonts w:hint="eastAsia" w:ascii="仿宋" w:hAnsi="仿宋" w:eastAsia="仿宋" w:cs="仿宋"/>
          <w:color w:val="auto"/>
          <w:sz w:val="28"/>
          <w:szCs w:val="28"/>
          <w:highlight w:val="none"/>
          <w:u w:val="none"/>
          <w:vertAlign w:val="baseline"/>
          <w:lang w:eastAsia="zh-CN"/>
        </w:rPr>
        <w:t>每次</w:t>
      </w:r>
      <w:r>
        <w:rPr>
          <w:rFonts w:hint="eastAsia" w:ascii="仿宋" w:hAnsi="仿宋" w:eastAsia="仿宋" w:cs="仿宋"/>
          <w:color w:val="auto"/>
          <w:sz w:val="28"/>
          <w:szCs w:val="28"/>
          <w:highlight w:val="none"/>
          <w:u w:val="none"/>
          <w:vertAlign w:val="baseline"/>
        </w:rPr>
        <w:t>送货数量、品牌、规格由甲方决定，乙方无条件配合，否则甲方有权单方取消该批订单或解除本合同且不违约。乙方每次送货时须在送货单上注明该批产品的品牌、规格、数量，否则甲方有权自行决定该批产品的结算价格。</w:t>
      </w:r>
      <w:r>
        <w:rPr>
          <w:rFonts w:hint="eastAsia" w:ascii="仿宋" w:hAnsi="仿宋" w:eastAsia="仿宋" w:cs="仿宋"/>
          <w:color w:val="auto"/>
          <w:sz w:val="28"/>
          <w:szCs w:val="28"/>
          <w:highlight w:val="none"/>
          <w:u w:val="none"/>
          <w:vertAlign w:val="baseline"/>
          <w:lang w:eastAsia="zh-CN"/>
        </w:rPr>
        <w:t>上述数量仅作参考，不作为结算依据。</w:t>
      </w:r>
      <w:r>
        <w:rPr>
          <w:rFonts w:hint="eastAsia" w:ascii="仿宋" w:hAnsi="仿宋" w:eastAsia="仿宋" w:cs="仿宋"/>
          <w:color w:val="auto"/>
          <w:sz w:val="28"/>
          <w:szCs w:val="28"/>
          <w:highlight w:val="none"/>
          <w:vertAlign w:val="baseline"/>
        </w:rPr>
        <w:t>产品购销数量按甲方实际</w:t>
      </w:r>
      <w:r>
        <w:rPr>
          <w:rFonts w:hint="eastAsia" w:ascii="仿宋" w:hAnsi="仿宋" w:eastAsia="仿宋" w:cs="仿宋"/>
          <w:color w:val="auto"/>
          <w:sz w:val="28"/>
          <w:szCs w:val="28"/>
          <w:highlight w:val="none"/>
          <w:vertAlign w:val="baseline"/>
          <w:lang w:val="en-US" w:eastAsia="zh-CN"/>
        </w:rPr>
        <w:t>接收并</w:t>
      </w:r>
      <w:r>
        <w:rPr>
          <w:rFonts w:hint="eastAsia" w:ascii="仿宋" w:hAnsi="仿宋" w:eastAsia="仿宋" w:cs="仿宋"/>
          <w:color w:val="auto"/>
          <w:sz w:val="28"/>
          <w:szCs w:val="28"/>
          <w:highlight w:val="none"/>
          <w:vertAlign w:val="baseline"/>
        </w:rPr>
        <w:t>验收合格的数量结算</w:t>
      </w:r>
      <w:r>
        <w:rPr>
          <w:rFonts w:hint="eastAsia" w:ascii="仿宋" w:hAnsi="仿宋" w:eastAsia="仿宋" w:cs="仿宋"/>
          <w:color w:val="auto"/>
          <w:sz w:val="28"/>
          <w:szCs w:val="28"/>
          <w:highlight w:val="none"/>
          <w:vertAlign w:val="baseline"/>
          <w:lang w:eastAsia="zh-CN"/>
        </w:rPr>
        <w:t>。乙方必须按甲方要求现场办理签收单确认收货入库数量的签字手续，乙方逾期办理的视同乙方违约，按违约条款处理。</w:t>
      </w:r>
    </w:p>
    <w:p w14:paraId="3FFB9E4B">
      <w:pPr>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vertAlign w:val="baseline"/>
        </w:rPr>
        <w:t>合同暂定总价仅供参考，不作结算用途。</w:t>
      </w:r>
      <w:r>
        <w:rPr>
          <w:rFonts w:hint="eastAsia" w:ascii="仿宋" w:hAnsi="仿宋" w:eastAsia="仿宋" w:cs="仿宋"/>
          <w:color w:val="auto"/>
          <w:kern w:val="2"/>
          <w:sz w:val="28"/>
          <w:szCs w:val="28"/>
          <w:highlight w:val="none"/>
          <w:u w:val="none"/>
          <w:lang w:val="en-US" w:eastAsia="zh-CN" w:bidi="ar-SA"/>
        </w:rPr>
        <w:t xml:space="preserve"> </w:t>
      </w:r>
    </w:p>
    <w:p w14:paraId="3FFB9E4B">
      <w:pPr>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其他需要约定的与价格相关的事项：</w:t>
      </w:r>
    </w:p>
    <w:p w14:paraId="6525F1F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vertAlign w:val="baseline"/>
          <w:lang w:val="en-US" w:eastAsia="zh-CN"/>
        </w:rPr>
        <w:t>1.5.1合同单价有效期为：</w:t>
      </w:r>
      <w:r>
        <w:rPr>
          <w:rFonts w:hint="eastAsia" w:ascii="仿宋" w:hAnsi="仿宋" w:eastAsia="仿宋" w:cs="仿宋"/>
          <w:b w:val="0"/>
          <w:bCs w:val="0"/>
          <w:color w:val="auto"/>
          <w:sz w:val="28"/>
          <w:szCs w:val="28"/>
          <w:highlight w:val="none"/>
          <w:u w:val="single"/>
          <w:vertAlign w:val="baseline"/>
          <w:lang w:val="en-US" w:eastAsia="zh-CN"/>
        </w:rPr>
        <w:t>本合同生效之日起至本项目所需产品全部供应完毕为止。</w:t>
      </w:r>
    </w:p>
    <w:p w14:paraId="3372033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highlight w:val="none"/>
          <w:u w:val="none"/>
          <w:shd w:val="clear" w:color="auto" w:fill="auto"/>
          <w:vertAlign w:val="baseline"/>
          <w:lang w:val="en-US" w:eastAsia="zh-CN"/>
        </w:rPr>
      </w:pPr>
      <w:r>
        <w:rPr>
          <w:rFonts w:hint="eastAsia" w:ascii="仿宋" w:hAnsi="仿宋" w:eastAsia="仿宋" w:cs="仿宋"/>
          <w:color w:val="auto"/>
          <w:sz w:val="28"/>
          <w:szCs w:val="28"/>
          <w:highlight w:val="none"/>
          <w:u w:val="none"/>
          <w:vertAlign w:val="baseline"/>
          <w:lang w:val="en-US" w:eastAsia="zh-CN"/>
        </w:rPr>
        <w:t>1.5.2其他要求：</w:t>
      </w:r>
      <w:r>
        <w:rPr>
          <w:rFonts w:hint="eastAsia" w:ascii="仿宋" w:hAnsi="仿宋" w:eastAsia="仿宋" w:cs="仿宋"/>
          <w:color w:val="auto"/>
          <w:sz w:val="28"/>
          <w:szCs w:val="28"/>
          <w:highlight w:val="none"/>
          <w:u w:val="none"/>
          <w:shd w:val="clear" w:color="auto" w:fill="auto"/>
          <w:vertAlign w:val="baseline"/>
          <w:lang w:val="en-US" w:eastAsia="zh-CN"/>
        </w:rPr>
        <w:t>乙方供应的产品须在甲方自建地磅过磅(双方人员共同见证)，由甲方出具过磅单。若项目过磅重量与乙方送货单所列重量之差在±0.3%以内(以乙方送货单所列重量为基数，下同)，按乙方送货单所列重量结算;若项目过磅重量与乙方送货单所列重量之差超出或等于±0.3%(以乙方送货单所列重量为基数，下同)，双方共同选择第三方公磅进行复磅(公磅选择标准：符合技术监督局检验标准且在合格有效期内，距交货地点距离较近位置的公磅)。</w:t>
      </w:r>
    </w:p>
    <w:p w14:paraId="53061E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highlight w:val="none"/>
          <w:u w:val="none"/>
          <w:shd w:val="clear" w:color="auto" w:fill="auto"/>
          <w:vertAlign w:val="baseline"/>
          <w:lang w:val="en-US" w:eastAsia="zh-CN"/>
        </w:rPr>
      </w:pPr>
      <w:r>
        <w:rPr>
          <w:rFonts w:hint="eastAsia" w:ascii="仿宋" w:hAnsi="仿宋" w:eastAsia="仿宋" w:cs="仿宋"/>
          <w:color w:val="auto"/>
          <w:sz w:val="28"/>
          <w:szCs w:val="28"/>
          <w:highlight w:val="none"/>
          <w:u w:val="none"/>
          <w:shd w:val="clear" w:color="auto" w:fill="auto"/>
          <w:vertAlign w:val="baseline"/>
          <w:lang w:val="en-US" w:eastAsia="zh-CN"/>
        </w:rPr>
        <w:t>公磅所列重量与乙方送货单所列重量之差在士0.3%以内的，按乙方送货单所列重量结算，过磅费由甲方承担；若公磅所列重量与乙方送货单所列重量之差超出或等于±0.3%，按公磅所列重量结算,过磅费由乙方承担。</w:t>
      </w:r>
    </w:p>
    <w:p w14:paraId="1EE774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highlight w:val="none"/>
          <w:u w:val="none"/>
          <w:shd w:val="clear" w:color="auto" w:fill="auto"/>
          <w:vertAlign w:val="baseline"/>
          <w:lang w:val="en-US" w:eastAsia="zh-CN"/>
        </w:rPr>
      </w:pPr>
      <w:r>
        <w:rPr>
          <w:rFonts w:hint="eastAsia" w:ascii="仿宋" w:hAnsi="仿宋" w:eastAsia="仿宋" w:cs="仿宋"/>
          <w:color w:val="auto"/>
          <w:sz w:val="28"/>
          <w:szCs w:val="28"/>
          <w:highlight w:val="none"/>
          <w:u w:val="none"/>
          <w:shd w:val="clear" w:color="auto" w:fill="auto"/>
          <w:vertAlign w:val="baseline"/>
          <w:lang w:val="en-US" w:eastAsia="zh-CN"/>
        </w:rPr>
        <w:t>如甲方未自建地磅，则到甲乙双方认可的第三方公磅进行过磅，并以该磅过磅单的所列重量结算。</w:t>
      </w:r>
    </w:p>
    <w:p w14:paraId="07F1577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shd w:val="clear" w:color="auto" w:fill="auto"/>
          <w:vertAlign w:val="baseline"/>
          <w:lang w:val="en-US" w:eastAsia="zh-CN"/>
        </w:rPr>
        <w:t>产品在甲方自建地磅过磅产生的过磅单及第三方公磅产生的过磅单，乙方送货人员须签名确认，否则甲方不予支付相关费用。</w:t>
      </w:r>
    </w:p>
    <w:p w14:paraId="528054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1.6合同单价已包含各种保险费用，乙方不得另计保险而向甲方索要费用。</w:t>
      </w:r>
    </w:p>
    <w:p w14:paraId="023C52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1.7甲方或使用单位在产品使用过程中遇到的问题，乙方须随时提供电话答疑。凡与产品相关联的问题都属于答疑范围，所需费用已包含在合同单价中，不另计费。</w:t>
      </w:r>
    </w:p>
    <w:p w14:paraId="7A1E04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1.8</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根据</w:t>
      </w:r>
      <w:r>
        <w:rPr>
          <w:rFonts w:hint="eastAsia" w:ascii="仿宋" w:hAnsi="仿宋" w:eastAsia="仿宋" w:cs="仿宋"/>
          <w:color w:val="auto"/>
          <w:sz w:val="28"/>
          <w:highlight w:val="none"/>
          <w:u w:val="none"/>
          <w:lang w:val="en-US" w:eastAsia="zh-CN"/>
        </w:rPr>
        <w:t>甲方</w:t>
      </w:r>
      <w:r>
        <w:rPr>
          <w:rFonts w:hint="eastAsia" w:ascii="仿宋" w:hAnsi="仿宋" w:eastAsia="仿宋" w:cs="仿宋"/>
          <w:color w:val="auto"/>
          <w:sz w:val="28"/>
          <w:highlight w:val="none"/>
          <w:u w:val="none"/>
        </w:rPr>
        <w:t>需要提供现场临时指导</w:t>
      </w:r>
      <w:r>
        <w:rPr>
          <w:rFonts w:hint="eastAsia" w:ascii="仿宋" w:hAnsi="仿宋" w:eastAsia="仿宋" w:cs="仿宋"/>
          <w:color w:val="auto"/>
          <w:sz w:val="28"/>
          <w:highlight w:val="none"/>
          <w:u w:val="none"/>
          <w:lang w:eastAsia="zh-CN"/>
        </w:rPr>
        <w:t>和培训，费用已包含在</w:t>
      </w:r>
      <w:r>
        <w:rPr>
          <w:rFonts w:hint="eastAsia" w:ascii="仿宋" w:hAnsi="仿宋" w:eastAsia="仿宋" w:cs="仿宋"/>
          <w:color w:val="auto"/>
          <w:sz w:val="28"/>
          <w:highlight w:val="none"/>
          <w:u w:val="none"/>
          <w:lang w:val="en-US" w:eastAsia="zh-CN"/>
        </w:rPr>
        <w:t>合同单价</w:t>
      </w:r>
      <w:r>
        <w:rPr>
          <w:rFonts w:hint="eastAsia" w:ascii="仿宋" w:hAnsi="仿宋" w:eastAsia="仿宋" w:cs="仿宋"/>
          <w:color w:val="auto"/>
          <w:sz w:val="28"/>
          <w:highlight w:val="none"/>
          <w:u w:val="none"/>
          <w:lang w:eastAsia="zh-CN"/>
        </w:rPr>
        <w:t>中，不另计费。</w:t>
      </w:r>
    </w:p>
    <w:p w14:paraId="6040F59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0"/>
        <w:rPr>
          <w:rFonts w:hint="eastAsia" w:ascii="仿宋" w:hAnsi="仿宋" w:eastAsia="仿宋" w:cs="仿宋"/>
          <w:b/>
          <w:bCs/>
          <w:color w:val="auto"/>
          <w:sz w:val="28"/>
          <w:highlight w:val="none"/>
          <w:lang w:eastAsia="zh-CN"/>
        </w:rPr>
      </w:pPr>
      <w:bookmarkStart w:id="11" w:name="_Toc24462"/>
      <w:bookmarkStart w:id="12" w:name="_Toc32399"/>
      <w:bookmarkStart w:id="13" w:name="_Toc16052"/>
      <w:bookmarkStart w:id="14" w:name="_Toc14155"/>
      <w:bookmarkStart w:id="15" w:name="_Toc31984"/>
      <w:r>
        <w:rPr>
          <w:rFonts w:hint="eastAsia" w:ascii="仿宋" w:hAnsi="仿宋" w:eastAsia="仿宋" w:cs="仿宋"/>
          <w:b/>
          <w:bCs/>
          <w:color w:val="auto"/>
          <w:sz w:val="28"/>
          <w:highlight w:val="none"/>
          <w:lang w:val="en-US" w:eastAsia="zh-CN"/>
        </w:rPr>
        <w:t>第二章、</w:t>
      </w:r>
      <w:r>
        <w:rPr>
          <w:rFonts w:hint="eastAsia" w:ascii="仿宋" w:hAnsi="仿宋" w:eastAsia="仿宋" w:cs="仿宋"/>
          <w:b/>
          <w:bCs/>
          <w:color w:val="auto"/>
          <w:sz w:val="28"/>
          <w:highlight w:val="none"/>
        </w:rPr>
        <w:t>付款方式</w:t>
      </w:r>
      <w:bookmarkEnd w:id="11"/>
      <w:bookmarkEnd w:id="12"/>
      <w:bookmarkEnd w:id="13"/>
      <w:bookmarkEnd w:id="14"/>
      <w:bookmarkEnd w:id="15"/>
    </w:p>
    <w:p w14:paraId="0EC0AFC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lang w:eastAsia="zh-CN"/>
        </w:rPr>
        <w:t>本</w:t>
      </w:r>
      <w:r>
        <w:rPr>
          <w:rFonts w:hint="eastAsia" w:ascii="仿宋" w:hAnsi="仿宋" w:eastAsia="仿宋" w:cs="仿宋"/>
          <w:color w:val="auto"/>
          <w:sz w:val="28"/>
          <w:highlight w:val="none"/>
          <w:lang w:val="en-US" w:eastAsia="zh-CN"/>
        </w:rPr>
        <w:t>合同款项按以下办法支付</w:t>
      </w:r>
    </w:p>
    <w:p w14:paraId="26CA28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办法一、有预付款：</w:t>
      </w:r>
    </w:p>
    <w:p w14:paraId="0E0DA20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2.1.1本合同生效后，甲方向乙方支付合同暂定总价的</w:t>
      </w:r>
      <w:r>
        <w:rPr>
          <w:rFonts w:hint="eastAsia" w:ascii="仿宋" w:hAnsi="仿宋" w:eastAsia="仿宋" w:cs="仿宋"/>
          <w:color w:val="auto"/>
          <w:sz w:val="28"/>
          <w:highlight w:val="none"/>
          <w:u w:val="single"/>
          <w:lang w:val="en-US" w:eastAsia="zh-CN"/>
        </w:rPr>
        <w:t xml:space="preserve"> / </w:t>
      </w:r>
      <w:r>
        <w:rPr>
          <w:rFonts w:hint="eastAsia" w:ascii="仿宋" w:hAnsi="仿宋" w:eastAsia="仿宋" w:cs="仿宋"/>
          <w:color w:val="auto"/>
          <w:sz w:val="28"/>
          <w:highlight w:val="none"/>
          <w:u w:val="none"/>
          <w:lang w:val="en-US" w:eastAsia="zh-CN"/>
        </w:rPr>
        <w:t>%（其中合同暂定总价的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%作为定金，其余款项为预付款）。合同履行后，定金、预付款均抵作合同款。</w:t>
      </w:r>
    </w:p>
    <w:p w14:paraId="501724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highlight w:val="none"/>
        </w:rPr>
      </w:pPr>
      <w:r>
        <w:rPr>
          <w:rFonts w:hint="eastAsia" w:ascii="仿宋" w:hAnsi="仿宋" w:eastAsia="仿宋" w:cs="仿宋"/>
          <w:color w:val="auto"/>
          <w:sz w:val="28"/>
          <w:highlight w:val="none"/>
          <w:u w:val="none"/>
          <w:lang w:val="en-US" w:eastAsia="zh-CN"/>
        </w:rPr>
        <w:t>2.1.2产品到齐甲方指定交货地点经甲方形式验收合格并移交甲方，甲方收齐金额等于结算款全额的发票等相关资料后付至产品总价的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w:t>
      </w:r>
    </w:p>
    <w:p w14:paraId="016F026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2.1.3合同结算总价的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w:t>
      </w:r>
    </w:p>
    <w:p w14:paraId="53457D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办法二、月结，无预付款：</w:t>
      </w:r>
    </w:p>
    <w:p w14:paraId="178210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w:t>
      </w:r>
      <w:r>
        <w:rPr>
          <w:rFonts w:hint="eastAsia" w:ascii="仿宋" w:hAnsi="仿宋" w:eastAsia="仿宋" w:cs="仿宋"/>
          <w:color w:val="000000" w:themeColor="text1"/>
          <w:sz w:val="28"/>
          <w:highlight w:val="none"/>
          <w:u w:val="none"/>
          <w:lang w:val="en-US" w:eastAsia="zh-CN"/>
          <w14:textFill>
            <w14:solidFill>
              <w14:schemeClr w14:val="tx1"/>
            </w14:solidFill>
          </w14:textFill>
        </w:rPr>
        <w:t>每月货款下月支付，具体为：</w:t>
      </w:r>
      <w:r>
        <w:rPr>
          <w:rFonts w:hint="eastAsia" w:ascii="仿宋" w:hAnsi="仿宋" w:eastAsia="仿宋" w:cs="仿宋"/>
          <w:color w:val="auto"/>
          <w:sz w:val="28"/>
          <w:highlight w:val="none"/>
          <w:u w:val="none"/>
          <w:lang w:val="en-US" w:eastAsia="zh-CN"/>
        </w:rPr>
        <w:t>乙方按合同约定将甲方每月所需产品送齐到交货地点，经甲方形式验收合格、移交甲方，且乙方按合同约定的时间交齐上月货款对账资料并与甲方完成对账后，</w:t>
      </w:r>
      <w:r>
        <w:rPr>
          <w:rFonts w:hint="eastAsia" w:ascii="仿宋" w:hAnsi="仿宋" w:eastAsia="仿宋" w:cs="仿宋"/>
          <w:color w:val="000000" w:themeColor="text1"/>
          <w:sz w:val="28"/>
          <w:highlight w:val="none"/>
          <w:u w:val="none"/>
          <w:lang w:val="en-US" w:eastAsia="zh-CN"/>
          <w14:textFill>
            <w14:solidFill>
              <w14:schemeClr w14:val="tx1"/>
            </w14:solidFill>
          </w14:textFill>
        </w:rPr>
        <w:t>甲方支付上月货款的</w:t>
      </w:r>
      <w:r>
        <w:rPr>
          <w:rFonts w:hint="eastAsia" w:ascii="仿宋" w:hAnsi="仿宋" w:eastAsia="仿宋" w:cs="仿宋"/>
          <w:color w:val="000000" w:themeColor="text1"/>
          <w:sz w:val="28"/>
          <w:highlight w:val="none"/>
          <w:u w:val="single"/>
          <w:lang w:val="en-US" w:eastAsia="zh-CN"/>
          <w14:textFill>
            <w14:solidFill>
              <w14:schemeClr w14:val="tx1"/>
            </w14:solidFill>
          </w14:textFill>
        </w:rPr>
        <w:t>100</w:t>
      </w:r>
      <w:r>
        <w:rPr>
          <w:rFonts w:hint="eastAsia" w:ascii="仿宋" w:hAnsi="仿宋" w:eastAsia="仿宋" w:cs="仿宋"/>
          <w:color w:val="000000" w:themeColor="text1"/>
          <w:sz w:val="28"/>
          <w:highlight w:val="none"/>
          <w:u w:val="none"/>
          <w:lang w:val="en-US" w:eastAsia="zh-CN"/>
          <w14:textFill>
            <w14:solidFill>
              <w14:schemeClr w14:val="tx1"/>
            </w14:solidFill>
          </w14:textFill>
        </w:rPr>
        <w:t>%。乙方逾期交齐对账资料或非甲方原因逾期完成对账的，付款日期顺延至货款完成对账月份的下月底前。</w:t>
      </w:r>
    </w:p>
    <w:p w14:paraId="7DA6F1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2.1.2对账日期为每月25日至28日核对上月25日至本月24日的送货数据，31日（如同月无31日，以30日为准）前开具发票。乙方在每月25日前一次性交齐上月25日至本月24日供货产品的对账资料至甲方项目部，并在同月28日前（遇节假日则顺延）完成对账，同月31日（如同月无31日，以同月30日为准）前开具发票。如乙方逾期交齐对账资料，则对账日期顺延至次月的25日至28日，次月乙方对账还须提供“同意延迟付款声明函”（格式详见附件二）给甲方。以此类推。例：乙方在5月25日前交齐4月25日至5月24日货款的对账资料给甲方项目部并在5月28日完成对账，且在5月31日前甲方收到开票金额与对账金额一致的发票后，则甲方在6月30日前支付4月25日至5月24日货款的100%。若乙方5月26日（或更迟）交齐4月25日至5月24日货款的对账资料给甲方，则4月25日至5月24日货款的对账时间顺延至6月25日至28日，付款时间顺延至7月31日前。以此类推。</w:t>
      </w:r>
    </w:p>
    <w:p w14:paraId="7925FF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乙方对账及请款资料：甲方下料订单(即甲方发出的《物料申购单》,格式详见附件)、乙方对账单原件(结算单)、本合同复印件(含调价函)、材料签收单原件（绿联，格式详见附件）、乙方送货单原件(发货单)、材料收货水印照片、材料款申报确认表原件、付款台账汇总表原件、供应商月度对账单原件(格式详见附件)、结清承诺书原件、发票（双方对账一致后2个日历天内，乙方交齐给甲方项目部对账人员）。</w:t>
      </w:r>
    </w:p>
    <w:p w14:paraId="392EC6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2.1.3.1乙方对账资料具体要求：</w:t>
      </w:r>
    </w:p>
    <w:p w14:paraId="147B8B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①乙方对账单（结算单）：该单据须盖乙方公章及乙方人员签名和注明日期，经甲方人员（甲方合同执行联系人、甲方仓管员）核对无误后签名和注明日期，原则上款项内容处填写的对账日期应与签注的日期一致。</w:t>
      </w:r>
    </w:p>
    <w:p w14:paraId="48838FF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②本合同复印件（含调价函）：合同复印件以签公章完毕的为准，包括本合同及附属补充协议；调价函及调税率函以适用的为准，过期或者不适用的不附，以加盖双方公章的为准，如不调价/调税，则无需提供。</w:t>
      </w:r>
    </w:p>
    <w:p w14:paraId="660DD0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③材料签收单：须注明材料所用项目、地块、第几期，并如实的正确填写日期、乙方全称、材料名称、品牌、规格、型号、数量及金额等信息，此单据必须有本合同约定的甲方合同执行联系人、甲方产品签收人、乙方送货员、乙方合同授权代表共同亲笔签名确认，否则无效且甲方有权不付款。此单据内容不得随意修改、涂划，若确需修改、涂划，则被修正、涂划的内容旁须有甲方合同执行联系人、甲方仓管员共同签名确认，否则无效。关于甲乙双方人员（甲方合同执行联系人、甲方产品签收人、乙方送货员、乙方合同授权代表）的签名确认，甲方如有规定则按相关规定办理。甲方付款的前提条件之一是收齐了符合本合同约定的材料签收单原件（即一式三联均由甲方收齐），否则甲方有权不付款。</w:t>
      </w:r>
    </w:p>
    <w:p w14:paraId="4E290B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④乙方送货单（发货单）：此单据须盖乙方公章及甲乙双方人员（甲方合同执行联系人、甲方仓管员、乙方送货员、乙方合同授权代表）签字。</w:t>
      </w:r>
    </w:p>
    <w:p w14:paraId="5FF5ED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⑤材料收货水印照片：含甲乙双方产品签收人员合影，产品卸货前后对比照片，产品实物规格、品牌等参数照片，运输车辆、车牌信息照片，卸货现场工程背景照片。所有照片均须有水印备注，水印须有项目地址定位和拍照时间、日期。</w:t>
      </w:r>
    </w:p>
    <w:p w14:paraId="47546DDA">
      <w:pPr>
        <w:pStyle w:val="8"/>
        <w:keepNext w:val="0"/>
        <w:keepLines w:val="0"/>
        <w:pageBreakBefore w:val="0"/>
        <w:wordWrap/>
        <w:topLinePunct w:val="0"/>
        <w:bidi w:val="0"/>
        <w:adjustRightInd w:val="0"/>
        <w:snapToGrid w:val="0"/>
        <w:spacing w:line="360" w:lineRule="auto"/>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2"/>
          <w:sz w:val="28"/>
          <w:szCs w:val="24"/>
          <w:highlight w:val="none"/>
          <w:u w:val="none"/>
          <w:lang w:val="en-US" w:eastAsia="zh-CN" w:bidi="ar-SA"/>
        </w:rPr>
        <w:t>⑥结清承诺书：格式详见附件一。</w:t>
      </w:r>
    </w:p>
    <w:p w14:paraId="7A00E7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⑦</w:t>
      </w:r>
      <w:r>
        <w:rPr>
          <w:rFonts w:hint="eastAsia" w:ascii="仿宋" w:hAnsi="仿宋" w:eastAsia="仿宋" w:cs="仿宋"/>
          <w:color w:val="auto"/>
          <w:kern w:val="2"/>
          <w:sz w:val="28"/>
          <w:szCs w:val="24"/>
          <w:highlight w:val="none"/>
          <w:u w:val="none"/>
          <w:lang w:val="en-US" w:eastAsia="zh-CN" w:bidi="ar-SA"/>
        </w:rPr>
        <w:t>材料款申报审批表：格式详见附件三。</w:t>
      </w:r>
    </w:p>
    <w:p w14:paraId="24B2E3E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⑧</w:t>
      </w:r>
      <w:r>
        <w:rPr>
          <w:rFonts w:hint="eastAsia" w:ascii="仿宋" w:hAnsi="仿宋" w:eastAsia="仿宋" w:cs="仿宋"/>
          <w:color w:val="auto"/>
          <w:sz w:val="28"/>
          <w:highlight w:val="none"/>
          <w:u w:val="none"/>
          <w:lang w:val="en-US" w:eastAsia="zh-CN"/>
        </w:rPr>
        <w:t>款项支付台账：格式详见附件四。</w:t>
      </w:r>
    </w:p>
    <w:p w14:paraId="15BBB8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⑨供应商月度对账单：格式详见附件五。</w:t>
      </w:r>
    </w:p>
    <w:p w14:paraId="7B3EE4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⑩物料申购单：格式详见附件。</w:t>
      </w:r>
    </w:p>
    <w:p w14:paraId="136D93E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办法三、其他办法：</w:t>
      </w:r>
    </w:p>
    <w:p w14:paraId="0530A9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0"/>
        <w:rPr>
          <w:rFonts w:hint="eastAsia" w:ascii="仿宋" w:hAnsi="仿宋" w:eastAsia="仿宋" w:cs="仿宋"/>
          <w:color w:val="auto"/>
          <w:sz w:val="28"/>
          <w:highlight w:val="none"/>
          <w:u w:val="none"/>
          <w:lang w:val="en-US" w:eastAsia="zh-CN"/>
        </w:rPr>
      </w:pPr>
      <w:bookmarkStart w:id="16" w:name="_Toc22011"/>
      <w:r>
        <w:rPr>
          <w:rFonts w:hint="eastAsia" w:ascii="仿宋" w:hAnsi="仿宋" w:eastAsia="仿宋" w:cs="仿宋"/>
          <w:color w:val="auto"/>
          <w:sz w:val="28"/>
          <w:highlight w:val="none"/>
          <w:u w:val="none"/>
          <w:lang w:val="en-US" w:eastAsia="zh-CN"/>
        </w:rPr>
        <w:t>2.1.1</w:t>
      </w:r>
      <w:r>
        <w:rPr>
          <w:rFonts w:hint="eastAsia" w:ascii="仿宋" w:hAnsi="仿宋" w:eastAsia="仿宋" w:cs="仿宋"/>
          <w:color w:val="auto"/>
          <w:sz w:val="28"/>
          <w:highlight w:val="none"/>
          <w:u w:val="single"/>
          <w:lang w:val="en-US" w:eastAsia="zh-CN"/>
        </w:rPr>
        <w:t>（根据与乙方议定的实际情况填写）</w:t>
      </w:r>
      <w:bookmarkEnd w:id="16"/>
      <w:r>
        <w:rPr>
          <w:rFonts w:hint="eastAsia" w:ascii="仿宋" w:hAnsi="仿宋" w:eastAsia="仿宋" w:cs="仿宋"/>
          <w:color w:val="auto"/>
          <w:sz w:val="28"/>
          <w:highlight w:val="none"/>
          <w:u w:val="none"/>
          <w:lang w:val="en-US" w:eastAsia="zh-CN"/>
        </w:rPr>
        <w:t xml:space="preserve"> </w:t>
      </w:r>
    </w:p>
    <w:p w14:paraId="12FBFA5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single"/>
          <w:lang w:val="en-US" w:eastAsia="zh-CN"/>
        </w:rPr>
      </w:pPr>
      <w:r>
        <w:rPr>
          <w:rFonts w:hint="eastAsia" w:ascii="仿宋" w:hAnsi="仿宋" w:eastAsia="仿宋" w:cs="仿宋"/>
          <w:color w:val="auto"/>
          <w:sz w:val="28"/>
          <w:highlight w:val="none"/>
          <w:u w:val="none"/>
          <w:lang w:val="en-US" w:eastAsia="zh-CN"/>
        </w:rPr>
        <w:t>2.1.2</w:t>
      </w:r>
      <w:r>
        <w:rPr>
          <w:rFonts w:hint="eastAsia" w:ascii="仿宋" w:hAnsi="仿宋" w:eastAsia="仿宋" w:cs="仿宋"/>
          <w:color w:val="auto"/>
          <w:sz w:val="28"/>
          <w:highlight w:val="none"/>
          <w:u w:val="single"/>
          <w:lang w:val="en-US" w:eastAsia="zh-CN"/>
        </w:rPr>
        <w:t>（根据与乙方议定的实际情况填写）</w:t>
      </w:r>
    </w:p>
    <w:p w14:paraId="6AB776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2.2付款形式：优先使用网银、银行承兑汇票等，支票、电汇视情况而定。</w:t>
      </w:r>
    </w:p>
    <w:p w14:paraId="46E16B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甲方以其中任意一种支付形式给乙方合同款，均视为乙方收到该合同款。</w:t>
      </w:r>
    </w:p>
    <w:p w14:paraId="144E59B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lang w:val="en-US" w:eastAsia="zh-CN"/>
        </w:rPr>
        <w:t>2.3发票要求：甲乙双方对账完成后2日内，乙方开票并提交至甲方项目部，否则甲方不予付款且不视为违约。乙方开具的发票内容须与合同约定内容一致，并按甲方要求分项目、分地块、分楼栋分别开具，否则视为乙方逾期提供发票给甲方，属乙方违约，甲方有权不付款。乙方逾期提供合格发票的，在提供合格发票时须同时提供“同意延迟付款声明函”（格式详见附件），同时甲方按签收合格发票之日起顺延相应日历天付款，不属甲方违约。甲方付款顺延相应日历天数=甲方实际签收合格发票日-甲方约定签收合格发票日。</w:t>
      </w:r>
      <w:r>
        <w:rPr>
          <w:rFonts w:hint="eastAsia" w:ascii="仿宋" w:hAnsi="仿宋" w:eastAsia="仿宋" w:cs="仿宋"/>
          <w:color w:val="auto"/>
          <w:sz w:val="28"/>
          <w:highlight w:val="none"/>
          <w:u w:val="none"/>
        </w:rPr>
        <w:t>如甲方</w:t>
      </w:r>
      <w:r>
        <w:rPr>
          <w:rFonts w:hint="eastAsia" w:ascii="仿宋" w:hAnsi="仿宋" w:eastAsia="仿宋" w:cs="仿宋"/>
          <w:color w:val="auto"/>
          <w:sz w:val="28"/>
          <w:highlight w:val="none"/>
          <w:u w:val="none"/>
          <w:lang w:val="en-US" w:eastAsia="zh-CN"/>
        </w:rPr>
        <w:t>因特殊原因未收到发票却已付</w:t>
      </w:r>
      <w:r>
        <w:rPr>
          <w:rFonts w:hint="eastAsia" w:ascii="仿宋" w:hAnsi="仿宋" w:eastAsia="仿宋" w:cs="仿宋"/>
          <w:color w:val="auto"/>
          <w:sz w:val="28"/>
          <w:highlight w:val="none"/>
          <w:u w:val="none"/>
        </w:rPr>
        <w:t>款，</w:t>
      </w:r>
      <w:r>
        <w:rPr>
          <w:rFonts w:hint="eastAsia" w:ascii="仿宋" w:hAnsi="仿宋" w:eastAsia="仿宋" w:cs="仿宋"/>
          <w:color w:val="auto"/>
          <w:sz w:val="28"/>
          <w:highlight w:val="none"/>
          <w:u w:val="none"/>
          <w:lang w:val="en-US" w:eastAsia="zh-CN"/>
        </w:rPr>
        <w:t>但</w:t>
      </w:r>
      <w:r>
        <w:rPr>
          <w:rFonts w:hint="eastAsia" w:ascii="仿宋" w:hAnsi="仿宋" w:eastAsia="仿宋" w:cs="仿宋"/>
          <w:color w:val="auto"/>
          <w:sz w:val="28"/>
          <w:highlight w:val="none"/>
          <w:u w:val="none"/>
          <w:lang w:eastAsia="zh-CN"/>
        </w:rPr>
        <w:t>乙方逾期</w:t>
      </w:r>
      <w:r>
        <w:rPr>
          <w:rFonts w:hint="eastAsia" w:ascii="仿宋" w:hAnsi="仿宋" w:eastAsia="仿宋" w:cs="仿宋"/>
          <w:color w:val="auto"/>
          <w:sz w:val="28"/>
          <w:highlight w:val="none"/>
          <w:u w:val="none"/>
        </w:rPr>
        <w:t>提供</w:t>
      </w:r>
      <w:r>
        <w:rPr>
          <w:rFonts w:hint="eastAsia" w:ascii="仿宋" w:hAnsi="仿宋" w:eastAsia="仿宋" w:cs="仿宋"/>
          <w:color w:val="auto"/>
          <w:sz w:val="28"/>
          <w:highlight w:val="none"/>
          <w:u w:val="none"/>
          <w:lang w:eastAsia="zh-CN"/>
        </w:rPr>
        <w:t>发票</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lang w:eastAsia="zh-CN"/>
        </w:rPr>
        <w:t>，每逾期1个日历天</w:t>
      </w:r>
      <w:r>
        <w:rPr>
          <w:rFonts w:hint="eastAsia" w:ascii="仿宋" w:hAnsi="仿宋" w:eastAsia="仿宋" w:cs="仿宋"/>
          <w:color w:val="auto"/>
          <w:sz w:val="28"/>
          <w:highlight w:val="none"/>
          <w:u w:val="none"/>
        </w:rPr>
        <w:t>按合同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w:t>
      </w:r>
      <w:r>
        <w:rPr>
          <w:rFonts w:hint="eastAsia"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rPr>
        <w:t>%向甲方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如乙方经甲方书面催告后</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超过5</w:t>
      </w:r>
      <w:r>
        <w:rPr>
          <w:rFonts w:hint="eastAsia" w:ascii="仿宋" w:hAnsi="仿宋" w:eastAsia="仿宋" w:cs="仿宋"/>
          <w:color w:val="auto"/>
          <w:sz w:val="28"/>
          <w:highlight w:val="none"/>
          <w:u w:val="none"/>
          <w:lang w:eastAsia="zh-CN"/>
        </w:rPr>
        <w:t>个日历天</w:t>
      </w:r>
      <w:r>
        <w:rPr>
          <w:rFonts w:hint="eastAsia" w:ascii="仿宋" w:hAnsi="仿宋" w:eastAsia="仿宋" w:cs="仿宋"/>
          <w:color w:val="auto"/>
          <w:sz w:val="28"/>
          <w:highlight w:val="none"/>
          <w:u w:val="none"/>
        </w:rPr>
        <w:t>仍不提供，</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另按</w:t>
      </w:r>
      <w:r>
        <w:rPr>
          <w:rFonts w:hint="eastAsia" w:ascii="仿宋" w:hAnsi="仿宋" w:eastAsia="仿宋" w:cs="仿宋"/>
          <w:color w:val="auto"/>
          <w:sz w:val="28"/>
          <w:highlight w:val="none"/>
          <w:u w:val="none"/>
        </w:rPr>
        <w:t>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总价的30%向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p>
    <w:p w14:paraId="5219540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single"/>
          <w:lang w:val="en-US" w:eastAsia="zh-CN"/>
        </w:rPr>
        <w:t>2.3条款</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假发票行为导致的不良后果，包括但不限于行政处罚或使甲方遭受损失等所有费用及损失由乙方全部承担。</w:t>
      </w:r>
    </w:p>
    <w:p w14:paraId="01F1877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2.5乙方必须按税法规定的四流合一执行合同，即合同流、货物流、发票流、资金流一致，否则视为乙方违约，且由乙方承担所有责任及损失，直至满足四流合一后甲方才予付款。</w:t>
      </w:r>
    </w:p>
    <w:p w14:paraId="1B8848E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2.6乙方每次向甲方请款时，须按甲方要求注明该次请款所含的每个组团、每个地块、每栋楼具体金额，并提供符合合同约定的发票给甲方，否则甲方有权不付款且不违约。</w:t>
      </w:r>
    </w:p>
    <w:p w14:paraId="25A4124B">
      <w:pPr>
        <w:pStyle w:val="8"/>
        <w:keepNext w:val="0"/>
        <w:keepLines w:val="0"/>
        <w:pageBreakBefore w:val="0"/>
        <w:wordWrap/>
        <w:topLinePunct w:val="0"/>
        <w:bidi w:val="0"/>
        <w:adjustRightInd w:val="0"/>
        <w:snapToGrid w:val="0"/>
        <w:spacing w:line="360" w:lineRule="auto"/>
        <w:jc w:val="both"/>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sz w:val="28"/>
          <w:highlight w:val="none"/>
          <w:u w:val="none"/>
          <w:lang w:val="en-US" w:eastAsia="zh-CN"/>
        </w:rPr>
        <w:t>2.7</w:t>
      </w:r>
      <w:r>
        <w:rPr>
          <w:rFonts w:hint="eastAsia" w:ascii="仿宋" w:hAnsi="仿宋" w:eastAsia="仿宋" w:cs="仿宋"/>
          <w:color w:val="auto"/>
          <w:kern w:val="2"/>
          <w:sz w:val="28"/>
          <w:szCs w:val="24"/>
          <w:highlight w:val="none"/>
          <w:u w:val="none"/>
          <w:lang w:val="en-US" w:eastAsia="zh-CN" w:bidi="ar-SA"/>
        </w:rPr>
        <w:t>乙方报送甲方的送货单、对账单等单据中，表述的各种违背本合同约定的内容均无效，乙方承诺均按本合同执行。</w:t>
      </w:r>
    </w:p>
    <w:p w14:paraId="69B5F9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2.8如甲乙双方对付款金额/结算金额产生争议，甲方有权暂缓付款且不违约，甲方无需向乙方支付违约金或利息，直至双方达成一致意见后方可按甲方相应流程办理付款手续。</w:t>
      </w:r>
    </w:p>
    <w:p w14:paraId="69BBF4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bookmarkStart w:id="17" w:name="_Toc13709"/>
      <w:bookmarkStart w:id="18" w:name="_Toc9141"/>
      <w:r>
        <w:rPr>
          <w:rFonts w:hint="eastAsia" w:ascii="仿宋" w:hAnsi="仿宋" w:eastAsia="仿宋" w:cs="仿宋"/>
          <w:b w:val="0"/>
          <w:bCs w:val="0"/>
          <w:color w:val="auto"/>
          <w:sz w:val="28"/>
          <w:highlight w:val="none"/>
          <w:u w:val="none"/>
          <w:lang w:val="en-US" w:eastAsia="zh-CN"/>
        </w:rPr>
        <w:t>2.9甲方支付完任一批次货款（不含保修金）后或甲乙双方完成本项目货款结算或甲方支付完货款（不含保修金）后，视为乙方关于除保修金外的合同款收付事宜的全部权利消灭，乙方不得基于合同款收付事宜向甲方提出任何权利主张或追索其他任何费用。</w:t>
      </w:r>
    </w:p>
    <w:p w14:paraId="6C0F2B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2.10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5312CD3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000000" w:themeColor="text1"/>
          <w:sz w:val="28"/>
          <w:highlight w:val="none"/>
          <w:u w:val="none"/>
          <w:lang w:val="en-US" w:eastAsia="zh-CN"/>
          <w14:textFill>
            <w14:solidFill>
              <w14:schemeClr w14:val="tx1"/>
            </w14:solidFill>
          </w14:textFill>
        </w:rPr>
        <w:t>2.11合同履约保证金为人民币</w:t>
      </w:r>
      <w:r>
        <w:rPr>
          <w:rFonts w:hint="eastAsia" w:ascii="仿宋" w:hAnsi="仿宋" w:eastAsia="仿宋" w:cs="仿宋"/>
          <w:b/>
          <w:bCs/>
          <w:color w:val="000000" w:themeColor="text1"/>
          <w:sz w:val="28"/>
          <w:highlight w:val="none"/>
          <w:u w:val="single"/>
          <w:lang w:val="en-US" w:eastAsia="zh-CN"/>
          <w14:textFill>
            <w14:solidFill>
              <w14:schemeClr w14:val="tx1"/>
            </w14:solidFill>
          </w14:textFill>
        </w:rPr>
        <w:t>伍仟</w:t>
      </w:r>
      <w:r>
        <w:rPr>
          <w:rFonts w:hint="eastAsia" w:ascii="仿宋" w:hAnsi="仿宋" w:eastAsia="仿宋" w:cs="仿宋"/>
          <w:b w:val="0"/>
          <w:bCs w:val="0"/>
          <w:color w:val="000000" w:themeColor="text1"/>
          <w:sz w:val="28"/>
          <w:highlight w:val="none"/>
          <w:u w:val="none"/>
          <w:lang w:val="en-US" w:eastAsia="zh-CN"/>
          <w14:textFill>
            <w14:solidFill>
              <w14:schemeClr w14:val="tx1"/>
            </w14:solidFill>
          </w14:textFill>
        </w:rPr>
        <w:t>元整（由乙方的投标保证金无息转成）。</w:t>
      </w:r>
      <w:r>
        <w:rPr>
          <w:rFonts w:hint="eastAsia" w:ascii="仿宋" w:hAnsi="仿宋" w:eastAsia="仿宋" w:cs="仿宋"/>
          <w:color w:val="auto"/>
          <w:sz w:val="28"/>
          <w:szCs w:val="28"/>
          <w:highlight w:val="none"/>
          <w:u w:val="none"/>
          <w:lang w:val="en-US" w:eastAsia="zh-CN"/>
        </w:rPr>
        <w:t>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甲方支付第一笔合同款时，如乙方无违约行为</w:t>
      </w:r>
      <w:r>
        <w:rPr>
          <w:rFonts w:hint="eastAsia" w:ascii="仿宋" w:hAnsi="仿宋" w:eastAsia="仿宋" w:cs="仿宋"/>
          <w:i w:val="0"/>
          <w:iCs w:val="0"/>
          <w:color w:val="auto"/>
          <w:kern w:val="0"/>
          <w:sz w:val="28"/>
          <w:szCs w:val="28"/>
          <w:highlight w:val="none"/>
          <w:u w:val="none"/>
          <w:shd w:val="clear" w:color="auto" w:fill="auto"/>
          <w:lang w:val="en-US" w:eastAsia="zh-CN"/>
        </w:rPr>
        <w:t>，甲方</w:t>
      </w:r>
      <w:r>
        <w:rPr>
          <w:rFonts w:hint="eastAsia" w:ascii="仿宋" w:hAnsi="仿宋" w:eastAsia="仿宋" w:cs="仿宋"/>
          <w:b w:val="0"/>
          <w:bCs w:val="0"/>
          <w:color w:val="000000" w:themeColor="text1"/>
          <w:sz w:val="28"/>
          <w:highlight w:val="none"/>
          <w:u w:val="none"/>
          <w:lang w:val="en-US" w:eastAsia="zh-CN"/>
          <w14:textFill>
            <w14:solidFill>
              <w14:schemeClr w14:val="tx1"/>
            </w14:solidFill>
          </w14:textFill>
        </w:rPr>
        <w:t>同</w:t>
      </w:r>
      <w:r>
        <w:rPr>
          <w:rFonts w:hint="eastAsia" w:ascii="仿宋" w:hAnsi="仿宋" w:eastAsia="仿宋" w:cs="仿宋"/>
          <w:color w:val="auto"/>
          <w:sz w:val="28"/>
          <w:szCs w:val="28"/>
          <w:highlight w:val="none"/>
          <w:u w:val="none"/>
          <w:lang w:val="en-US" w:eastAsia="zh-CN"/>
        </w:rPr>
        <w:t>第一笔</w:t>
      </w:r>
      <w:r>
        <w:rPr>
          <w:rFonts w:hint="eastAsia" w:ascii="仿宋" w:hAnsi="仿宋" w:eastAsia="仿宋" w:cs="仿宋"/>
          <w:b w:val="0"/>
          <w:bCs w:val="0"/>
          <w:color w:val="000000" w:themeColor="text1"/>
          <w:sz w:val="28"/>
          <w:highlight w:val="none"/>
          <w:u w:val="none"/>
          <w:lang w:val="en-US" w:eastAsia="zh-CN"/>
          <w14:textFill>
            <w14:solidFill>
              <w14:schemeClr w14:val="tx1"/>
            </w14:solidFill>
          </w14:textFill>
        </w:rPr>
        <w:t>合同款</w:t>
      </w:r>
      <w:r>
        <w:rPr>
          <w:rFonts w:hint="eastAsia" w:ascii="仿宋" w:hAnsi="仿宋" w:eastAsia="仿宋" w:cs="仿宋"/>
          <w:color w:val="auto"/>
          <w:sz w:val="28"/>
          <w:szCs w:val="28"/>
          <w:highlight w:val="none"/>
          <w:u w:val="none"/>
          <w:lang w:val="en-US" w:eastAsia="zh-CN"/>
        </w:rPr>
        <w:t>一并无息原路退回剩余的履约保证金</w:t>
      </w:r>
      <w:r>
        <w:rPr>
          <w:rFonts w:hint="eastAsia" w:ascii="仿宋" w:hAnsi="仿宋" w:eastAsia="仿宋" w:cs="仿宋"/>
          <w:b w:val="0"/>
          <w:bCs w:val="0"/>
          <w:color w:val="auto"/>
          <w:sz w:val="28"/>
          <w:highlight w:val="none"/>
          <w:u w:val="none"/>
          <w:lang w:val="en-US" w:eastAsia="zh-CN"/>
        </w:rPr>
        <w:t>。</w:t>
      </w:r>
    </w:p>
    <w:p w14:paraId="7C2F00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cs="仿宋"/>
          <w:color w:val="auto"/>
          <w:sz w:val="28"/>
          <w:highlight w:val="none"/>
          <w:lang w:val="en-US" w:eastAsia="zh-CN"/>
        </w:rPr>
      </w:pPr>
      <w:bookmarkStart w:id="19" w:name="_Toc7998"/>
      <w:bookmarkStart w:id="20" w:name="_Toc20399"/>
      <w:bookmarkStart w:id="21" w:name="_Toc23826"/>
      <w:r>
        <w:rPr>
          <w:rFonts w:hint="eastAsia" w:ascii="仿宋" w:hAnsi="仿宋" w:eastAsia="仿宋" w:cs="仿宋"/>
          <w:b/>
          <w:bCs/>
          <w:color w:val="auto"/>
          <w:sz w:val="28"/>
          <w:highlight w:val="none"/>
          <w:lang w:val="en-US" w:eastAsia="zh-CN"/>
        </w:rPr>
        <w:t>第三章、产品</w:t>
      </w:r>
      <w:r>
        <w:rPr>
          <w:rFonts w:hint="eastAsia" w:ascii="仿宋" w:hAnsi="仿宋" w:eastAsia="仿宋" w:cs="仿宋"/>
          <w:b/>
          <w:bCs/>
          <w:color w:val="auto"/>
          <w:sz w:val="28"/>
          <w:highlight w:val="none"/>
        </w:rPr>
        <w:t>质量</w:t>
      </w:r>
      <w:r>
        <w:rPr>
          <w:rFonts w:hint="eastAsia" w:ascii="仿宋" w:hAnsi="仿宋" w:eastAsia="仿宋" w:cs="仿宋"/>
          <w:b/>
          <w:bCs/>
          <w:color w:val="auto"/>
          <w:sz w:val="28"/>
          <w:highlight w:val="none"/>
          <w:lang w:val="en-US" w:eastAsia="zh-CN"/>
        </w:rPr>
        <w:t>及包装要求</w:t>
      </w:r>
      <w:bookmarkEnd w:id="17"/>
      <w:bookmarkEnd w:id="18"/>
      <w:bookmarkEnd w:id="19"/>
      <w:bookmarkEnd w:id="20"/>
      <w:bookmarkEnd w:id="21"/>
    </w:p>
    <w:p w14:paraId="6EBB66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3.1质量要求</w:t>
      </w:r>
    </w:p>
    <w:p w14:paraId="6E5CF2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3.1.1</w:t>
      </w:r>
      <w:r>
        <w:rPr>
          <w:rFonts w:hint="eastAsia" w:ascii="仿宋" w:hAnsi="仿宋" w:eastAsia="仿宋" w:cs="仿宋"/>
          <w:color w:val="auto"/>
          <w:sz w:val="28"/>
          <w:highlight w:val="none"/>
        </w:rPr>
        <w:t>产品必须满足</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验收要求且符合</w:t>
      </w:r>
      <w:r>
        <w:rPr>
          <w:rFonts w:hint="eastAsia" w:ascii="仿宋" w:hAnsi="仿宋" w:eastAsia="仿宋" w:cs="仿宋"/>
          <w:color w:val="auto"/>
          <w:sz w:val="28"/>
          <w:highlight w:val="none"/>
          <w:lang w:eastAsia="zh-CN"/>
        </w:rPr>
        <w:t>产品使用地点政府主管部门的</w:t>
      </w:r>
      <w:r>
        <w:rPr>
          <w:rFonts w:hint="eastAsia" w:ascii="仿宋" w:hAnsi="仿宋" w:eastAsia="仿宋" w:cs="仿宋"/>
          <w:color w:val="auto"/>
          <w:sz w:val="28"/>
          <w:highlight w:val="none"/>
        </w:rPr>
        <w:t>相关质量</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验收规定，必须是全新的、未使用过的</w:t>
      </w:r>
      <w:r>
        <w:rPr>
          <w:rFonts w:hint="eastAsia" w:ascii="仿宋" w:hAnsi="仿宋" w:eastAsia="仿宋" w:cs="仿宋"/>
          <w:color w:val="auto"/>
          <w:sz w:val="28"/>
          <w:highlight w:val="none"/>
          <w:lang w:val="en-US" w:eastAsia="zh-CN"/>
        </w:rPr>
        <w:t>产品</w:t>
      </w:r>
      <w:r>
        <w:rPr>
          <w:rFonts w:hint="eastAsia" w:ascii="仿宋" w:hAnsi="仿宋" w:eastAsia="仿宋" w:cs="仿宋"/>
          <w:color w:val="auto"/>
          <w:sz w:val="28"/>
          <w:highlight w:val="none"/>
        </w:rPr>
        <w:t>(包括</w:t>
      </w:r>
      <w:r>
        <w:rPr>
          <w:rFonts w:hint="eastAsia" w:ascii="仿宋" w:hAnsi="仿宋" w:eastAsia="仿宋" w:cs="仿宋"/>
          <w:color w:val="auto"/>
          <w:sz w:val="28"/>
          <w:highlight w:val="none"/>
          <w:lang w:val="en-US" w:eastAsia="zh-CN"/>
        </w:rPr>
        <w:t>产品包含的</w:t>
      </w:r>
      <w:r>
        <w:rPr>
          <w:rFonts w:hint="eastAsia" w:ascii="仿宋" w:hAnsi="仿宋" w:eastAsia="仿宋" w:cs="仿宋"/>
          <w:color w:val="auto"/>
          <w:sz w:val="28"/>
          <w:highlight w:val="none"/>
        </w:rPr>
        <w:t>零件</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配件</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none"/>
        </w:rPr>
        <w:t>符合</w:t>
      </w:r>
      <w:r>
        <w:rPr>
          <w:rFonts w:hint="eastAsia" w:ascii="仿宋" w:hAnsi="仿宋" w:eastAsia="仿宋" w:cs="仿宋"/>
          <w:color w:val="auto"/>
          <w:sz w:val="28"/>
          <w:highlight w:val="none"/>
          <w:u w:val="none"/>
          <w:lang w:eastAsia="zh-CN"/>
        </w:rPr>
        <w:t>本</w:t>
      </w:r>
      <w:r>
        <w:rPr>
          <w:rFonts w:hint="eastAsia" w:ascii="仿宋" w:hAnsi="仿宋" w:eastAsia="仿宋" w:cs="仿宋"/>
          <w:color w:val="auto"/>
          <w:sz w:val="28"/>
          <w:highlight w:val="none"/>
          <w:u w:val="none"/>
        </w:rPr>
        <w:t>合同要求，</w:t>
      </w:r>
      <w:r>
        <w:rPr>
          <w:rFonts w:hint="eastAsia" w:ascii="仿宋" w:hAnsi="仿宋" w:eastAsia="仿宋" w:cs="仿宋"/>
          <w:color w:val="auto"/>
          <w:sz w:val="28"/>
          <w:highlight w:val="none"/>
          <w:u w:val="none"/>
          <w:lang w:eastAsia="zh-CN"/>
        </w:rPr>
        <w:t>规格</w:t>
      </w:r>
      <w:r>
        <w:rPr>
          <w:rFonts w:hint="eastAsia" w:ascii="仿宋" w:hAnsi="仿宋" w:eastAsia="仿宋" w:cs="仿宋"/>
          <w:color w:val="auto"/>
          <w:sz w:val="28"/>
          <w:highlight w:val="none"/>
          <w:u w:val="none"/>
        </w:rPr>
        <w:t>尺寸符合国家标准，符合原厂质量检测标准和国家质量检测标准、行业标准，不得</w:t>
      </w:r>
      <w:r>
        <w:rPr>
          <w:rFonts w:hint="eastAsia" w:ascii="仿宋" w:hAnsi="仿宋" w:eastAsia="仿宋" w:cs="仿宋"/>
          <w:color w:val="auto"/>
          <w:sz w:val="28"/>
          <w:highlight w:val="none"/>
        </w:rPr>
        <w:t>低于合格标准。进口的产品或零部件必须符合原产地</w:t>
      </w:r>
      <w:r>
        <w:rPr>
          <w:rFonts w:hint="eastAsia" w:ascii="仿宋" w:hAnsi="仿宋" w:eastAsia="仿宋" w:cs="仿宋"/>
          <w:color w:val="auto"/>
          <w:sz w:val="28"/>
          <w:highlight w:val="none"/>
          <w:lang w:val="en-US" w:eastAsia="zh-CN"/>
        </w:rPr>
        <w:t>的合格品要求</w:t>
      </w:r>
      <w:r>
        <w:rPr>
          <w:rFonts w:hint="eastAsia" w:ascii="仿宋" w:hAnsi="仿宋" w:eastAsia="仿宋" w:cs="仿宋"/>
          <w:color w:val="auto"/>
          <w:sz w:val="28"/>
          <w:highlight w:val="none"/>
        </w:rPr>
        <w:t>，须具有合法进口手续及通过国家相关主管部门的检验</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检测</w:t>
      </w:r>
      <w:r>
        <w:rPr>
          <w:rFonts w:hint="eastAsia" w:ascii="仿宋" w:hAnsi="仿宋" w:eastAsia="仿宋" w:cs="仿宋"/>
          <w:color w:val="auto"/>
          <w:sz w:val="28"/>
          <w:highlight w:val="none"/>
        </w:rPr>
        <w:t>。产品生产日期距到货（进场）日期不得超过3个月。</w:t>
      </w:r>
    </w:p>
    <w:p w14:paraId="31B08B4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3.1.2</w:t>
      </w:r>
      <w:r>
        <w:rPr>
          <w:rFonts w:hint="eastAsia" w:ascii="仿宋" w:hAnsi="仿宋" w:eastAsia="仿宋" w:cs="仿宋"/>
          <w:color w:val="auto"/>
          <w:sz w:val="28"/>
          <w:highlight w:val="none"/>
          <w:u w:val="none"/>
          <w:vertAlign w:val="baseline"/>
          <w:lang w:val="en-US" w:eastAsia="zh-CN"/>
        </w:rPr>
        <w:t>进场产品必须与甲乙双方事先确认的样板相同，如不相同，乙方无条件按甲方要求更换或退货。本合同所述各种产品标准、规范的质量表述不一致时，按质量要求最高的表述执行。</w:t>
      </w:r>
    </w:p>
    <w:p w14:paraId="0F6F32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u w:val="none"/>
          <w:vertAlign w:val="baseline"/>
          <w:lang w:val="en-US" w:eastAsia="zh-CN"/>
        </w:rPr>
        <w:t>3.1.3其他需要约定的与产品质量相关的事项：</w:t>
      </w:r>
      <w:r>
        <w:rPr>
          <w:rFonts w:hint="eastAsia" w:ascii="仿宋" w:hAnsi="仿宋" w:eastAsia="仿宋" w:cs="仿宋"/>
          <w:color w:val="auto"/>
          <w:sz w:val="28"/>
          <w:highlight w:val="none"/>
          <w:u w:val="single"/>
          <w:vertAlign w:val="baseline"/>
          <w:lang w:val="en-US" w:eastAsia="zh-CN"/>
        </w:rPr>
        <w:t>无</w:t>
      </w:r>
      <w:r>
        <w:rPr>
          <w:rFonts w:hint="eastAsia" w:ascii="仿宋" w:hAnsi="仿宋" w:eastAsia="仿宋" w:cs="仿宋"/>
          <w:color w:val="auto"/>
          <w:sz w:val="28"/>
          <w:highlight w:val="none"/>
          <w:u w:val="none"/>
          <w:vertAlign w:val="baseline"/>
          <w:lang w:val="en-US" w:eastAsia="zh-CN"/>
        </w:rPr>
        <w:t>。</w:t>
      </w:r>
    </w:p>
    <w:p w14:paraId="70650B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u w:val="none"/>
          <w:vertAlign w:val="baseline"/>
          <w:lang w:val="en-US" w:eastAsia="zh-CN"/>
        </w:rPr>
        <w:t>3.2产品包装要求：</w:t>
      </w:r>
      <w:r>
        <w:rPr>
          <w:rFonts w:hint="eastAsia" w:ascii="仿宋" w:hAnsi="仿宋" w:eastAsia="仿宋" w:cs="仿宋"/>
          <w:color w:val="auto"/>
          <w:sz w:val="28"/>
          <w:highlight w:val="none"/>
          <w:u w:val="single"/>
          <w:vertAlign w:val="baseline"/>
          <w:lang w:val="en-US" w:eastAsia="zh-CN"/>
        </w:rPr>
        <w:t>无</w:t>
      </w:r>
      <w:r>
        <w:rPr>
          <w:rFonts w:hint="eastAsia" w:ascii="仿宋" w:hAnsi="仿宋" w:eastAsia="仿宋" w:cs="仿宋"/>
          <w:color w:val="auto"/>
          <w:sz w:val="28"/>
          <w:highlight w:val="none"/>
          <w:u w:val="none"/>
          <w:vertAlign w:val="baseline"/>
          <w:lang w:val="en-US" w:eastAsia="zh-CN"/>
        </w:rPr>
        <w:t>。</w:t>
      </w:r>
    </w:p>
    <w:p w14:paraId="286575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vertAlign w:val="baseline"/>
          <w:lang w:val="en-US" w:eastAsia="zh-CN"/>
        </w:rPr>
        <w:t>3.3</w:t>
      </w:r>
      <w:r>
        <w:rPr>
          <w:rFonts w:hint="eastAsia" w:ascii="仿宋" w:hAnsi="仿宋" w:eastAsia="仿宋" w:cs="仿宋"/>
          <w:color w:val="auto"/>
          <w:sz w:val="28"/>
          <w:highlight w:val="none"/>
          <w:u w:val="none"/>
          <w:lang w:val="en-US" w:eastAsia="zh-CN"/>
        </w:rPr>
        <w:t>产品包装物归属：</w:t>
      </w:r>
      <w:r>
        <w:rPr>
          <w:rFonts w:hint="eastAsia" w:ascii="仿宋" w:hAnsi="仿宋" w:eastAsia="仿宋" w:cs="仿宋"/>
          <w:color w:val="auto"/>
          <w:sz w:val="28"/>
          <w:highlight w:val="none"/>
          <w:u w:val="none"/>
          <w:lang w:val="en-US" w:eastAsia="zh-CN"/>
        </w:rPr>
        <w:sym w:font="Wingdings 2" w:char="00A3"/>
      </w:r>
      <w:r>
        <w:rPr>
          <w:rFonts w:hint="eastAsia" w:ascii="仿宋" w:hAnsi="仿宋" w:eastAsia="仿宋" w:cs="仿宋"/>
          <w:color w:val="auto"/>
          <w:sz w:val="28"/>
          <w:highlight w:val="none"/>
          <w:u w:val="none"/>
          <w:lang w:val="en-US" w:eastAsia="zh-CN"/>
        </w:rPr>
        <w:t>乙方自行清运拉走，费用已含于合同单价中。</w:t>
      </w:r>
      <w:r>
        <w:rPr>
          <w:rFonts w:hint="eastAsia" w:ascii="仿宋" w:hAnsi="仿宋" w:eastAsia="仿宋" w:cs="仿宋"/>
          <w:color w:val="auto"/>
          <w:sz w:val="28"/>
          <w:highlight w:val="none"/>
          <w:u w:val="none"/>
          <w:lang w:val="en-US" w:eastAsia="zh-CN"/>
        </w:rPr>
        <w:sym w:font="Wingdings 2" w:char="0052"/>
      </w:r>
      <w:r>
        <w:rPr>
          <w:rFonts w:hint="eastAsia" w:ascii="仿宋" w:hAnsi="仿宋" w:eastAsia="仿宋" w:cs="仿宋"/>
          <w:color w:val="auto"/>
          <w:sz w:val="28"/>
          <w:highlight w:val="none"/>
          <w:u w:val="none"/>
          <w:lang w:val="en-US" w:eastAsia="zh-CN"/>
        </w:rPr>
        <w:t>包装物归甲方所有，费用已含于合同单价中。</w:t>
      </w:r>
    </w:p>
    <w:p w14:paraId="1EF6ACE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0"/>
        <w:rPr>
          <w:rFonts w:hint="eastAsia" w:ascii="仿宋" w:hAnsi="仿宋" w:eastAsia="仿宋" w:cs="仿宋"/>
          <w:b/>
          <w:bCs/>
          <w:color w:val="auto"/>
          <w:sz w:val="28"/>
          <w:highlight w:val="none"/>
          <w:lang w:val="en-US" w:eastAsia="zh-CN"/>
        </w:rPr>
      </w:pPr>
      <w:bookmarkStart w:id="22" w:name="_Toc23033"/>
      <w:bookmarkStart w:id="23" w:name="_Toc24735"/>
      <w:bookmarkStart w:id="24" w:name="_Toc31306"/>
      <w:bookmarkStart w:id="25" w:name="_Toc29235"/>
      <w:bookmarkStart w:id="26" w:name="_Toc19751"/>
      <w:r>
        <w:rPr>
          <w:rFonts w:hint="eastAsia" w:ascii="仿宋" w:hAnsi="仿宋" w:eastAsia="仿宋" w:cs="仿宋"/>
          <w:b/>
          <w:bCs/>
          <w:color w:val="auto"/>
          <w:sz w:val="28"/>
          <w:highlight w:val="none"/>
          <w:u w:val="none"/>
          <w:lang w:val="en-US" w:eastAsia="zh-CN"/>
        </w:rPr>
        <w:t>第四章、</w:t>
      </w:r>
      <w:r>
        <w:rPr>
          <w:rFonts w:hint="eastAsia" w:ascii="仿宋" w:hAnsi="仿宋" w:eastAsia="仿宋" w:cs="仿宋"/>
          <w:b/>
          <w:bCs/>
          <w:color w:val="auto"/>
          <w:sz w:val="28"/>
          <w:highlight w:val="none"/>
          <w:u w:val="none"/>
          <w:lang w:eastAsia="zh-CN"/>
        </w:rPr>
        <w:t>订货、</w:t>
      </w:r>
      <w:r>
        <w:rPr>
          <w:rFonts w:hint="eastAsia" w:ascii="仿宋" w:hAnsi="仿宋" w:eastAsia="仿宋" w:cs="仿宋"/>
          <w:b/>
          <w:bCs/>
          <w:color w:val="auto"/>
          <w:sz w:val="28"/>
          <w:highlight w:val="none"/>
        </w:rPr>
        <w:t>交货</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验收</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lang w:val="en-US" w:eastAsia="zh-CN"/>
        </w:rPr>
        <w:t>包装物</w:t>
      </w:r>
      <w:r>
        <w:rPr>
          <w:rFonts w:hint="eastAsia" w:ascii="仿宋" w:hAnsi="仿宋" w:eastAsia="仿宋" w:cs="仿宋"/>
          <w:b/>
          <w:bCs/>
          <w:color w:val="auto"/>
          <w:sz w:val="28"/>
          <w:highlight w:val="none"/>
          <w:lang w:eastAsia="zh-CN"/>
        </w:rPr>
        <w:t>及</w:t>
      </w:r>
      <w:bookmarkEnd w:id="22"/>
      <w:r>
        <w:rPr>
          <w:rFonts w:hint="eastAsia" w:ascii="仿宋" w:hAnsi="仿宋" w:eastAsia="仿宋" w:cs="仿宋"/>
          <w:b/>
          <w:bCs/>
          <w:color w:val="auto"/>
          <w:sz w:val="28"/>
          <w:highlight w:val="none"/>
          <w:lang w:eastAsia="zh-CN"/>
        </w:rPr>
        <w:t>保修</w:t>
      </w:r>
      <w:bookmarkEnd w:id="23"/>
      <w:bookmarkEnd w:id="24"/>
      <w:bookmarkEnd w:id="25"/>
      <w:bookmarkEnd w:id="26"/>
    </w:p>
    <w:p w14:paraId="483A23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eastAsia="zh-CN"/>
        </w:rPr>
      </w:pPr>
      <w:r>
        <w:rPr>
          <w:rFonts w:hint="eastAsia" w:ascii="仿宋" w:hAnsi="仿宋" w:eastAsia="仿宋" w:cs="仿宋"/>
          <w:b w:val="0"/>
          <w:bCs w:val="0"/>
          <w:color w:val="auto"/>
          <w:sz w:val="28"/>
          <w:highlight w:val="none"/>
          <w:lang w:val="en-US" w:eastAsia="zh-CN"/>
        </w:rPr>
        <w:t>4.1</w:t>
      </w:r>
      <w:r>
        <w:rPr>
          <w:rFonts w:hint="eastAsia" w:ascii="仿宋" w:hAnsi="仿宋" w:eastAsia="仿宋" w:cs="仿宋"/>
          <w:color w:val="auto"/>
          <w:sz w:val="28"/>
          <w:highlight w:val="none"/>
          <w:u w:val="none"/>
          <w:lang w:eastAsia="zh-CN"/>
        </w:rPr>
        <w:t>订单确认方式：</w:t>
      </w:r>
      <w:r>
        <w:rPr>
          <w:rFonts w:hint="eastAsia" w:ascii="仿宋" w:hAnsi="仿宋" w:eastAsia="仿宋" w:cs="仿宋"/>
          <w:color w:val="auto"/>
          <w:sz w:val="28"/>
          <w:highlight w:val="none"/>
          <w:u w:val="single"/>
          <w:lang w:eastAsia="zh-CN"/>
        </w:rPr>
        <w:t>以经甲方本合同执行联系人、</w:t>
      </w:r>
      <w:r>
        <w:rPr>
          <w:rFonts w:hint="eastAsia" w:ascii="仿宋" w:hAnsi="仿宋" w:eastAsia="仿宋" w:cs="仿宋"/>
          <w:color w:val="auto"/>
          <w:sz w:val="28"/>
          <w:highlight w:val="none"/>
          <w:u w:val="single"/>
          <w:lang w:val="en-US" w:eastAsia="zh-CN"/>
        </w:rPr>
        <w:t>仓管</w:t>
      </w:r>
      <w:r>
        <w:rPr>
          <w:rFonts w:hint="eastAsia" w:ascii="仿宋" w:hAnsi="仿宋" w:eastAsia="仿宋" w:cs="仿宋"/>
          <w:color w:val="auto"/>
          <w:sz w:val="28"/>
          <w:highlight w:val="none"/>
          <w:u w:val="single"/>
          <w:lang w:eastAsia="zh-CN"/>
        </w:rPr>
        <w:t>员等相关岗位人员签名的物料申购单（格式详见附件）扫描件为准，详见第4.4.1条约定。</w:t>
      </w:r>
    </w:p>
    <w:p w14:paraId="7DBDA5A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4.2</w:t>
      </w:r>
      <w:r>
        <w:rPr>
          <w:rFonts w:hint="eastAsia" w:ascii="仿宋" w:hAnsi="仿宋" w:eastAsia="仿宋" w:cs="仿宋"/>
          <w:color w:val="auto"/>
          <w:sz w:val="28"/>
          <w:highlight w:val="none"/>
        </w:rPr>
        <w:t>交货地点</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u w:val="single"/>
          <w:lang w:val="en-US" w:eastAsia="zh-CN"/>
        </w:rPr>
        <w:t>南京市六合区甲方项目部指定位置</w:t>
      </w:r>
      <w:r>
        <w:rPr>
          <w:rFonts w:hint="eastAsia" w:ascii="仿宋" w:hAnsi="仿宋" w:eastAsia="仿宋" w:cs="仿宋"/>
          <w:b/>
          <w:bCs/>
          <w:color w:val="auto"/>
          <w:sz w:val="28"/>
          <w:highlight w:val="none"/>
          <w:u w:val="single"/>
          <w:lang w:val="en-US" w:eastAsia="zh-CN"/>
        </w:rPr>
        <w:t>。</w:t>
      </w:r>
    </w:p>
    <w:p w14:paraId="53AB08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rPr>
        <w:t>交货期限</w:t>
      </w:r>
      <w:r>
        <w:rPr>
          <w:rFonts w:hint="eastAsia" w:ascii="仿宋" w:hAnsi="仿宋" w:eastAsia="仿宋" w:cs="仿宋"/>
          <w:color w:val="auto"/>
          <w:sz w:val="28"/>
          <w:highlight w:val="none"/>
          <w:lang w:eastAsia="zh-CN"/>
        </w:rPr>
        <w:t>：</w:t>
      </w:r>
      <w:r>
        <w:rPr>
          <w:rFonts w:hint="eastAsia" w:ascii="仿宋" w:hAnsi="仿宋" w:eastAsia="仿宋" w:cs="仿宋"/>
          <w:b w:val="0"/>
          <w:bCs w:val="0"/>
          <w:color w:val="auto"/>
          <w:sz w:val="28"/>
          <w:highlight w:val="none"/>
          <w:u w:val="single"/>
          <w:lang w:eastAsia="zh-CN"/>
        </w:rPr>
        <w:t>乙方自</w:t>
      </w:r>
      <w:r>
        <w:rPr>
          <w:rFonts w:hint="eastAsia" w:ascii="仿宋" w:hAnsi="仿宋" w:eastAsia="仿宋" w:cs="仿宋"/>
          <w:b w:val="0"/>
          <w:bCs w:val="0"/>
          <w:color w:val="auto"/>
          <w:sz w:val="28"/>
          <w:highlight w:val="none"/>
          <w:u w:val="single"/>
          <w:lang w:val="en-US" w:eastAsia="zh-CN"/>
        </w:rPr>
        <w:t>甲方发出订单之日起</w:t>
      </w:r>
      <w:r>
        <w:rPr>
          <w:rFonts w:hint="eastAsia" w:ascii="仿宋" w:hAnsi="仿宋" w:eastAsia="仿宋" w:cs="仿宋"/>
          <w:b/>
          <w:bCs/>
          <w:color w:val="auto"/>
          <w:sz w:val="28"/>
          <w:highlight w:val="none"/>
          <w:u w:val="single"/>
          <w:lang w:val="en-US" w:eastAsia="zh-CN"/>
        </w:rPr>
        <w:t>3个日历天</w:t>
      </w:r>
      <w:r>
        <w:rPr>
          <w:rFonts w:hint="eastAsia" w:ascii="仿宋" w:hAnsi="仿宋" w:eastAsia="仿宋" w:cs="仿宋"/>
          <w:b w:val="0"/>
          <w:bCs w:val="0"/>
          <w:color w:val="auto"/>
          <w:sz w:val="28"/>
          <w:highlight w:val="none"/>
          <w:u w:val="single"/>
        </w:rPr>
        <w:t>内</w:t>
      </w:r>
      <w:r>
        <w:rPr>
          <w:rFonts w:hint="eastAsia" w:ascii="仿宋" w:hAnsi="仿宋" w:eastAsia="仿宋" w:cs="仿宋"/>
          <w:b w:val="0"/>
          <w:bCs w:val="0"/>
          <w:color w:val="auto"/>
          <w:sz w:val="28"/>
          <w:highlight w:val="none"/>
          <w:u w:val="single"/>
          <w:lang w:eastAsia="zh-CN"/>
        </w:rPr>
        <w:t>，把</w:t>
      </w:r>
      <w:r>
        <w:rPr>
          <w:rFonts w:hint="eastAsia" w:ascii="仿宋" w:hAnsi="仿宋" w:eastAsia="仿宋" w:cs="仿宋"/>
          <w:b w:val="0"/>
          <w:bCs w:val="0"/>
          <w:color w:val="auto"/>
          <w:sz w:val="28"/>
          <w:highlight w:val="none"/>
          <w:u w:val="single"/>
          <w:lang w:val="en-US" w:eastAsia="zh-CN"/>
        </w:rPr>
        <w:t>该订单所述</w:t>
      </w:r>
      <w:r>
        <w:rPr>
          <w:rFonts w:hint="eastAsia" w:ascii="仿宋" w:hAnsi="仿宋" w:eastAsia="仿宋" w:cs="仿宋"/>
          <w:b w:val="0"/>
          <w:bCs w:val="0"/>
          <w:color w:val="auto"/>
          <w:sz w:val="28"/>
          <w:highlight w:val="none"/>
          <w:u w:val="single"/>
          <w:lang w:eastAsia="zh-CN"/>
        </w:rPr>
        <w:t>产品送齐至交货</w:t>
      </w:r>
      <w:r>
        <w:rPr>
          <w:rFonts w:hint="eastAsia" w:ascii="仿宋" w:hAnsi="仿宋" w:eastAsia="仿宋" w:cs="仿宋"/>
          <w:b w:val="0"/>
          <w:bCs w:val="0"/>
          <w:color w:val="auto"/>
          <w:sz w:val="28"/>
          <w:highlight w:val="none"/>
          <w:u w:val="single"/>
        </w:rPr>
        <w:t>地点</w:t>
      </w:r>
      <w:r>
        <w:rPr>
          <w:rFonts w:hint="eastAsia" w:ascii="仿宋" w:hAnsi="仿宋" w:eastAsia="仿宋" w:cs="仿宋"/>
          <w:b w:val="0"/>
          <w:bCs w:val="0"/>
          <w:color w:val="auto"/>
          <w:sz w:val="28"/>
          <w:highlight w:val="none"/>
          <w:u w:val="single"/>
          <w:lang w:val="en-US" w:eastAsia="zh-CN"/>
        </w:rPr>
        <w:t>。</w:t>
      </w:r>
    </w:p>
    <w:p w14:paraId="0037ED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4.4联系人及权限：</w:t>
      </w:r>
    </w:p>
    <w:p w14:paraId="08CBE4EB">
      <w:pPr>
        <w:keepNext w:val="0"/>
        <w:keepLines w:val="0"/>
        <w:pageBreakBefore w:val="0"/>
        <w:widowControl/>
        <w:numPr>
          <w:ilvl w:val="-1"/>
          <w:numId w:val="0"/>
        </w:numPr>
        <w:kinsoku w:val="0"/>
        <w:wordWrap/>
        <w:overflowPunct w:val="0"/>
        <w:topLinePunct w:val="0"/>
        <w:autoSpaceDE w:val="0"/>
        <w:autoSpaceDN w:val="0"/>
        <w:bidi w:val="0"/>
        <w:adjustRightInd w:val="0"/>
        <w:snapToGrid w:val="0"/>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color w:val="auto"/>
          <w:sz w:val="28"/>
          <w:highlight w:val="none"/>
          <w:lang w:val="en-US" w:eastAsia="zh-CN"/>
        </w:rPr>
        <w:t>4.4.1</w:t>
      </w:r>
      <w:r>
        <w:rPr>
          <w:rFonts w:hint="eastAsia" w:ascii="仿宋" w:hAnsi="仿宋" w:eastAsia="仿宋" w:cs="仿宋"/>
          <w:b w:val="0"/>
          <w:bCs w:val="0"/>
          <w:color w:val="auto"/>
          <w:sz w:val="28"/>
          <w:highlight w:val="none"/>
          <w:lang w:val="en-US" w:eastAsia="zh-CN"/>
        </w:rPr>
        <w:t>甲方指定</w:t>
      </w:r>
      <w:r>
        <w:rPr>
          <w:rFonts w:ascii="仿宋" w:hAnsi="仿宋" w:eastAsia="仿宋" w:cs="仿宋"/>
          <w:b w:val="0"/>
          <w:bCs w:val="0"/>
          <w:color w:val="000000"/>
          <w:sz w:val="28"/>
          <w:szCs w:val="28"/>
          <w:highlight w:val="none"/>
          <w:u w:val="single"/>
        </w:rPr>
        <w:t>彭善海（手机号码：13592796498）</w:t>
      </w:r>
      <w:r>
        <w:rPr>
          <w:rFonts w:hint="eastAsia" w:ascii="仿宋" w:hAnsi="仿宋" w:eastAsia="仿宋" w:cs="仿宋"/>
          <w:b w:val="0"/>
          <w:bCs w:val="0"/>
          <w:color w:val="auto"/>
          <w:sz w:val="28"/>
          <w:highlight w:val="none"/>
          <w:lang w:val="en-US" w:eastAsia="zh-CN"/>
        </w:rPr>
        <w:t>为本合同甲方执行联系人；指定</w:t>
      </w:r>
      <w:r>
        <w:rPr>
          <w:rFonts w:hint="eastAsia" w:ascii="仿宋" w:hAnsi="仿宋" w:eastAsia="仿宋" w:cs="仿宋"/>
          <w:sz w:val="28"/>
          <w:highlight w:val="none"/>
          <w:u w:val="single"/>
          <w:lang w:val="en-US" w:eastAsia="zh-CN"/>
        </w:rPr>
        <w:t>杨军</w:t>
      </w:r>
      <w:r>
        <w:rPr>
          <w:rFonts w:hint="eastAsia" w:ascii="仿宋" w:hAnsi="仿宋" w:eastAsia="仿宋" w:cs="仿宋"/>
          <w:sz w:val="28"/>
          <w:highlight w:val="none"/>
          <w:u w:val="single"/>
          <w:lang w:eastAsia="zh-CN"/>
        </w:rPr>
        <w:t>（仓管员，</w:t>
      </w:r>
      <w:r>
        <w:rPr>
          <w:rFonts w:ascii="仿宋" w:hAnsi="仿宋" w:eastAsia="仿宋" w:cs="仿宋"/>
          <w:b w:val="0"/>
          <w:bCs w:val="0"/>
          <w:color w:val="000000"/>
          <w:sz w:val="28"/>
          <w:szCs w:val="28"/>
          <w:highlight w:val="none"/>
          <w:u w:val="single"/>
        </w:rPr>
        <w:t>手机号码：</w:t>
      </w:r>
      <w:r>
        <w:rPr>
          <w:rFonts w:hint="eastAsia" w:ascii="仿宋" w:hAnsi="仿宋" w:eastAsia="仿宋" w:cs="仿宋"/>
          <w:i w:val="0"/>
          <w:iCs w:val="0"/>
          <w:caps w:val="0"/>
          <w:color w:val="auto"/>
          <w:spacing w:val="0"/>
          <w:sz w:val="28"/>
          <w:szCs w:val="24"/>
          <w:highlight w:val="none"/>
          <w:u w:val="single"/>
          <w:shd w:val="clear"/>
          <w:lang w:val="en-US" w:eastAsia="zh-CN"/>
        </w:rPr>
        <w:t>13652456602</w:t>
      </w:r>
      <w:r>
        <w:rPr>
          <w:rFonts w:hint="eastAsia" w:ascii="仿宋" w:hAnsi="仿宋" w:eastAsia="仿宋" w:cs="仿宋"/>
          <w:sz w:val="28"/>
          <w:highlight w:val="none"/>
          <w:u w:val="single"/>
          <w:lang w:eastAsia="zh-CN"/>
        </w:rPr>
        <w:t>）</w:t>
      </w:r>
      <w:r>
        <w:rPr>
          <w:rFonts w:hint="eastAsia" w:ascii="仿宋" w:hAnsi="仿宋" w:eastAsia="仿宋" w:cs="仿宋"/>
          <w:b w:val="0"/>
          <w:bCs w:val="0"/>
          <w:color w:val="auto"/>
          <w:sz w:val="28"/>
          <w:highlight w:val="none"/>
          <w:lang w:val="en-US" w:eastAsia="zh-CN"/>
        </w:rPr>
        <w:t>为产品签收人。未经甲方加盖公章确认，甲方项目负责人及执行联系人、签约代表及其他职员均无权代表甲方做出减损、放弃甲方权利、乙方义务、乙方责任的行为，也无权做出增加甲方义务、责任的行为。甲方对乙方发出的业务通知等文件，须经甲方项目负责人及执行联系人签名并加盖甲方项目章（样式详见附件六）方为有效，否则为无效文件，仅盖章或仅签名的文件亦无效。甲方项目负责人、合同执行联系人变更的，甲方将以书面形式通知乙方。</w:t>
      </w:r>
    </w:p>
    <w:p w14:paraId="6AA66967">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14:paraId="75DF2C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4.4.1.1签订合同；</w:t>
      </w:r>
    </w:p>
    <w:p w14:paraId="3C9AED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4.4.1.2任何类型的欠条或收据；</w:t>
      </w:r>
    </w:p>
    <w:p w14:paraId="41C1164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4.4.1.3任何形式的经济结算凭证；</w:t>
      </w:r>
    </w:p>
    <w:p w14:paraId="1785508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4.4.1.4为他人或其他单位提供任何形式的担保；</w:t>
      </w:r>
    </w:p>
    <w:p w14:paraId="76ECFA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b w:val="0"/>
          <w:bCs w:val="0"/>
          <w:color w:val="auto"/>
          <w:sz w:val="28"/>
          <w:highlight w:val="none"/>
          <w:lang w:val="en-US" w:eastAsia="zh-CN"/>
        </w:rPr>
        <w:t>4.4.1.5确认任何形式的包含权利义</w:t>
      </w:r>
      <w:r>
        <w:rPr>
          <w:rFonts w:hint="eastAsia" w:ascii="仿宋" w:hAnsi="仿宋" w:eastAsia="仿宋" w:cs="仿宋"/>
          <w:color w:val="auto"/>
          <w:sz w:val="28"/>
          <w:highlight w:val="none"/>
          <w:shd w:val="clear" w:color="auto" w:fill="auto"/>
          <w:lang w:eastAsia="zh-CN"/>
        </w:rPr>
        <w:t>务及责任承担的文件。</w:t>
      </w:r>
    </w:p>
    <w:p w14:paraId="2D6394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4.4.2乙方指定</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single"/>
          <w:lang w:eastAsia="zh-CN"/>
        </w:rPr>
        <w:t>（身份证</w:t>
      </w:r>
      <w:r>
        <w:rPr>
          <w:rFonts w:hint="eastAsia" w:ascii="仿宋" w:hAnsi="仿宋" w:eastAsia="仿宋" w:cs="仿宋"/>
          <w:color w:val="auto"/>
          <w:sz w:val="28"/>
          <w:highlight w:val="none"/>
          <w:u w:val="single"/>
          <w:lang w:val="en-US" w:eastAsia="zh-CN"/>
        </w:rPr>
        <w:t>号</w:t>
      </w:r>
      <w:r>
        <w:rPr>
          <w:rFonts w:hint="eastAsia" w:ascii="仿宋" w:hAnsi="仿宋" w:eastAsia="仿宋" w:cs="仿宋"/>
          <w:color w:val="auto"/>
          <w:sz w:val="28"/>
          <w:highlight w:val="none"/>
          <w:u w:val="single"/>
          <w:lang w:eastAsia="zh-CN"/>
        </w:rPr>
        <w:t>码：</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single"/>
          <w:lang w:eastAsia="zh-CN"/>
        </w:rPr>
        <w:t>；手机号码：</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b w:val="0"/>
          <w:bCs w:val="0"/>
          <w:color w:val="auto"/>
          <w:sz w:val="28"/>
          <w:highlight w:val="none"/>
          <w:u w:val="single"/>
          <w:lang w:val="en-US" w:eastAsia="zh-CN"/>
        </w:rPr>
        <w:t xml:space="preserve">电子邮箱：          ；微信号：          </w:t>
      </w:r>
      <w:r>
        <w:rPr>
          <w:rFonts w:hint="eastAsia" w:ascii="仿宋" w:hAnsi="仿宋" w:eastAsia="仿宋" w:cs="仿宋"/>
          <w:color w:val="auto"/>
          <w:sz w:val="28"/>
          <w:highlight w:val="none"/>
          <w:u w:val="single"/>
          <w:lang w:eastAsia="zh-CN"/>
        </w:rPr>
        <w:t>）</w:t>
      </w:r>
      <w:r>
        <w:rPr>
          <w:rFonts w:hint="eastAsia" w:ascii="仿宋" w:hAnsi="仿宋" w:eastAsia="仿宋" w:cs="仿宋"/>
          <w:b w:val="0"/>
          <w:bCs w:val="0"/>
          <w:color w:val="auto"/>
          <w:sz w:val="28"/>
          <w:highlight w:val="none"/>
          <w:lang w:val="en-US" w:eastAsia="zh-CN"/>
        </w:rPr>
        <w:t>作为其授权代表，在本合同有效期内执行与本合同有关的事项。乙方授权代表以乙方的名义处理与本合同相关的一切事务，乙方对其行为均认可并承担一切责任。乙方如需更换授权代表，</w:t>
      </w:r>
      <w:r>
        <w:rPr>
          <w:rFonts w:hint="eastAsia" w:ascii="仿宋" w:hAnsi="仿宋" w:eastAsia="仿宋" w:cs="仿宋"/>
          <w:color w:val="auto"/>
          <w:sz w:val="28"/>
          <w:highlight w:val="none"/>
          <w:u w:val="none"/>
          <w:shd w:val="clear" w:color="auto" w:fill="auto"/>
          <w:lang w:val="en-US" w:eastAsia="zh-CN"/>
        </w:rPr>
        <w:t>须</w:t>
      </w:r>
      <w:r>
        <w:rPr>
          <w:rFonts w:hint="eastAsia" w:ascii="仿宋" w:hAnsi="仿宋" w:eastAsia="仿宋" w:cs="仿宋"/>
          <w:color w:val="auto"/>
          <w:sz w:val="28"/>
          <w:highlight w:val="none"/>
          <w:u w:val="none"/>
          <w:shd w:val="clear" w:color="auto" w:fill="auto"/>
          <w:lang w:eastAsia="zh-CN"/>
        </w:rPr>
        <w:t>提前</w:t>
      </w:r>
      <w:r>
        <w:rPr>
          <w:rFonts w:hint="eastAsia" w:ascii="仿宋" w:hAnsi="仿宋" w:eastAsia="仿宋" w:cs="仿宋"/>
          <w:color w:val="auto"/>
          <w:sz w:val="28"/>
          <w:highlight w:val="none"/>
          <w:u w:val="none"/>
          <w:shd w:val="clear" w:color="auto" w:fill="auto"/>
          <w:lang w:val="en-US" w:eastAsia="zh-CN"/>
        </w:rPr>
        <w:t>5</w:t>
      </w:r>
      <w:r>
        <w:rPr>
          <w:rFonts w:hint="eastAsia" w:ascii="仿宋" w:hAnsi="仿宋" w:eastAsia="仿宋" w:cs="仿宋"/>
          <w:color w:val="auto"/>
          <w:sz w:val="28"/>
          <w:highlight w:val="none"/>
          <w:u w:val="none"/>
          <w:shd w:val="clear" w:color="auto" w:fill="auto"/>
          <w:lang w:eastAsia="zh-CN"/>
        </w:rPr>
        <w:t>个日历天以书面形式通知甲方</w:t>
      </w:r>
      <w:r>
        <w:rPr>
          <w:rFonts w:hint="eastAsia" w:ascii="仿宋" w:hAnsi="仿宋" w:eastAsia="仿宋" w:cs="仿宋"/>
          <w:b w:val="0"/>
          <w:bCs w:val="0"/>
          <w:color w:val="auto"/>
          <w:sz w:val="28"/>
          <w:highlight w:val="none"/>
          <w:lang w:val="en-US" w:eastAsia="zh-CN"/>
        </w:rPr>
        <w:t>。</w:t>
      </w:r>
    </w:p>
    <w:p w14:paraId="09EEB70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b w:val="0"/>
          <w:bCs w:val="0"/>
          <w:color w:val="auto"/>
          <w:sz w:val="28"/>
          <w:highlight w:val="none"/>
          <w:lang w:val="en-US" w:eastAsia="zh-CN"/>
        </w:rPr>
        <w:t>4.5除甲方本合</w:t>
      </w:r>
      <w:r>
        <w:rPr>
          <w:rFonts w:hint="eastAsia" w:ascii="仿宋" w:hAnsi="仿宋" w:eastAsia="仿宋" w:cs="仿宋"/>
          <w:color w:val="auto"/>
          <w:sz w:val="28"/>
          <w:highlight w:val="none"/>
          <w:u w:val="none"/>
          <w:shd w:val="clear" w:color="auto" w:fill="auto"/>
          <w:lang w:eastAsia="zh-CN"/>
        </w:rPr>
        <w:t>同执行联系人外，甲方项目部其他任何人对涉及费用的所有文件、资料无权进行确定、批准。甲方的本合同执行联系人在履行本合同过程中，对涉及费用的所有文件、资料审批权限为不超过三千元/次（含税）。三千元/次以该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4949E4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p>
    <w:p w14:paraId="34B340C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lang w:val="en-US" w:eastAsia="zh-CN"/>
        </w:rPr>
        <w:t>4.7收货验收流程</w:t>
      </w:r>
      <w:r>
        <w:rPr>
          <w:rFonts w:hint="eastAsia" w:ascii="仿宋" w:hAnsi="仿宋" w:eastAsia="仿宋" w:cs="仿宋"/>
          <w:color w:val="auto"/>
          <w:sz w:val="28"/>
          <w:highlight w:val="none"/>
          <w:u w:val="none"/>
          <w:shd w:val="clear" w:color="auto" w:fill="auto"/>
          <w:lang w:val="en-US" w:eastAsia="zh-CN"/>
        </w:rPr>
        <w:t>及标准：</w:t>
      </w:r>
    </w:p>
    <w:p w14:paraId="3F4A00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4.7.1乙方送货前须提前向甲方项目部告知送货司机的姓名、联系电话、车辆规格、车牌号，乙方送货单须盖乙方公章。</w:t>
      </w:r>
    </w:p>
    <w:p w14:paraId="30BD69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4.7.2产品进场时乙方须向甲方提供产品出厂合格证、出厂质量证明书等相关资料并在当天移交甲方存档。</w:t>
      </w:r>
    </w:p>
    <w:p w14:paraId="2E6A9A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4.7.3甲方项目</w:t>
      </w:r>
      <w:r>
        <w:rPr>
          <w:rFonts w:hint="eastAsia" w:ascii="仿宋" w:hAnsi="仿宋" w:eastAsia="仿宋" w:cs="仿宋"/>
          <w:b w:val="0"/>
          <w:bCs w:val="0"/>
          <w:color w:val="auto"/>
          <w:sz w:val="28"/>
          <w:highlight w:val="none"/>
          <w:u w:val="none"/>
          <w:shd w:val="clear" w:color="auto" w:fill="auto"/>
          <w:lang w:val="en-US" w:eastAsia="zh-CN"/>
        </w:rPr>
        <w:t>施工员</w:t>
      </w:r>
      <w:r>
        <w:rPr>
          <w:rFonts w:hint="eastAsia" w:ascii="仿宋" w:hAnsi="仿宋" w:eastAsia="仿宋" w:cs="仿宋"/>
          <w:color w:val="auto"/>
          <w:sz w:val="28"/>
          <w:highlight w:val="none"/>
          <w:u w:val="none"/>
          <w:shd w:val="clear" w:color="auto" w:fill="auto"/>
          <w:lang w:val="en-US" w:eastAsia="zh-CN"/>
        </w:rPr>
        <w:t>在产品进场时对品牌、规格、型号、质量等进行全检并拍照留存。</w:t>
      </w:r>
    </w:p>
    <w:p w14:paraId="3AD0E73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4.7.4产品如与合同约定不符（如产品的品牌、产地、规格、型号、质量等），甲方本合同执行联系人按合同要求直接拒收、退场并做好记录备查，甲方不折价签收不符合合同要求的产品，且乙方向甲方承担违约金（违约金额等于不符合合同约定的产品金额的三倍且最少不低于一万元/次），甲方有权在任意一笔应付乙方的合同款中自行扣取违约金。</w:t>
      </w:r>
    </w:p>
    <w:p w14:paraId="5024B3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4.8</w:t>
      </w:r>
      <w:r>
        <w:rPr>
          <w:rFonts w:hint="eastAsia" w:ascii="仿宋" w:hAnsi="仿宋" w:eastAsia="仿宋" w:cs="仿宋"/>
          <w:b w:val="0"/>
          <w:bCs w:val="0"/>
          <w:color w:val="auto"/>
          <w:sz w:val="28"/>
          <w:highlight w:val="none"/>
          <w:u w:val="none"/>
          <w:lang w:eastAsia="zh-CN"/>
        </w:rPr>
        <w:t>乙方每批送货数量少于送货单所写数量或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损失由乙方全部承担。产品如与合同约定不符或验收不合格，乙方自甲方要求之日起两个日历天内无条件更换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权单方终止合同，乙方自甲方要求之日起三个日历天内按当批送货金额（以乙方送货单金额为准）的10%承担违约金并赔偿甲方损失。甲方验收完成后，如对产品数量、质量等级等再次复查，乙方须无条件配合，且复查结果可作为结算依据，复查程序等要求按甲方规定执行。乙方指派人员配合、参与甲方验收，如乙方未指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14:paraId="0E9B85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9</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任、费用并无条件将该批产品自甲方要求之日起两个日历天内更换为合格产品，同时甲方有权单方终止合同且不付款；如甲方单方终止合同，乙方须按该批产品总价的10%承担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14:paraId="78F85A4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.10产品</w:t>
      </w:r>
      <w:r>
        <w:rPr>
          <w:rFonts w:hint="eastAsia" w:ascii="仿宋" w:hAnsi="仿宋" w:eastAsia="仿宋" w:cs="仿宋"/>
          <w:b w:val="0"/>
          <w:bCs w:val="0"/>
          <w:color w:val="auto"/>
          <w:sz w:val="28"/>
          <w:highlight w:val="none"/>
          <w:u w:val="none"/>
          <w:lang w:eastAsia="zh-CN"/>
        </w:rPr>
        <w:t>数量结算依据为甲方指定的本合同执行联系人和验收组人员共同签名的签收单及甲方认可的相关资料。</w:t>
      </w:r>
    </w:p>
    <w:p w14:paraId="5B3F7B7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4.11由甲方仓管员对进场产品组织验收，如甲方栋号施工员不能第一时间进行验收，由甲方仓管员组织保安组长共同进行验收并签名，栋号施工员在产品进场12小时内进行复验，验收完成后在材料签收单签名。</w:t>
      </w:r>
    </w:p>
    <w:p w14:paraId="0788001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4.12甲方仓管员按甲方规定开具材料签收单，一式三联，白联由甲方项目部留底，红联交至甲方财务部，绿联交乙方用于请款。</w:t>
      </w:r>
    </w:p>
    <w:p w14:paraId="60CBCE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4.13所有票据、资料必须经办人亲自签名，严禁他人代签名，一旦发现则乙方向甲方承担违约金（违约金额等于代签票据所列材料金额的三倍但最少不低于二千元/次），甲方有权在任意一笔应付乙方的合同款中自行扣取违约金。</w:t>
      </w:r>
    </w:p>
    <w:p w14:paraId="5C332A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4.14保修</w:t>
      </w:r>
    </w:p>
    <w:p w14:paraId="01CC8B9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.1</w:t>
      </w:r>
      <w:r>
        <w:rPr>
          <w:rFonts w:hint="eastAsia" w:ascii="仿宋" w:hAnsi="仿宋" w:eastAsia="仿宋" w:cs="仿宋"/>
          <w:color w:val="auto"/>
          <w:sz w:val="28"/>
          <w:highlight w:val="none"/>
          <w:lang w:eastAsia="zh-CN"/>
        </w:rPr>
        <w:t>乙方按照法律法规</w:t>
      </w:r>
      <w:r>
        <w:rPr>
          <w:rFonts w:hint="eastAsia" w:ascii="仿宋" w:hAnsi="仿宋" w:eastAsia="仿宋" w:cs="仿宋"/>
          <w:color w:val="auto"/>
          <w:sz w:val="28"/>
          <w:highlight w:val="none"/>
        </w:rPr>
        <w:t>和国家有关规定对产品在</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期内承担质量保修责任</w:t>
      </w:r>
      <w:r>
        <w:rPr>
          <w:rFonts w:hint="eastAsia" w:ascii="仿宋" w:hAnsi="仿宋" w:eastAsia="仿宋" w:cs="仿宋"/>
          <w:color w:val="auto"/>
          <w:sz w:val="28"/>
          <w:highlight w:val="none"/>
          <w:lang w:eastAsia="zh-CN"/>
        </w:rPr>
        <w:t>，保修期自产品验收合格之日起至产品正常使用寿命终止之日止，政府有更长保修期限规定的，按政府规定执行。</w:t>
      </w:r>
      <w:r>
        <w:rPr>
          <w:rFonts w:hint="eastAsia" w:ascii="仿宋" w:hAnsi="仿宋" w:eastAsia="仿宋" w:cs="仿宋"/>
          <w:color w:val="auto"/>
          <w:sz w:val="28"/>
          <w:highlight w:val="none"/>
          <w:lang w:val="en-US" w:eastAsia="zh-CN"/>
        </w:rPr>
        <w:t>本合同有更长期限约定或更高保修要求的，按本合同执行。</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如产品或部件不能使用需维修或更换，则该产品或部件</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期自修复或更换之日起重新计算。 </w:t>
      </w:r>
    </w:p>
    <w:p w14:paraId="03044A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.2</w:t>
      </w:r>
      <w:r>
        <w:rPr>
          <w:rFonts w:hint="eastAsia" w:ascii="仿宋" w:hAnsi="仿宋" w:eastAsia="仿宋" w:cs="仿宋"/>
          <w:color w:val="auto"/>
          <w:sz w:val="28"/>
          <w:highlight w:val="none"/>
          <w:lang w:eastAsia="zh-CN"/>
        </w:rPr>
        <w:t>乙方对产品实</w:t>
      </w:r>
      <w:r>
        <w:rPr>
          <w:rFonts w:hint="eastAsia" w:ascii="仿宋" w:hAnsi="仿宋" w:eastAsia="仿宋" w:cs="仿宋"/>
          <w:color w:val="auto"/>
          <w:sz w:val="28"/>
          <w:highlight w:val="none"/>
          <w:u w:val="none"/>
          <w:lang w:eastAsia="zh-CN"/>
        </w:rPr>
        <w:t>行</w:t>
      </w:r>
      <w:r>
        <w:rPr>
          <w:rFonts w:hint="eastAsia" w:ascii="仿宋" w:hAnsi="仿宋" w:eastAsia="仿宋" w:cs="仿宋"/>
          <w:color w:val="auto"/>
          <w:sz w:val="28"/>
          <w:highlight w:val="none"/>
          <w:u w:val="single"/>
          <w:lang w:val="en-US" w:eastAsia="zh-CN"/>
        </w:rPr>
        <w:t>2</w:t>
      </w:r>
      <w:r>
        <w:rPr>
          <w:rFonts w:hint="eastAsia" w:ascii="仿宋" w:hAnsi="仿宋" w:eastAsia="仿宋" w:cs="仿宋"/>
          <w:color w:val="auto"/>
          <w:sz w:val="28"/>
          <w:highlight w:val="none"/>
          <w:lang w:eastAsia="zh-CN"/>
        </w:rPr>
        <w:t>年免费保修（国家或甲方与本项目建设单位另有更长保修期限规定的，从其规定），保修期从甲方所需产品供货完成之日起计</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如</w:t>
      </w:r>
      <w:r>
        <w:rPr>
          <w:rFonts w:hint="eastAsia" w:ascii="仿宋" w:hAnsi="仿宋" w:eastAsia="仿宋" w:cs="仿宋"/>
          <w:color w:val="auto"/>
          <w:sz w:val="28"/>
          <w:highlight w:val="none"/>
          <w:lang w:eastAsia="zh-CN"/>
        </w:rPr>
        <w:t>产品出现质量缺陷</w:t>
      </w:r>
      <w:r>
        <w:rPr>
          <w:rFonts w:hint="eastAsia" w:ascii="仿宋" w:hAnsi="仿宋" w:eastAsia="仿宋" w:cs="仿宋"/>
          <w:color w:val="auto"/>
          <w:sz w:val="28"/>
          <w:highlight w:val="none"/>
          <w:lang w:val="en-US" w:eastAsia="zh-CN"/>
        </w:rPr>
        <w:t>或问题</w:t>
      </w:r>
      <w:r>
        <w:rPr>
          <w:rFonts w:hint="eastAsia" w:ascii="仿宋" w:hAnsi="仿宋" w:eastAsia="仿宋" w:cs="仿宋"/>
          <w:color w:val="auto"/>
          <w:sz w:val="28"/>
          <w:highlight w:val="none"/>
          <w:lang w:eastAsia="zh-CN"/>
        </w:rPr>
        <w:t>，乙方履行保修义务</w:t>
      </w:r>
      <w:r>
        <w:rPr>
          <w:rFonts w:hint="eastAsia" w:ascii="仿宋" w:hAnsi="仿宋" w:eastAsia="仿宋" w:cs="仿宋"/>
          <w:color w:val="auto"/>
          <w:sz w:val="28"/>
          <w:highlight w:val="none"/>
          <w:lang w:val="en-US" w:eastAsia="zh-CN"/>
        </w:rPr>
        <w:t>且经甲方</w:t>
      </w:r>
      <w:r>
        <w:rPr>
          <w:rFonts w:hint="eastAsia" w:ascii="仿宋" w:hAnsi="仿宋" w:eastAsia="仿宋" w:cs="仿宋"/>
          <w:color w:val="auto"/>
          <w:sz w:val="28"/>
          <w:highlight w:val="none"/>
          <w:lang w:eastAsia="zh-CN"/>
        </w:rPr>
        <w:t>验收合格后，保修期自</w:t>
      </w:r>
      <w:r>
        <w:rPr>
          <w:rFonts w:hint="eastAsia" w:ascii="仿宋" w:hAnsi="仿宋" w:eastAsia="仿宋" w:cs="仿宋"/>
          <w:color w:val="auto"/>
          <w:sz w:val="28"/>
          <w:highlight w:val="none"/>
          <w:lang w:val="en-US" w:eastAsia="zh-CN"/>
        </w:rPr>
        <w:t>甲方对保修工作验收合格之日起重新计算</w:t>
      </w:r>
      <w:r>
        <w:rPr>
          <w:rFonts w:hint="eastAsia" w:ascii="仿宋" w:hAnsi="仿宋" w:eastAsia="仿宋" w:cs="仿宋"/>
          <w:color w:val="auto"/>
          <w:sz w:val="28"/>
          <w:highlight w:val="none"/>
          <w:lang w:eastAsia="zh-CN"/>
        </w:rPr>
        <w:t>。</w:t>
      </w:r>
    </w:p>
    <w:p w14:paraId="4768DF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u w:val="none"/>
          <w:lang w:val="en-US" w:eastAsia="zh-CN"/>
        </w:rPr>
        <w:t>14</w:t>
      </w:r>
      <w:r>
        <w:rPr>
          <w:rFonts w:hint="eastAsia" w:ascii="仿宋" w:hAnsi="仿宋" w:eastAsia="仿宋" w:cs="仿宋"/>
          <w:color w:val="auto"/>
          <w:sz w:val="28"/>
          <w:highlight w:val="none"/>
          <w:u w:val="none"/>
        </w:rPr>
        <w:t>.3若产品出现质量问题，</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在收到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或使用</w:t>
      </w:r>
      <w:r>
        <w:rPr>
          <w:rFonts w:hint="eastAsia" w:ascii="仿宋" w:hAnsi="仿宋" w:eastAsia="仿宋" w:cs="仿宋"/>
          <w:color w:val="auto"/>
          <w:sz w:val="28"/>
          <w:highlight w:val="none"/>
          <w:u w:val="none"/>
          <w:lang w:eastAsia="zh-CN"/>
        </w:rPr>
        <w:t>单位</w:t>
      </w:r>
      <w:r>
        <w:rPr>
          <w:rFonts w:hint="eastAsia" w:ascii="仿宋" w:hAnsi="仿宋" w:eastAsia="仿宋" w:cs="仿宋"/>
          <w:color w:val="auto"/>
          <w:sz w:val="28"/>
          <w:highlight w:val="none"/>
          <w:u w:val="none"/>
        </w:rPr>
        <w:t>通知后24小时内必须到达现场进行</w:t>
      </w:r>
      <w:r>
        <w:rPr>
          <w:rFonts w:hint="eastAsia" w:ascii="仿宋" w:hAnsi="仿宋" w:eastAsia="仿宋" w:cs="仿宋"/>
          <w:color w:val="auto"/>
          <w:sz w:val="28"/>
          <w:highlight w:val="none"/>
          <w:u w:val="none"/>
          <w:lang w:val="en-US" w:eastAsia="zh-CN"/>
        </w:rPr>
        <w:t>处理或</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如甲乙双方共同确认非</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原因导致问题发生，</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仍提供</w:t>
      </w:r>
      <w:r>
        <w:rPr>
          <w:rFonts w:hint="eastAsia" w:ascii="仿宋" w:hAnsi="仿宋" w:eastAsia="仿宋" w:cs="仿宋"/>
          <w:color w:val="auto"/>
          <w:sz w:val="28"/>
          <w:highlight w:val="none"/>
          <w:u w:val="none"/>
          <w:lang w:val="en-US" w:eastAsia="zh-CN"/>
        </w:rPr>
        <w:t>售后</w:t>
      </w:r>
      <w:r>
        <w:rPr>
          <w:rFonts w:hint="eastAsia" w:ascii="仿宋" w:hAnsi="仿宋" w:eastAsia="仿宋" w:cs="仿宋"/>
          <w:color w:val="auto"/>
          <w:sz w:val="28"/>
          <w:highlight w:val="none"/>
          <w:u w:val="none"/>
        </w:rPr>
        <w:t>服务，</w:t>
      </w:r>
      <w:r>
        <w:rPr>
          <w:rFonts w:hint="eastAsia" w:ascii="仿宋" w:hAnsi="仿宋" w:eastAsia="仿宋" w:cs="仿宋"/>
          <w:color w:val="auto"/>
          <w:sz w:val="28"/>
          <w:highlight w:val="none"/>
          <w:u w:val="none"/>
          <w:lang w:eastAsia="zh-CN"/>
        </w:rPr>
        <w:t>但</w:t>
      </w:r>
      <w:r>
        <w:rPr>
          <w:rFonts w:hint="eastAsia" w:ascii="仿宋" w:hAnsi="仿宋" w:eastAsia="仿宋" w:cs="仿宋"/>
          <w:color w:val="auto"/>
          <w:sz w:val="28"/>
          <w:highlight w:val="none"/>
          <w:u w:val="none"/>
        </w:rPr>
        <w:t>相关费用经双方商定后由</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承担。如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未准时</w:t>
      </w:r>
      <w:r>
        <w:rPr>
          <w:rFonts w:hint="eastAsia" w:ascii="仿宋" w:hAnsi="仿宋" w:eastAsia="仿宋" w:cs="仿宋"/>
          <w:color w:val="auto"/>
          <w:sz w:val="28"/>
          <w:highlight w:val="none"/>
          <w:u w:val="none"/>
          <w:lang w:eastAsia="zh-CN"/>
        </w:rPr>
        <w:t>处理</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可自行处理，</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同时承担违约责任。</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自行处理所耗费用</w:t>
      </w:r>
      <w:r>
        <w:rPr>
          <w:rFonts w:hint="eastAsia" w:ascii="仿宋" w:hAnsi="仿宋" w:eastAsia="仿宋" w:cs="仿宋"/>
          <w:color w:val="auto"/>
          <w:sz w:val="28"/>
          <w:highlight w:val="none"/>
          <w:u w:val="none"/>
          <w:lang w:eastAsia="zh-CN"/>
        </w:rPr>
        <w:t>另加</w:t>
      </w:r>
      <w:r>
        <w:rPr>
          <w:rFonts w:hint="eastAsia" w:ascii="仿宋" w:hAnsi="仿宋" w:eastAsia="仿宋" w:cs="仿宋"/>
          <w:color w:val="auto"/>
          <w:sz w:val="28"/>
          <w:highlight w:val="none"/>
          <w:u w:val="none"/>
          <w:lang w:val="en-US" w:eastAsia="zh-CN"/>
        </w:rPr>
        <w:t>50%</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通知之日起</w:t>
      </w:r>
      <w:r>
        <w:rPr>
          <w:rFonts w:hint="eastAsia" w:ascii="仿宋" w:hAnsi="仿宋" w:eastAsia="仿宋" w:cs="仿宋"/>
          <w:color w:val="auto"/>
          <w:sz w:val="28"/>
          <w:highlight w:val="none"/>
          <w:u w:val="none"/>
          <w:lang w:val="en-US" w:eastAsia="zh-CN"/>
        </w:rPr>
        <w:t>10个</w:t>
      </w:r>
      <w:r>
        <w:rPr>
          <w:rFonts w:hint="eastAsia" w:ascii="仿宋" w:hAnsi="仿宋" w:eastAsia="仿宋" w:cs="仿宋"/>
          <w:color w:val="auto"/>
          <w:sz w:val="28"/>
          <w:highlight w:val="none"/>
          <w:u w:val="none"/>
        </w:rPr>
        <w:t>日</w:t>
      </w:r>
      <w:r>
        <w:rPr>
          <w:rFonts w:hint="eastAsia" w:ascii="仿宋" w:hAnsi="仿宋" w:eastAsia="仿宋" w:cs="仿宋"/>
          <w:color w:val="auto"/>
          <w:sz w:val="28"/>
          <w:highlight w:val="none"/>
          <w:u w:val="none"/>
          <w:lang w:eastAsia="zh-CN"/>
        </w:rPr>
        <w:t>历天</w:t>
      </w:r>
      <w:r>
        <w:rPr>
          <w:rFonts w:hint="eastAsia" w:ascii="仿宋" w:hAnsi="仿宋" w:eastAsia="仿宋" w:cs="仿宋"/>
          <w:color w:val="auto"/>
          <w:sz w:val="28"/>
          <w:highlight w:val="none"/>
          <w:u w:val="none"/>
        </w:rPr>
        <w:t>内支付，因此造成的损失由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负责全额赔偿。</w:t>
      </w:r>
      <w:r>
        <w:rPr>
          <w:rFonts w:hint="eastAsia" w:ascii="仿宋" w:hAnsi="仿宋" w:eastAsia="仿宋" w:cs="仿宋"/>
          <w:color w:val="auto"/>
          <w:sz w:val="28"/>
          <w:highlight w:val="none"/>
          <w:u w:val="none"/>
          <w:lang w:eastAsia="zh-CN"/>
        </w:rPr>
        <w:t>乙方未在</w:t>
      </w:r>
      <w:r>
        <w:rPr>
          <w:rFonts w:hint="eastAsia" w:ascii="仿宋" w:hAnsi="仿宋" w:eastAsia="仿宋" w:cs="仿宋"/>
          <w:color w:val="auto"/>
          <w:sz w:val="28"/>
          <w:highlight w:val="none"/>
          <w:u w:val="none"/>
          <w:lang w:val="en-US" w:eastAsia="zh-CN"/>
        </w:rPr>
        <w:t>24小时内到达现场的，出现的质量问题一律视为乙方原因导致。</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原因造成的缺陷和事故，</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须负责维修并承担</w:t>
      </w:r>
      <w:r>
        <w:rPr>
          <w:rFonts w:hint="eastAsia" w:ascii="仿宋" w:hAnsi="仿宋" w:eastAsia="仿宋" w:cs="仿宋"/>
          <w:color w:val="auto"/>
          <w:sz w:val="28"/>
          <w:highlight w:val="none"/>
          <w:u w:val="none"/>
          <w:lang w:eastAsia="zh-CN"/>
        </w:rPr>
        <w:t>所产生的</w:t>
      </w:r>
      <w:r>
        <w:rPr>
          <w:rFonts w:hint="eastAsia" w:ascii="仿宋" w:hAnsi="仿宋" w:eastAsia="仿宋" w:cs="仿宋"/>
          <w:color w:val="auto"/>
          <w:sz w:val="28"/>
          <w:highlight w:val="none"/>
          <w:u w:val="none"/>
        </w:rPr>
        <w:t>全部费用</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不维修也不承担费用，</w:t>
      </w:r>
      <w:r>
        <w:rPr>
          <w:rFonts w:hint="eastAsia" w:ascii="仿宋" w:hAnsi="仿宋" w:eastAsia="仿宋" w:cs="仿宋"/>
          <w:color w:val="auto"/>
          <w:sz w:val="28"/>
          <w:highlight w:val="none"/>
          <w:u w:val="none"/>
          <w:lang w:val="en-US" w:eastAsia="zh-CN"/>
        </w:rPr>
        <w:t>甲方有权追索</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承担违约责任及</w:t>
      </w:r>
      <w:r>
        <w:rPr>
          <w:rFonts w:hint="eastAsia" w:ascii="仿宋" w:hAnsi="仿宋" w:eastAsia="仿宋" w:cs="仿宋"/>
          <w:color w:val="auto"/>
          <w:sz w:val="28"/>
          <w:highlight w:val="none"/>
          <w:u w:val="none"/>
          <w:lang w:val="en-US" w:eastAsia="zh-CN"/>
        </w:rPr>
        <w:t>赔偿</w:t>
      </w:r>
      <w:r>
        <w:rPr>
          <w:rFonts w:hint="eastAsia" w:ascii="仿宋" w:hAnsi="仿宋" w:eastAsia="仿宋" w:cs="仿宋"/>
          <w:color w:val="auto"/>
          <w:sz w:val="28"/>
          <w:highlight w:val="none"/>
          <w:u w:val="none"/>
          <w:lang w:eastAsia="zh-CN"/>
        </w:rPr>
        <w:t>所有损失的</w:t>
      </w:r>
      <w:r>
        <w:rPr>
          <w:rFonts w:hint="eastAsia" w:ascii="仿宋" w:hAnsi="仿宋" w:eastAsia="仿宋" w:cs="仿宋"/>
          <w:color w:val="auto"/>
          <w:sz w:val="28"/>
          <w:highlight w:val="none"/>
          <w:u w:val="none"/>
        </w:rPr>
        <w:t>责任</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维修并承担相应费用</w:t>
      </w:r>
      <w:r>
        <w:rPr>
          <w:rFonts w:hint="eastAsia" w:ascii="仿宋" w:hAnsi="仿宋" w:eastAsia="仿宋" w:cs="仿宋"/>
          <w:color w:val="auto"/>
          <w:sz w:val="28"/>
          <w:highlight w:val="none"/>
        </w:rPr>
        <w:t>后，不免除</w:t>
      </w:r>
      <w:r>
        <w:rPr>
          <w:rFonts w:hint="eastAsia" w:ascii="仿宋" w:hAnsi="仿宋" w:eastAsia="仿宋" w:cs="仿宋"/>
          <w:color w:val="auto"/>
          <w:sz w:val="28"/>
          <w:highlight w:val="none"/>
          <w:lang w:val="en-US" w:eastAsia="zh-CN"/>
        </w:rPr>
        <w:t>乙方</w:t>
      </w:r>
      <w:r>
        <w:rPr>
          <w:rFonts w:hint="eastAsia" w:ascii="仿宋" w:hAnsi="仿宋" w:eastAsia="仿宋" w:cs="仿宋"/>
          <w:color w:val="auto"/>
          <w:sz w:val="28"/>
          <w:highlight w:val="none"/>
        </w:rPr>
        <w:t>对</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/第三方的损失赔偿责任。</w:t>
      </w:r>
    </w:p>
    <w:p w14:paraId="727A34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4.14.4产品安装或完成施工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支付违约金且赔偿甲方损失。</w:t>
      </w:r>
    </w:p>
    <w:p w14:paraId="4A8193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4.14.5保修期届满后第一周内，甲乙双方对产品进行全面检查。乙方自费负责对检查中发现的问题及时处理和解决。</w:t>
      </w:r>
    </w:p>
    <w:p w14:paraId="616EF3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4.14.6如产品在保修期满后发现乙方原因导致的质量问题或缺陷，乙方仍须承担修复责任，必须按甲方要求修复并赔偿甲方遭受的损失，否则甲方有权另行安排第三方修复，同时乙方同意甲方从与乙方签订的其他合同款项中直接扣款用于抵扣上述修复费用和损失。甲乙双方特别约定本条款不因本合同的终止而失效。</w:t>
      </w:r>
    </w:p>
    <w:p w14:paraId="58A463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0"/>
        <w:rPr>
          <w:rFonts w:hint="eastAsia" w:ascii="仿宋" w:hAnsi="仿宋" w:eastAsia="仿宋" w:cs="仿宋"/>
          <w:color w:val="auto"/>
          <w:sz w:val="28"/>
          <w:highlight w:val="none"/>
        </w:rPr>
      </w:pPr>
      <w:bookmarkStart w:id="27" w:name="_Toc25201"/>
      <w:bookmarkStart w:id="28" w:name="_Toc28514"/>
      <w:bookmarkStart w:id="29" w:name="_Toc10040"/>
      <w:bookmarkStart w:id="30" w:name="_Toc1995"/>
      <w:bookmarkStart w:id="31" w:name="_Toc14170"/>
      <w:r>
        <w:rPr>
          <w:rFonts w:hint="eastAsia" w:ascii="仿宋" w:hAnsi="仿宋" w:eastAsia="仿宋" w:cs="仿宋"/>
          <w:b/>
          <w:bCs/>
          <w:color w:val="auto"/>
          <w:sz w:val="28"/>
          <w:highlight w:val="none"/>
          <w:lang w:val="en-US" w:eastAsia="zh-CN"/>
        </w:rPr>
        <w:t>第五章</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违约责任</w:t>
      </w:r>
      <w:bookmarkEnd w:id="27"/>
      <w:bookmarkEnd w:id="28"/>
      <w:bookmarkEnd w:id="29"/>
      <w:bookmarkEnd w:id="30"/>
      <w:bookmarkEnd w:id="31"/>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p>
    <w:p w14:paraId="733EFBF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val="en-US" w:eastAsia="zh-CN"/>
        </w:rPr>
        <w:t>5.1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乙方逾期交齐任意一批产品（含随品、配件、产品说明书、操作手册、质量证明资料等）给甲方的，每逾期1个日历天（不可抗力因素除外），属乙方违约，由乙方向甲方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的违约金；逾期2个日历天以上的，属乙方严重违约，甲方有权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解除合同并另行向他人采购产品，乙方返还已收款给甲方并向甲方</w:t>
      </w:r>
      <w:r>
        <w:rPr>
          <w:rFonts w:hint="eastAsia" w:ascii="仿宋" w:hAnsi="仿宋" w:eastAsia="仿宋" w:cs="仿宋"/>
          <w:color w:val="auto"/>
          <w:sz w:val="28"/>
          <w:highlight w:val="none"/>
          <w:u w:val="none"/>
          <w:lang w:val="en-US" w:eastAsia="zh-CN"/>
        </w:rPr>
        <w:t>承担金额等于</w:t>
      </w:r>
      <w:r>
        <w:rPr>
          <w:rFonts w:hint="eastAsia" w:ascii="仿宋" w:hAnsi="仿宋" w:eastAsia="仿宋" w:cs="仿宋"/>
          <w:color w:val="auto"/>
          <w:sz w:val="28"/>
          <w:highlight w:val="none"/>
          <w:u w:val="none"/>
          <w:lang w:eastAsia="zh-CN"/>
        </w:rPr>
        <w:t>合同暂定总价20%的违约金，同时乙方赔偿甲方因此遭受的损失。</w:t>
      </w:r>
    </w:p>
    <w:p w14:paraId="4D2422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5.2乙方产品出现质量或缺陷问题的，除按本合同约定进行更换、维修外，每出现一次，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乙方须再向甲方承担金额等于</w:t>
      </w:r>
      <w:r>
        <w:rPr>
          <w:rFonts w:hint="eastAsia" w:ascii="仿宋" w:hAnsi="仿宋" w:eastAsia="仿宋" w:cs="仿宋"/>
          <w:color w:val="auto"/>
          <w:sz w:val="28"/>
          <w:highlight w:val="none"/>
          <w:u w:val="none"/>
          <w:lang w:eastAsia="zh-CN"/>
        </w:rPr>
        <w:t>合同暂定总价</w:t>
      </w:r>
      <w:r>
        <w:rPr>
          <w:rFonts w:hint="eastAsia" w:ascii="仿宋" w:hAnsi="仿宋" w:eastAsia="仿宋" w:cs="仿宋"/>
          <w:color w:val="auto"/>
          <w:sz w:val="28"/>
          <w:highlight w:val="none"/>
          <w:u w:val="none"/>
          <w:lang w:val="en-US" w:eastAsia="zh-CN"/>
        </w:rPr>
        <w:t>10%</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799395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14:paraId="2F8DF8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60204A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15E145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5.6乙方违反本合同任何约定均属违约，乙方除按相应条款承担包括但不限于以上所述的违约责任外，甲方可随时单方解除合同，同时乙方赔偿甲方因此遭受的损失。</w:t>
      </w:r>
    </w:p>
    <w:p w14:paraId="222906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5.7乙方违反本合同约定给甲方造成损失的，除按本合同约定承担违约责任外，甲方有权直接从应付合同款中直接扣除乙方应承担的违约金、罚款等费用，如应付合同款及乙方支付的违约金、罚款不足补偿甲方损失，乙方在甲方通知之日起七个日历天内补齐，且甲方向乙方追偿责任所产生的律师费、差旅费、诉讼费、鉴定费、财产保全及相关担保费由乙方全额承担。</w:t>
      </w:r>
    </w:p>
    <w:p w14:paraId="0A55BB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5.8基于本项目的特殊性，乙方已充分了解其供货责任并自愿承担相应风险，合同所约定的违约金标准经双方友好协商确定，乙方同意不对违约金标准提出任何主张或抗辩。</w:t>
      </w:r>
    </w:p>
    <w:p w14:paraId="159D1C6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5.9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167E4DE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5.10</w:t>
      </w:r>
      <w:r>
        <w:rPr>
          <w:rFonts w:hint="eastAsia" w:ascii="仿宋" w:hAnsi="仿宋" w:eastAsia="仿宋" w:cs="仿宋"/>
          <w:b w:val="0"/>
          <w:bCs w:val="0"/>
          <w:color w:val="auto"/>
          <w:sz w:val="28"/>
          <w:highlight w:val="none"/>
          <w:u w:val="none"/>
          <w:lang w:eastAsia="zh-CN"/>
        </w:rPr>
        <w:t>本合同履行过程中，可能因乙方原因造成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质量、安全文明等无法满足甲方及规范要求的，乙方须提供不属于其责任的证明并得到甲方的书面认可，否则视为乙方违约，全部责任、费用和损失由乙方承担。</w:t>
      </w:r>
    </w:p>
    <w:p w14:paraId="5D3A2E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5.11合同履行期间，因乙方原因导致建设单位或其他单位对甲方进行处罚扣款的，甲方有权按该处罚金额的2倍以上向乙方收取违约金。</w:t>
      </w:r>
    </w:p>
    <w:p w14:paraId="33EDC4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5.12乙方未及时发放工人工资或及时支付货款，导致影响甲方或本项目的，每发生一次劳资纠纷或货款纠纷事件，乙方向甲方另行支付违约金叁万元；若因乙方拖欠工人工资或货款，导致媒体曝光或政府部门介入的，乙方另向甲方支付违约金不少于100000元/次。</w:t>
      </w:r>
    </w:p>
    <w:p w14:paraId="74C70B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5.13因乙方原因导致甲方被起诉的，乙方除赔偿甲方损失外，甲方每被起诉一次，乙方向甲方支付五万元的违约金。若乙方导致甲方资金账户被冻结，乙方还须按冻结资金总额的日千分之一向甲方支付利息，乙方同时赔偿甲方遭受的所有损失，并按账户被冻结次数每次额外向甲方承担50000元违约金。</w:t>
      </w:r>
    </w:p>
    <w:p w14:paraId="3543AB9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0"/>
        <w:rPr>
          <w:rFonts w:hint="eastAsia" w:ascii="仿宋" w:hAnsi="仿宋" w:eastAsia="仿宋" w:cs="仿宋"/>
          <w:color w:val="auto"/>
          <w:sz w:val="28"/>
          <w:highlight w:val="none"/>
          <w:u w:val="none"/>
        </w:rPr>
      </w:pPr>
      <w:bookmarkStart w:id="32" w:name="_Toc12600"/>
      <w:bookmarkStart w:id="33" w:name="_Toc2026"/>
      <w:bookmarkStart w:id="34" w:name="_Toc32115"/>
      <w:bookmarkStart w:id="35" w:name="_Toc25550"/>
      <w:bookmarkStart w:id="36" w:name="_Toc29740"/>
      <w:r>
        <w:rPr>
          <w:rFonts w:hint="eastAsia" w:ascii="仿宋" w:hAnsi="仿宋" w:eastAsia="仿宋" w:cs="仿宋"/>
          <w:b/>
          <w:bCs/>
          <w:color w:val="auto"/>
          <w:sz w:val="28"/>
          <w:highlight w:val="none"/>
          <w:u w:val="none"/>
          <w:lang w:val="en-US" w:eastAsia="zh-CN"/>
        </w:rPr>
        <w:t>第六章</w:t>
      </w:r>
      <w:r>
        <w:rPr>
          <w:rFonts w:hint="eastAsia" w:ascii="仿宋" w:hAnsi="仿宋" w:eastAsia="仿宋" w:cs="仿宋"/>
          <w:b/>
          <w:bCs/>
          <w:color w:val="auto"/>
          <w:sz w:val="28"/>
          <w:highlight w:val="none"/>
          <w:u w:val="none"/>
          <w:lang w:eastAsia="zh-CN"/>
        </w:rPr>
        <w:t>、</w:t>
      </w:r>
      <w:r>
        <w:rPr>
          <w:rFonts w:hint="eastAsia" w:ascii="仿宋" w:hAnsi="仿宋" w:eastAsia="仿宋" w:cs="仿宋"/>
          <w:b/>
          <w:bCs/>
          <w:color w:val="auto"/>
          <w:sz w:val="28"/>
          <w:highlight w:val="none"/>
          <w:u w:val="none"/>
        </w:rPr>
        <w:t>廉洁条款</w:t>
      </w:r>
      <w:bookmarkEnd w:id="32"/>
      <w:bookmarkEnd w:id="33"/>
      <w:bookmarkEnd w:id="34"/>
      <w:bookmarkEnd w:id="35"/>
      <w:bookmarkEnd w:id="36"/>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6078B3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合作期间（包括本合同</w:t>
      </w:r>
      <w:r>
        <w:rPr>
          <w:rFonts w:hint="eastAsia" w:ascii="仿宋" w:hAnsi="仿宋" w:eastAsia="仿宋" w:cs="仿宋"/>
          <w:color w:val="auto"/>
          <w:sz w:val="28"/>
          <w:highlight w:val="none"/>
          <w:u w:val="none"/>
          <w:lang w:val="en-US" w:eastAsia="zh-CN"/>
        </w:rPr>
        <w:t>招标、</w:t>
      </w:r>
      <w:r>
        <w:rPr>
          <w:rFonts w:hint="eastAsia" w:ascii="仿宋" w:hAnsi="仿宋" w:eastAsia="仿宋" w:cs="仿宋"/>
          <w:color w:val="auto"/>
          <w:sz w:val="28"/>
          <w:highlight w:val="none"/>
          <w:u w:val="none"/>
        </w:rPr>
        <w:t>洽谈、签约、履约期间），不得向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职员提供请吃、送礼、旅游、色情服务、行贿、回扣或其他好处，如有违反，</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支付人民币十万元作为违约金（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可从任意一笔合同款中扣款），造成</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经济或其他损失的，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全额赔偿</w:t>
      </w:r>
      <w:r>
        <w:rPr>
          <w:rFonts w:hint="eastAsia" w:ascii="仿宋" w:hAnsi="仿宋" w:eastAsia="仿宋" w:cs="仿宋"/>
          <w:color w:val="auto"/>
          <w:sz w:val="28"/>
          <w:highlight w:val="none"/>
          <w:u w:val="none"/>
          <w:lang w:eastAsia="zh-CN"/>
        </w:rPr>
        <w:t>，且甲方有权单方解除本合同。</w:t>
      </w:r>
    </w:p>
    <w:p w14:paraId="1CCB77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6.2甲乙</w:t>
      </w:r>
      <w:r>
        <w:rPr>
          <w:rFonts w:hint="eastAsia" w:ascii="仿宋" w:hAnsi="仿宋" w:eastAsia="仿宋" w:cs="仿宋"/>
          <w:color w:val="auto"/>
          <w:sz w:val="28"/>
          <w:highlight w:val="none"/>
        </w:rPr>
        <w:t>双方管理人员有权拒绝执行合同以外的违法要求。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发现</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向</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人员或</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委托的其他人员行贿或输送不正当利益的，</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有权对</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进行处罚并单方解除合同，对所发生的工程量/工作量</w:t>
      </w:r>
      <w:r>
        <w:rPr>
          <w:rFonts w:hint="eastAsia" w:ascii="仿宋" w:hAnsi="仿宋" w:eastAsia="仿宋" w:cs="仿宋"/>
          <w:color w:val="auto"/>
          <w:sz w:val="28"/>
          <w:highlight w:val="none"/>
          <w:lang w:val="en-US" w:eastAsia="zh-CN"/>
        </w:rPr>
        <w:t>/数量</w:t>
      </w:r>
      <w:r>
        <w:rPr>
          <w:rFonts w:hint="eastAsia" w:ascii="仿宋" w:hAnsi="仿宋" w:eastAsia="仿宋" w:cs="仿宋"/>
          <w:color w:val="auto"/>
          <w:sz w:val="28"/>
          <w:highlight w:val="none"/>
        </w:rPr>
        <w:t>不予结算及不支付费用</w:t>
      </w:r>
      <w:r>
        <w:rPr>
          <w:rFonts w:hint="eastAsia" w:ascii="仿宋" w:hAnsi="仿宋" w:eastAsia="仿宋" w:cs="仿宋"/>
          <w:color w:val="auto"/>
          <w:sz w:val="28"/>
          <w:highlight w:val="none"/>
          <w:lang w:eastAsia="zh-CN"/>
        </w:rPr>
        <w:t>。</w:t>
      </w:r>
    </w:p>
    <w:p w14:paraId="40F4DC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6.3如甲方发现乙方可能存在违反本廉洁条款的行为时，甲方有权暂扣违约金/争议款/处罚款等对应等额的款项，直至调查完毕后根据调查结果再作处理，甲方暂不付款的行为不视为甲方违约。</w:t>
      </w:r>
    </w:p>
    <w:p w14:paraId="77ED2F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0"/>
        <w:rPr>
          <w:rFonts w:hint="eastAsia" w:ascii="仿宋" w:hAnsi="仿宋" w:eastAsia="仿宋" w:cs="仿宋"/>
          <w:b/>
          <w:bCs/>
          <w:color w:val="auto"/>
          <w:sz w:val="28"/>
          <w:highlight w:val="none"/>
          <w:lang w:eastAsia="zh-CN"/>
        </w:rPr>
      </w:pPr>
      <w:bookmarkStart w:id="37" w:name="_Toc16640"/>
      <w:bookmarkStart w:id="38" w:name="_Toc24803"/>
      <w:bookmarkStart w:id="39" w:name="_Toc18645"/>
      <w:bookmarkStart w:id="40" w:name="_Toc8226"/>
      <w:bookmarkStart w:id="41" w:name="_Toc23013"/>
      <w:r>
        <w:rPr>
          <w:rFonts w:hint="eastAsia" w:ascii="仿宋" w:hAnsi="仿宋" w:eastAsia="仿宋" w:cs="仿宋"/>
          <w:b/>
          <w:bCs/>
          <w:color w:val="auto"/>
          <w:sz w:val="28"/>
          <w:highlight w:val="none"/>
          <w:lang w:val="en-US" w:eastAsia="zh-CN"/>
        </w:rPr>
        <w:t>第七章</w:t>
      </w:r>
      <w:r>
        <w:rPr>
          <w:rFonts w:hint="eastAsia" w:ascii="仿宋" w:hAnsi="仿宋" w:eastAsia="仿宋" w:cs="仿宋"/>
          <w:b/>
          <w:bCs/>
          <w:color w:val="auto"/>
          <w:sz w:val="28"/>
          <w:highlight w:val="none"/>
          <w:lang w:eastAsia="zh-CN"/>
        </w:rPr>
        <w:t>、其他</w:t>
      </w:r>
      <w:bookmarkEnd w:id="37"/>
      <w:bookmarkEnd w:id="38"/>
      <w:bookmarkEnd w:id="39"/>
      <w:bookmarkEnd w:id="40"/>
      <w:bookmarkEnd w:id="41"/>
    </w:p>
    <w:p w14:paraId="0145614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color w:val="auto"/>
          <w:sz w:val="28"/>
          <w:highlight w:val="none"/>
          <w:u w:val="thick"/>
          <w:shd w:val="clear" w:color="auto" w:fill="auto"/>
          <w:lang w:eastAsia="zh-CN"/>
        </w:rPr>
      </w:pPr>
      <w:bookmarkStart w:id="42" w:name="_Toc13420"/>
      <w:r>
        <w:rPr>
          <w:rFonts w:hint="eastAsia" w:ascii="仿宋" w:hAnsi="仿宋" w:eastAsia="仿宋" w:cs="仿宋"/>
          <w:b w:val="0"/>
          <w:bCs w:val="0"/>
          <w:color w:val="auto"/>
          <w:sz w:val="28"/>
          <w:highlight w:val="none"/>
          <w:shd w:val="clear" w:color="auto" w:fill="auto"/>
          <w:lang w:val="en-US" w:eastAsia="zh-CN"/>
        </w:rPr>
        <w:t>7.1</w:t>
      </w:r>
      <w:r>
        <w:rPr>
          <w:rFonts w:hint="eastAsia" w:ascii="仿宋" w:hAnsi="仿宋" w:eastAsia="仿宋" w:cs="仿宋"/>
          <w:color w:val="auto"/>
          <w:sz w:val="28"/>
          <w:highlight w:val="none"/>
          <w:shd w:val="clear" w:color="auto" w:fill="auto"/>
        </w:rPr>
        <w:t>合同价</w:t>
      </w:r>
      <w:r>
        <w:rPr>
          <w:rFonts w:hint="eastAsia" w:ascii="仿宋" w:hAnsi="仿宋" w:eastAsia="仿宋" w:cs="仿宋"/>
          <w:color w:val="auto"/>
          <w:sz w:val="28"/>
          <w:highlight w:val="none"/>
          <w:shd w:val="clear" w:color="auto" w:fill="auto"/>
          <w:lang w:val="en-US" w:eastAsia="zh-CN"/>
        </w:rPr>
        <w:t>款</w:t>
      </w:r>
      <w:r>
        <w:rPr>
          <w:rFonts w:hint="eastAsia" w:ascii="仿宋" w:hAnsi="仿宋" w:eastAsia="仿宋" w:cs="仿宋"/>
          <w:color w:val="auto"/>
          <w:sz w:val="28"/>
          <w:highlight w:val="none"/>
          <w:shd w:val="clear" w:color="auto" w:fill="auto"/>
        </w:rPr>
        <w:t>及合同条款已考虑</w:t>
      </w:r>
      <w:r>
        <w:rPr>
          <w:rFonts w:hint="eastAsia" w:ascii="仿宋" w:hAnsi="仿宋" w:eastAsia="仿宋" w:cs="仿宋"/>
          <w:color w:val="auto"/>
          <w:sz w:val="28"/>
          <w:highlight w:val="none"/>
          <w:shd w:val="clear" w:color="auto" w:fill="auto"/>
          <w:lang w:val="en-US" w:eastAsia="zh-CN"/>
        </w:rPr>
        <w:t>各类</w:t>
      </w:r>
      <w:r>
        <w:rPr>
          <w:rFonts w:hint="eastAsia" w:ascii="仿宋" w:hAnsi="仿宋" w:eastAsia="仿宋" w:cs="仿宋"/>
          <w:color w:val="auto"/>
          <w:sz w:val="28"/>
          <w:highlight w:val="none"/>
          <w:shd w:val="clear" w:color="auto" w:fill="auto"/>
          <w:lang w:eastAsia="zh-CN"/>
        </w:rPr>
        <w:t>疾病</w:t>
      </w:r>
      <w:r>
        <w:rPr>
          <w:rFonts w:hint="eastAsia" w:ascii="仿宋" w:hAnsi="仿宋" w:eastAsia="仿宋" w:cs="仿宋"/>
          <w:color w:val="auto"/>
          <w:sz w:val="28"/>
          <w:highlight w:val="none"/>
          <w:shd w:val="clear" w:color="auto" w:fill="auto"/>
          <w:lang w:val="en-US" w:eastAsia="zh-CN"/>
        </w:rPr>
        <w:t>疫情</w:t>
      </w:r>
      <w:r>
        <w:rPr>
          <w:rFonts w:hint="eastAsia" w:ascii="仿宋" w:hAnsi="仿宋" w:eastAsia="仿宋" w:cs="仿宋"/>
          <w:color w:val="auto"/>
          <w:sz w:val="28"/>
          <w:highlight w:val="none"/>
          <w:shd w:val="clear" w:color="auto" w:fill="auto"/>
        </w:rPr>
        <w:t>影响，</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不以疫情为由要求</w:t>
      </w:r>
      <w:r>
        <w:rPr>
          <w:rFonts w:hint="eastAsia" w:ascii="仿宋" w:hAnsi="仿宋" w:eastAsia="仿宋" w:cs="仿宋"/>
          <w:color w:val="auto"/>
          <w:sz w:val="28"/>
          <w:highlight w:val="none"/>
          <w:shd w:val="clear" w:color="auto" w:fill="auto"/>
          <w:lang w:eastAsia="zh-CN"/>
        </w:rPr>
        <w:t>甲方</w:t>
      </w:r>
      <w:r>
        <w:rPr>
          <w:rFonts w:hint="eastAsia" w:ascii="仿宋" w:hAnsi="仿宋" w:eastAsia="仿宋" w:cs="仿宋"/>
          <w:color w:val="auto"/>
          <w:sz w:val="28"/>
          <w:highlight w:val="none"/>
          <w:shd w:val="clear" w:color="auto" w:fill="auto"/>
        </w:rPr>
        <w:t>对合同价款、结算办法及</w:t>
      </w:r>
      <w:r>
        <w:rPr>
          <w:rFonts w:hint="eastAsia" w:ascii="仿宋" w:hAnsi="仿宋" w:eastAsia="仿宋" w:cs="仿宋"/>
          <w:color w:val="auto"/>
          <w:sz w:val="28"/>
          <w:highlight w:val="none"/>
          <w:shd w:val="clear" w:color="auto" w:fill="auto"/>
          <w:lang w:eastAsia="zh-CN"/>
        </w:rPr>
        <w:t>货</w:t>
      </w:r>
      <w:r>
        <w:rPr>
          <w:rFonts w:hint="eastAsia" w:ascii="仿宋" w:hAnsi="仿宋" w:eastAsia="仿宋" w:cs="仿宋"/>
          <w:color w:val="auto"/>
          <w:sz w:val="28"/>
          <w:highlight w:val="none"/>
          <w:shd w:val="clear" w:color="auto" w:fill="auto"/>
        </w:rPr>
        <w:t>期等合同条款进行调整，防疫措施的一切费用由</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承担。</w:t>
      </w:r>
    </w:p>
    <w:p w14:paraId="76094D7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7.2</w:t>
      </w:r>
      <w:r>
        <w:rPr>
          <w:rFonts w:hint="eastAsia" w:ascii="仿宋" w:hAnsi="仿宋" w:eastAsia="仿宋" w:cs="仿宋"/>
          <w:b w:val="0"/>
          <w:bCs w:val="0"/>
          <w:color w:val="auto"/>
          <w:sz w:val="28"/>
          <w:highlight w:val="none"/>
          <w:lang w:val="en-US" w:eastAsia="zh-CN"/>
        </w:rPr>
        <w:t>乙方人员在本合同履行期间所发生的所有安全事故，均由乙方承担所涉及的全部费用及损失，对甲方造成损失的则赔偿甲方损失。</w:t>
      </w:r>
    </w:p>
    <w:p w14:paraId="4E541D2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7.3甲、乙</w:t>
      </w:r>
      <w:r>
        <w:rPr>
          <w:rFonts w:hint="eastAsia" w:ascii="仿宋" w:hAnsi="仿宋" w:eastAsia="仿宋" w:cs="仿宋"/>
          <w:b w:val="0"/>
          <w:bCs w:val="0"/>
          <w:color w:val="auto"/>
          <w:sz w:val="28"/>
          <w:highlight w:val="none"/>
          <w:u w:val="none"/>
          <w:shd w:val="clear" w:color="auto" w:fill="auto"/>
          <w:lang w:eastAsia="zh-CN"/>
        </w:rPr>
        <w:t>双方对产品质量有争议的，由产品使用地点、国家规定的质量检测机构鉴定，所需费用及因此造成的损失由责任方承担。如双方均有责任，由双方根据</w:t>
      </w:r>
      <w:r>
        <w:rPr>
          <w:rFonts w:hint="eastAsia" w:ascii="仿宋" w:hAnsi="仿宋" w:eastAsia="仿宋" w:cs="仿宋"/>
          <w:b w:val="0"/>
          <w:bCs w:val="0"/>
          <w:color w:val="auto"/>
          <w:sz w:val="28"/>
          <w:highlight w:val="none"/>
          <w:u w:val="none"/>
          <w:shd w:val="clear" w:color="auto" w:fill="auto"/>
          <w:lang w:val="en-US" w:eastAsia="zh-CN"/>
        </w:rPr>
        <w:t>各自</w:t>
      </w:r>
      <w:r>
        <w:rPr>
          <w:rFonts w:hint="eastAsia" w:ascii="仿宋" w:hAnsi="仿宋" w:eastAsia="仿宋" w:cs="仿宋"/>
          <w:b w:val="0"/>
          <w:bCs w:val="0"/>
          <w:color w:val="auto"/>
          <w:sz w:val="28"/>
          <w:highlight w:val="none"/>
          <w:u w:val="none"/>
          <w:shd w:val="clear" w:color="auto" w:fill="auto"/>
          <w:lang w:eastAsia="zh-CN"/>
        </w:rPr>
        <w:t>责任分别承担。</w:t>
      </w:r>
      <w:r>
        <w:rPr>
          <w:rFonts w:hint="eastAsia" w:ascii="仿宋" w:hAnsi="仿宋" w:eastAsia="仿宋" w:cs="仿宋"/>
          <w:color w:val="auto"/>
          <w:sz w:val="28"/>
          <w:highlight w:val="none"/>
          <w:u w:val="none"/>
          <w:shd w:val="clear" w:color="auto" w:fill="auto"/>
          <w:lang w:eastAsia="zh-CN"/>
        </w:rPr>
        <w:t>不可抗力的情形按国家相应规定执行。</w:t>
      </w:r>
    </w:p>
    <w:p w14:paraId="3F94EE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7.4</w:t>
      </w:r>
      <w:r>
        <w:rPr>
          <w:rFonts w:hint="eastAsia" w:ascii="仿宋" w:hAnsi="仿宋" w:eastAsia="仿宋" w:cs="仿宋"/>
          <w:b w:val="0"/>
          <w:bCs w:val="0"/>
          <w:color w:val="auto"/>
          <w:sz w:val="28"/>
          <w:highlight w:val="none"/>
          <w:u w:val="none"/>
          <w:shd w:val="clear" w:color="auto" w:fill="auto"/>
          <w:lang w:eastAsia="zh-CN"/>
        </w:rPr>
        <w:t>甲方因参与本合同履行而发出、或与乙方达成合意所形成的一切相关文件，均须同时具备甲方公章及法定代表人（或授权代表人）签名，否则均不对甲方产生约束力，除非事后获得甲方另行追认。</w:t>
      </w:r>
    </w:p>
    <w:p w14:paraId="2FD0B0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7.5</w:t>
      </w:r>
      <w:r>
        <w:rPr>
          <w:rFonts w:hint="eastAsia" w:ascii="仿宋" w:hAnsi="仿宋" w:eastAsia="仿宋" w:cs="仿宋"/>
          <w:b w:val="0"/>
          <w:bCs w:val="0"/>
          <w:color w:val="auto"/>
          <w:sz w:val="28"/>
          <w:highlight w:val="none"/>
          <w:lang w:val="en-US" w:eastAsia="zh-CN"/>
        </w:rPr>
        <w:t>本合同附件与合同正文具有同等法律效力，乙方须照章执行，此类文件格式以供应产品时甲方提供的最新版格式为准，最终解释权归甲方所有。</w:t>
      </w:r>
    </w:p>
    <w:p w14:paraId="2447849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7.6</w:t>
      </w:r>
      <w:r>
        <w:rPr>
          <w:rFonts w:hint="eastAsia" w:ascii="仿宋" w:hAnsi="仿宋" w:eastAsia="仿宋" w:cs="仿宋"/>
          <w:b w:val="0"/>
          <w:bCs w:val="0"/>
          <w:color w:val="auto"/>
          <w:sz w:val="28"/>
          <w:highlight w:val="none"/>
          <w:u w:val="none"/>
          <w:shd w:val="clear" w:color="auto" w:fill="auto"/>
          <w:lang w:eastAsia="zh-CN"/>
        </w:rPr>
        <w:t>本合同执行期间，甲方制度文件如有更新，按甲方最新版要求执行，最终解释权归甲方所有。</w:t>
      </w:r>
    </w:p>
    <w:p w14:paraId="05B7AF8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7.7本合同条款相互矛盾、表达含糊的，以最有利于甲方的条款执行。</w:t>
      </w:r>
    </w:p>
    <w:p w14:paraId="3A42CE8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w:t>
      </w:r>
      <w:r>
        <w:rPr>
          <w:rFonts w:hint="eastAsia" w:ascii="仿宋" w:hAnsi="仿宋" w:eastAsia="仿宋" w:cs="仿宋"/>
          <w:b w:val="0"/>
          <w:bCs w:val="0"/>
          <w:color w:val="auto"/>
          <w:sz w:val="28"/>
          <w:highlight w:val="none"/>
          <w:u w:val="none"/>
          <w:shd w:val="clear" w:color="auto" w:fill="auto"/>
          <w:lang w:eastAsia="zh-CN"/>
        </w:rPr>
        <w:t xml:space="preserve">专利技术及特殊工艺 </w:t>
      </w:r>
    </w:p>
    <w:p w14:paraId="7C264F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7.8.1乙方须保障甲</w:t>
      </w:r>
      <w:r>
        <w:rPr>
          <w:rFonts w:hint="eastAsia" w:ascii="仿宋" w:hAnsi="仿宋" w:eastAsia="仿宋" w:cs="仿宋"/>
          <w:b w:val="0"/>
          <w:bCs w:val="0"/>
          <w:color w:val="auto"/>
          <w:sz w:val="28"/>
          <w:highlight w:val="none"/>
          <w:u w:val="none"/>
          <w:shd w:val="clear" w:color="auto" w:fill="auto"/>
          <w:lang w:eastAsia="zh-CN"/>
        </w:rPr>
        <w:t>方在使用其提供的产品、服务不受到第三方关于侵权的指控。如果出现此类情况，由乙方与第三方交涉并承担一切费用和责任，如造成甲方损失的，乙方向甲方赔偿。</w:t>
      </w:r>
    </w:p>
    <w:p w14:paraId="404B962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7.8.2乙方</w:t>
      </w:r>
      <w:r>
        <w:rPr>
          <w:rFonts w:hint="eastAsia" w:ascii="仿宋" w:hAnsi="仿宋" w:eastAsia="仿宋" w:cs="仿宋"/>
          <w:b w:val="0"/>
          <w:bCs w:val="0"/>
          <w:color w:val="auto"/>
          <w:sz w:val="28"/>
          <w:highlight w:val="none"/>
          <w:u w:val="none"/>
          <w:shd w:val="clear" w:color="auto" w:fill="auto"/>
          <w:lang w:eastAsia="zh-CN"/>
        </w:rPr>
        <w:t>擅自使用他人专利技术，侵犯他人专利权的，乙方依法承担相应责任。</w:t>
      </w:r>
    </w:p>
    <w:p w14:paraId="25FA509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7.9</w:t>
      </w:r>
      <w:r>
        <w:rPr>
          <w:rFonts w:hint="eastAsia" w:ascii="仿宋" w:hAnsi="仿宋" w:eastAsia="仿宋" w:cs="仿宋"/>
          <w:b w:val="0"/>
          <w:bCs w:val="0"/>
          <w:color w:val="auto"/>
          <w:sz w:val="28"/>
          <w:highlight w:val="none"/>
          <w:lang w:val="en-US" w:eastAsia="zh-CN"/>
        </w:rPr>
        <w:t>本合同履行过程中，乙方如进行企业名称变更，须提前5个日历天书面报告甲方并随附工商登记主管部门核发的相应证明文件，否则甲方有权终止合同付款义务，直至乙方就该变更事宜提交有效证明文件并配合甲方完成对乙方主体身份的核验，其过程所延误的付款时间属乙方责任，损失由乙方全部承担。本合同履行过程中，如乙方自身主体被工商登记主管部门注销，甲方有权不履行合同付款义务且属乙方责任，一切损失由乙方承担，甲方无须承担任何违约责任和费用。</w:t>
      </w:r>
    </w:p>
    <w:p w14:paraId="29EADF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7.10乙方与第三方发生的任何经济往来、债务纠纷均与甲方无关。乙方须保证所供应产品无权属上的瑕疵和知识产权的争议，若因此对甲方造成损失，则由乙方负全责赔偿。</w:t>
      </w:r>
    </w:p>
    <w:p w14:paraId="7C9E10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7.11乙方与第三人签订的劳动、租赁、买卖等一切合同，与甲方无关。乙方在施工期间发生的与第三方一切合同债务，由乙方负全责处理并承担责任。</w:t>
      </w:r>
    </w:p>
    <w:p w14:paraId="2C844F1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7.12</w:t>
      </w:r>
      <w:r>
        <w:rPr>
          <w:rFonts w:hint="eastAsia" w:ascii="仿宋" w:hAnsi="仿宋" w:eastAsia="仿宋" w:cs="仿宋"/>
          <w:color w:val="auto"/>
          <w:sz w:val="28"/>
          <w:highlight w:val="none"/>
          <w:u w:val="none"/>
          <w:shd w:val="clear" w:color="auto" w:fill="auto"/>
        </w:rPr>
        <w:t>签订本合同后，</w:t>
      </w:r>
      <w:r>
        <w:rPr>
          <w:rFonts w:hint="eastAsia" w:ascii="仿宋" w:hAnsi="仿宋" w:eastAsia="仿宋" w:cs="仿宋"/>
          <w:color w:val="auto"/>
          <w:sz w:val="28"/>
          <w:highlight w:val="none"/>
          <w:u w:val="none"/>
          <w:shd w:val="clear" w:color="auto" w:fill="auto"/>
          <w:lang w:eastAsia="zh-CN"/>
        </w:rPr>
        <w:t>乙方</w:t>
      </w:r>
      <w:r>
        <w:rPr>
          <w:rFonts w:hint="eastAsia" w:ascii="仿宋" w:hAnsi="仿宋" w:eastAsia="仿宋" w:cs="仿宋"/>
          <w:color w:val="auto"/>
          <w:sz w:val="28"/>
          <w:highlight w:val="none"/>
          <w:u w:val="none"/>
          <w:shd w:val="clear" w:color="auto" w:fill="auto"/>
        </w:rPr>
        <w:t>只是取得供应资格且向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确定了可接受的交易条件，并不意味着双方的成交，能否向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销售</w:t>
      </w:r>
      <w:r>
        <w:rPr>
          <w:rFonts w:hint="eastAsia" w:ascii="仿宋" w:hAnsi="仿宋" w:eastAsia="仿宋" w:cs="仿宋"/>
          <w:color w:val="auto"/>
          <w:sz w:val="28"/>
          <w:highlight w:val="none"/>
          <w:u w:val="none"/>
          <w:shd w:val="clear" w:color="auto" w:fill="auto"/>
          <w:lang w:val="en-US" w:eastAsia="zh-CN"/>
        </w:rPr>
        <w:t>产品</w:t>
      </w:r>
      <w:r>
        <w:rPr>
          <w:rFonts w:hint="eastAsia" w:ascii="仿宋" w:hAnsi="仿宋" w:eastAsia="仿宋" w:cs="仿宋"/>
          <w:color w:val="auto"/>
          <w:sz w:val="28"/>
          <w:highlight w:val="none"/>
          <w:u w:val="none"/>
          <w:shd w:val="clear" w:color="auto" w:fill="auto"/>
        </w:rPr>
        <w:t>以</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发出的通知为准。</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随时有权另向第三方交易。</w:t>
      </w:r>
      <w:r>
        <w:rPr>
          <w:rFonts w:hint="eastAsia" w:ascii="仿宋" w:hAnsi="仿宋" w:eastAsia="仿宋" w:cs="仿宋"/>
          <w:color w:val="auto"/>
          <w:sz w:val="28"/>
          <w:highlight w:val="none"/>
          <w:u w:val="none"/>
          <w:shd w:val="clear" w:color="auto" w:fill="auto"/>
          <w:lang w:eastAsia="zh-CN"/>
        </w:rPr>
        <w:t>在甲方未向乙方发出具体的订货通知之前，乙方无权以本</w:t>
      </w:r>
      <w:r>
        <w:rPr>
          <w:rFonts w:hint="eastAsia" w:ascii="仿宋" w:hAnsi="仿宋" w:eastAsia="仿宋" w:cs="仿宋"/>
          <w:color w:val="auto"/>
          <w:sz w:val="28"/>
          <w:highlight w:val="none"/>
          <w:u w:val="none"/>
          <w:shd w:val="clear" w:color="auto" w:fill="auto"/>
          <w:lang w:val="en-US" w:eastAsia="zh-CN"/>
        </w:rPr>
        <w:t>合同</w:t>
      </w:r>
      <w:r>
        <w:rPr>
          <w:rFonts w:hint="eastAsia" w:ascii="仿宋" w:hAnsi="仿宋" w:eastAsia="仿宋" w:cs="仿宋"/>
          <w:color w:val="auto"/>
          <w:sz w:val="28"/>
          <w:highlight w:val="none"/>
          <w:u w:val="none"/>
          <w:shd w:val="clear" w:color="auto" w:fill="auto"/>
          <w:lang w:eastAsia="zh-CN"/>
        </w:rPr>
        <w:t>为由要求甲方进行交易</w:t>
      </w:r>
      <w:r>
        <w:rPr>
          <w:rFonts w:hint="eastAsia" w:ascii="仿宋" w:hAnsi="仿宋" w:eastAsia="仿宋" w:cs="仿宋"/>
          <w:color w:val="auto"/>
          <w:sz w:val="28"/>
          <w:highlight w:val="none"/>
          <w:u w:val="none"/>
          <w:shd w:val="clear" w:color="auto" w:fill="auto"/>
          <w:lang w:val="en-US" w:eastAsia="zh-CN"/>
        </w:rPr>
        <w:t>及支付任何费用</w:t>
      </w:r>
      <w:r>
        <w:rPr>
          <w:rFonts w:hint="eastAsia" w:ascii="仿宋" w:hAnsi="仿宋" w:eastAsia="仿宋" w:cs="仿宋"/>
          <w:color w:val="auto"/>
          <w:sz w:val="28"/>
          <w:highlight w:val="none"/>
          <w:u w:val="none"/>
          <w:shd w:val="clear" w:color="auto" w:fill="auto"/>
          <w:lang w:eastAsia="zh-CN"/>
        </w:rPr>
        <w:t>。</w:t>
      </w:r>
    </w:p>
    <w:p w14:paraId="2158FF3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color w:val="auto"/>
          <w:sz w:val="28"/>
          <w:highlight w:val="none"/>
          <w:u w:val="none"/>
          <w:shd w:val="clear" w:color="auto" w:fill="auto"/>
          <w:lang w:val="en-US" w:eastAsia="zh-CN"/>
        </w:rPr>
        <w:t>7.13</w:t>
      </w:r>
      <w:r>
        <w:rPr>
          <w:rFonts w:hint="eastAsia" w:ascii="仿宋" w:hAnsi="仿宋" w:eastAsia="仿宋" w:cs="仿宋"/>
          <w:b w:val="0"/>
          <w:bCs w:val="0"/>
          <w:color w:val="auto"/>
          <w:sz w:val="28"/>
          <w:highlight w:val="none"/>
          <w:u w:val="none"/>
          <w:shd w:val="clear" w:color="auto" w:fill="auto"/>
          <w:lang w:eastAsia="zh-CN"/>
        </w:rPr>
        <w:t>本合同未尽事宜或需变更的，甲乙双方另行签订补充协议进行明确。与本合同相关的争议，双方友好协商解决，协商不成则提交甲方所在地人民法院诉讼方式解决。甲乙双方因履行本合同的往来文件及法院送达的文书以合同签章处所列地址为有效地址，以邮寄方式送达的，通过邮政特快专递寄出第三日视为送达。</w:t>
      </w:r>
    </w:p>
    <w:p w14:paraId="47090F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7.14</w:t>
      </w:r>
      <w:r>
        <w:rPr>
          <w:rFonts w:hint="eastAsia" w:ascii="仿宋" w:hAnsi="仿宋" w:eastAsia="仿宋" w:cs="仿宋"/>
          <w:color w:val="auto"/>
          <w:sz w:val="28"/>
          <w:highlight w:val="none"/>
          <w:u w:val="none"/>
        </w:rPr>
        <w:t>本合同壹式</w:t>
      </w:r>
      <w:r>
        <w:rPr>
          <w:rFonts w:hint="eastAsia" w:ascii="仿宋" w:hAnsi="仿宋" w:eastAsia="仿宋" w:cs="仿宋"/>
          <w:color w:val="auto"/>
          <w:sz w:val="28"/>
          <w:highlight w:val="none"/>
          <w:u w:val="none"/>
          <w:lang w:val="en-US" w:eastAsia="zh-CN"/>
        </w:rPr>
        <w:t>贰</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壹</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壹份，均具同等效力</w:t>
      </w:r>
      <w:r>
        <w:rPr>
          <w:rFonts w:hint="eastAsia" w:ascii="仿宋" w:hAnsi="仿宋" w:eastAsia="仿宋" w:cs="仿宋"/>
          <w:color w:val="auto"/>
          <w:sz w:val="28"/>
          <w:highlight w:val="none"/>
          <w:u w:val="none"/>
          <w:lang w:eastAsia="zh-CN"/>
        </w:rPr>
        <w:t>。</w:t>
      </w:r>
      <w:r>
        <w:rPr>
          <w:rFonts w:hint="eastAsia" w:ascii="仿宋" w:hAnsi="仿宋" w:eastAsia="仿宋" w:cs="仿宋"/>
          <w:b w:val="0"/>
          <w:bCs w:val="0"/>
          <w:color w:val="auto"/>
          <w:sz w:val="28"/>
          <w:highlight w:val="none"/>
          <w:lang w:val="en-US" w:eastAsia="zh-CN"/>
        </w:rPr>
        <w:t>本合同自甲乙双方签字、加盖公章（或合同章）之日起生效，在结算价款支付完毕、乙方向甲方交付合格产品，双方履行完合同义务、责任之日，本合同（保修条款除外）自动终止。</w:t>
      </w:r>
    </w:p>
    <w:p w14:paraId="6538CFC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7.15以下文件均为合同有效组成部分，各文件互相解释，互为说明。当合同文件中出现不一致时，除合同另有约定外，以下排列顺序就是各合同文件的优先解释顺序：</w:t>
      </w:r>
    </w:p>
    <w:p w14:paraId="129CF5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① 合同履行过程中，双方法人代表或授权人签字并加盖公章的补充协议；</w:t>
      </w:r>
    </w:p>
    <w:p w14:paraId="7F881F1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② 本合同书（含附件）；</w:t>
      </w:r>
    </w:p>
    <w:p w14:paraId="5BE180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③ 经甲方确认的方案及相关设计变更；</w:t>
      </w:r>
    </w:p>
    <w:p w14:paraId="2E599A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④ 本合同对应的招标文件（含相关答疑、补充通知等）；</w:t>
      </w:r>
    </w:p>
    <w:p w14:paraId="491BDB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⑤ 乙方发出的、经甲方确认的本合同对应的投标文件及相关澄清文件；</w:t>
      </w:r>
    </w:p>
    <w:p w14:paraId="5936FC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⑥ 本项目所在地现行的法律法规、标准、规范。</w:t>
      </w:r>
    </w:p>
    <w:p w14:paraId="312E8D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7.16本合同正文为清洁打印文本，如双方对此合同有任何修改及补充均应另行签订补充协议。合同正文中任何非打印的文字或者图形，除非经双方确认同意，否则不产生约束力。</w:t>
      </w:r>
    </w:p>
    <w:p w14:paraId="1EC9ADB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eastAsia="zh-CN"/>
        </w:rPr>
      </w:pPr>
      <w:r>
        <w:rPr>
          <w:rFonts w:hint="eastAsia" w:ascii="仿宋" w:hAnsi="仿宋" w:eastAsia="仿宋" w:cs="仿宋"/>
          <w:b w:val="0"/>
          <w:bCs w:val="0"/>
          <w:color w:val="auto"/>
          <w:sz w:val="28"/>
          <w:highlight w:val="none"/>
          <w:lang w:val="en-US" w:eastAsia="zh-CN"/>
        </w:rPr>
        <w:t>7.17甲乙双方均确认已经审阅并理解本合同的条款，且已经就条款相关的任何疑问得到满意的解释，并确认本合同的条款为双方本着诚信互利的原则友好协商一致的结果，不属于任何一方的格式条款。</w:t>
      </w:r>
      <w:bookmarkEnd w:id="42"/>
    </w:p>
    <w:p w14:paraId="09301D4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（以下无正文）</w:t>
      </w:r>
    </w:p>
    <w:p w14:paraId="2A991B6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b/>
          <w:bCs/>
          <w:color w:val="auto"/>
          <w:sz w:val="28"/>
          <w:highlight w:val="none"/>
          <w:u w:val="none"/>
          <w:lang w:val="en-US" w:eastAsia="zh-CN"/>
        </w:rPr>
        <w:t>合同附件</w:t>
      </w:r>
    </w:p>
    <w:p w14:paraId="290FC1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 xml:space="preserve">附件一：《结清承诺书》格式         </w:t>
      </w:r>
    </w:p>
    <w:p w14:paraId="520749E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附件二：《同意延迟付款声明函》格式</w:t>
      </w:r>
    </w:p>
    <w:p w14:paraId="51D031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 xml:space="preserve">附件三：《材料款申报审批表》格式   </w:t>
      </w:r>
    </w:p>
    <w:p w14:paraId="4521031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附件四：《款项支付台账》格式</w:t>
      </w:r>
    </w:p>
    <w:p w14:paraId="5E39FE5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 xml:space="preserve">附件五：《供应商月度对账单》格式   </w:t>
      </w:r>
    </w:p>
    <w:p w14:paraId="4E54E00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 xml:space="preserve">附件六：《甲方项目章》样式  </w:t>
      </w:r>
    </w:p>
    <w:p w14:paraId="6179DD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附件七：《物料申购单》</w:t>
      </w:r>
      <w:r>
        <w:rPr>
          <w:rFonts w:hint="default" w:ascii="仿宋" w:hAnsi="仿宋" w:eastAsia="仿宋" w:cs="仿宋"/>
          <w:color w:val="auto"/>
          <w:sz w:val="28"/>
          <w:highlight w:val="none"/>
          <w:u w:val="none"/>
          <w:lang w:val="en-US" w:eastAsia="zh-CN"/>
        </w:rPr>
        <w:t>格式</w:t>
      </w:r>
      <w:r>
        <w:rPr>
          <w:rFonts w:hint="eastAsia" w:ascii="仿宋" w:hAnsi="仿宋" w:eastAsia="仿宋" w:cs="仿宋"/>
          <w:color w:val="auto"/>
          <w:sz w:val="28"/>
          <w:highlight w:val="none"/>
          <w:u w:val="none"/>
          <w:lang w:val="en-US" w:eastAsia="zh-CN"/>
        </w:rPr>
        <w:t xml:space="preserve">         </w:t>
      </w:r>
    </w:p>
    <w:p w14:paraId="77D1C08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w:t>
      </w:r>
      <w:r>
        <w:rPr>
          <w:rFonts w:hint="eastAsia" w:ascii="仿宋" w:hAnsi="仿宋" w:eastAsia="仿宋" w:cs="仿宋"/>
          <w:color w:val="auto"/>
          <w:sz w:val="28"/>
          <w:highlight w:val="none"/>
          <w:u w:val="none"/>
          <w:lang w:val="en-US" w:eastAsia="zh-CN"/>
        </w:rPr>
        <w:t>八</w:t>
      </w:r>
      <w:r>
        <w:rPr>
          <w:rFonts w:hint="default" w:ascii="仿宋" w:hAnsi="仿宋" w:eastAsia="仿宋" w:cs="仿宋"/>
          <w:color w:val="auto"/>
          <w:sz w:val="28"/>
          <w:highlight w:val="none"/>
          <w:u w:val="none"/>
          <w:lang w:val="en-US" w:eastAsia="zh-CN"/>
        </w:rPr>
        <w:t>：《调价函》格式</w:t>
      </w:r>
    </w:p>
    <w:p w14:paraId="7C2152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附件十：《</w:t>
      </w:r>
      <w:r>
        <w:rPr>
          <w:rFonts w:hint="default" w:ascii="仿宋" w:hAnsi="仿宋" w:eastAsia="仿宋" w:cs="仿宋"/>
          <w:color w:val="auto"/>
          <w:sz w:val="28"/>
          <w:highlight w:val="none"/>
          <w:u w:val="none"/>
          <w:lang w:val="en-US" w:eastAsia="zh-CN"/>
        </w:rPr>
        <w:t>材料签收单</w:t>
      </w:r>
      <w:r>
        <w:rPr>
          <w:rFonts w:hint="eastAsia" w:ascii="仿宋" w:hAnsi="仿宋" w:eastAsia="仿宋" w:cs="仿宋"/>
          <w:color w:val="auto"/>
          <w:sz w:val="28"/>
          <w:highlight w:val="none"/>
          <w:u w:val="none"/>
          <w:lang w:val="en-US" w:eastAsia="zh-CN"/>
        </w:rPr>
        <w:t>》</w:t>
      </w:r>
      <w:r>
        <w:rPr>
          <w:rFonts w:hint="default" w:ascii="仿宋" w:hAnsi="仿宋" w:eastAsia="仿宋" w:cs="仿宋"/>
          <w:color w:val="auto"/>
          <w:sz w:val="28"/>
          <w:highlight w:val="none"/>
          <w:u w:val="none"/>
          <w:lang w:val="en-US" w:eastAsia="zh-CN"/>
        </w:rPr>
        <w:t>格式</w:t>
      </w:r>
    </w:p>
    <w:p w14:paraId="7C4E5B3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746" w:hanging="6746" w:hangingChars="28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甲  方：东莞市中泰建安工程有限公司          乙  方：XXX</w:t>
      </w:r>
    </w:p>
    <w:p w14:paraId="6E24E8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（盖章）                                   （盖章）</w:t>
      </w:r>
    </w:p>
    <w:p w14:paraId="6D1E06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签约代表：                                  签约代表：XXX</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ab/>
      </w:r>
    </w:p>
    <w:p w14:paraId="2AD0F6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91441900732168546R</w:t>
      </w:r>
      <w:r>
        <w:rPr>
          <w:rFonts w:hint="eastAsia" w:ascii="仿宋" w:hAnsi="仿宋" w:eastAsia="仿宋" w:cs="仿宋"/>
          <w:b/>
          <w:bCs/>
          <w:color w:val="auto"/>
          <w:sz w:val="24"/>
          <w:szCs w:val="24"/>
          <w:highlight w:val="none"/>
          <w:lang w:val="en-US" w:eastAsia="zh-CN"/>
        </w:rPr>
        <w:t xml:space="preserve">        统一社会信用代码：XXX</w:t>
      </w:r>
    </w:p>
    <w:p w14:paraId="0B3CC0B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账  号：</w:t>
      </w:r>
      <w:r>
        <w:rPr>
          <w:rFonts w:hint="eastAsia" w:ascii="仿宋" w:hAnsi="仿宋" w:eastAsia="仿宋" w:cs="仿宋"/>
          <w:b/>
          <w:bCs/>
          <w:color w:val="auto"/>
          <w:sz w:val="24"/>
          <w:szCs w:val="24"/>
          <w:highlight w:val="none"/>
        </w:rPr>
        <w:t>548000013639239</w:t>
      </w:r>
      <w:r>
        <w:rPr>
          <w:rFonts w:hint="eastAsia" w:ascii="仿宋" w:hAnsi="仿宋" w:eastAsia="仿宋" w:cs="仿宋"/>
          <w:b/>
          <w:bCs/>
          <w:color w:val="auto"/>
          <w:sz w:val="24"/>
          <w:szCs w:val="24"/>
          <w:highlight w:val="none"/>
          <w:lang w:val="en-US" w:eastAsia="zh-CN"/>
        </w:rPr>
        <w:t xml:space="preserve">                     账  号：XXX</w:t>
      </w:r>
    </w:p>
    <w:p w14:paraId="23B87D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746" w:hanging="6746" w:hangingChars="28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开户行：</w:t>
      </w:r>
      <w:r>
        <w:rPr>
          <w:rFonts w:hint="eastAsia" w:ascii="仿宋" w:hAnsi="仿宋" w:eastAsia="仿宋" w:cs="仿宋"/>
          <w:b/>
          <w:bCs/>
          <w:color w:val="auto"/>
          <w:sz w:val="24"/>
          <w:szCs w:val="24"/>
          <w:highlight w:val="none"/>
        </w:rPr>
        <w:t>东莞银行股份有限公司元美支行</w:t>
      </w:r>
      <w:r>
        <w:rPr>
          <w:rFonts w:hint="eastAsia" w:ascii="仿宋" w:hAnsi="仿宋" w:eastAsia="仿宋" w:cs="仿宋"/>
          <w:b/>
          <w:bCs/>
          <w:color w:val="auto"/>
          <w:sz w:val="24"/>
          <w:szCs w:val="24"/>
          <w:highlight w:val="none"/>
          <w:lang w:val="en-US" w:eastAsia="zh-CN"/>
        </w:rPr>
        <w:t xml:space="preserve">        开户行：XXX</w:t>
      </w:r>
    </w:p>
    <w:p w14:paraId="22591A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地  址：广东省东莞市南城街道鸿福路          地  址：XXX</w:t>
      </w:r>
    </w:p>
    <w:p w14:paraId="22F749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106号1栋1712室01                             </w:t>
      </w:r>
    </w:p>
    <w:p w14:paraId="04468F1F">
      <w:pPr>
        <w:pStyle w:val="8"/>
        <w:keepNext w:val="0"/>
        <w:keepLines w:val="0"/>
        <w:pageBreakBefore w:val="0"/>
        <w:wordWrap/>
        <w:topLinePunct w:val="0"/>
        <w:bidi w:val="0"/>
        <w:adjustRightInd w:val="0"/>
        <w:snapToGrid w:val="0"/>
        <w:spacing w:line="360" w:lineRule="auto"/>
        <w:ind w:left="0" w:leftChars="0" w:firstLine="0" w:firstLineChars="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电  话：0769-22311322                       </w:t>
      </w: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lang w:val="en-US" w:eastAsia="zh-CN"/>
        </w:rPr>
        <w:t>XXX</w:t>
      </w:r>
    </w:p>
    <w:p w14:paraId="29DC930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val="en-US" w:eastAsia="zh-CN"/>
        </w:rPr>
      </w:pPr>
    </w:p>
    <w:p w14:paraId="6B11409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sectPr>
          <w:footerReference r:id="rId6" w:type="default"/>
          <w:pgSz w:w="11906" w:h="16838"/>
          <w:pgMar w:top="1361" w:right="1134" w:bottom="1247" w:left="1134" w:header="737" w:footer="624" w:gutter="0"/>
          <w:pgBorders>
            <w:top w:val="none" w:sz="0" w:space="0"/>
            <w:left w:val="none" w:sz="0" w:space="0"/>
            <w:bottom w:val="none" w:sz="0" w:space="0"/>
            <w:right w:val="none" w:sz="0" w:space="0"/>
          </w:pgBorders>
          <w:pgNumType w:fmt="decimal" w:start="1"/>
          <w:cols w:space="425" w:num="1"/>
          <w:rtlGutter w:val="0"/>
          <w:docGrid w:type="lines" w:linePitch="312" w:charSpace="0"/>
        </w:sectPr>
      </w:pPr>
    </w:p>
    <w:p w14:paraId="2E2CED2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甲方人员如有营私舞弊、吃拿卡要等损害乙方合法权益的行为，乙方可拨打投诉专线 4000968086或发邮件至投诉邮箱</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zhglzx@nanfeng.cn，也可至广东省东莞市南城街道鸿福路106号南峰中心12楼内控中心办公室面诉。</w:t>
      </w:r>
      <w:r>
        <w:rPr>
          <w:rFonts w:hint="eastAsia" w:ascii="仿宋" w:hAnsi="仿宋" w:eastAsia="仿宋" w:cs="仿宋"/>
          <w:b/>
          <w:bCs/>
          <w:color w:val="auto"/>
          <w:sz w:val="24"/>
          <w:szCs w:val="24"/>
          <w:highlight w:val="none"/>
          <w:lang w:eastAsia="zh-CN"/>
        </w:rPr>
        <w:t>】</w:t>
      </w:r>
    </w:p>
    <w:p w14:paraId="0EC2042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1D7DD4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0A7DD4C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143F36C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6A5C1A0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2B17BC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6D66CE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108253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09AAEB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22E10F0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auto"/>
          <w:sz w:val="24"/>
          <w:szCs w:val="24"/>
          <w:highlight w:val="none"/>
          <w:lang w:eastAsia="zh-CN"/>
        </w:rPr>
      </w:pPr>
    </w:p>
    <w:p w14:paraId="2C1B5CB5">
      <w:pPr>
        <w:adjustRightInd w:val="0"/>
        <w:snapToGrid w:val="0"/>
        <w:spacing w:line="360" w:lineRule="auto"/>
        <w:jc w:val="right"/>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36"/>
          <w:szCs w:val="36"/>
          <w:highlight w:val="none"/>
          <w:lang w:val="en-US" w:eastAsia="zh-CN"/>
        </w:rPr>
        <w:t>附件一</w:t>
      </w:r>
    </w:p>
    <w:p w14:paraId="2AFECF84">
      <w:pPr>
        <w:adjustRightInd w:val="0"/>
        <w:snapToGrid w:val="0"/>
        <w:spacing w:line="360" w:lineRule="auto"/>
        <w:jc w:val="center"/>
        <w:rPr>
          <w:rFonts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14:paraId="29668AED">
      <w:pPr>
        <w:pStyle w:val="3"/>
        <w:adjustRightInd w:val="0"/>
        <w:snapToGrid w:val="0"/>
        <w:spacing w:before="97" w:line="360" w:lineRule="auto"/>
        <w:ind w:left="0"/>
        <w:rPr>
          <w:color w:val="auto"/>
          <w:sz w:val="28"/>
          <w:szCs w:val="28"/>
          <w:highlight w:val="none"/>
        </w:rPr>
      </w:pPr>
      <w:r>
        <w:rPr>
          <w:color w:val="auto"/>
          <w:spacing w:val="-2"/>
          <w:sz w:val="28"/>
          <w:szCs w:val="28"/>
          <w:highlight w:val="none"/>
        </w:rPr>
        <w:t>致：东莞市中泰建安工程有限公司</w:t>
      </w:r>
    </w:p>
    <w:p w14:paraId="0A2D1D76">
      <w:pPr>
        <w:pStyle w:val="3"/>
        <w:adjustRightInd w:val="0"/>
        <w:snapToGrid w:val="0"/>
        <w:spacing w:before="51" w:line="360" w:lineRule="auto"/>
        <w:ind w:left="0" w:right="0"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 xml:space="preserve"> 供应商，履约期间的材料费合计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元，待收款项</w:t>
      </w:r>
      <w:r>
        <w:rPr>
          <w:rFonts w:hint="eastAsia" w:cs="仿宋"/>
          <w:color w:val="auto"/>
          <w:kern w:val="2"/>
          <w:sz w:val="30"/>
          <w:szCs w:val="30"/>
          <w:highlight w:val="none"/>
          <w:lang w:val="en-US" w:eastAsia="zh-CN" w:bidi="ar-SA"/>
        </w:rPr>
        <w:t>（尾款）</w:t>
      </w:r>
      <w:r>
        <w:rPr>
          <w:rFonts w:hint="eastAsia" w:ascii="仿宋" w:hAnsi="仿宋" w:eastAsia="仿宋" w:cs="仿宋"/>
          <w:color w:val="auto"/>
          <w:kern w:val="2"/>
          <w:sz w:val="30"/>
          <w:szCs w:val="30"/>
          <w:highlight w:val="none"/>
          <w:lang w:val="en-US" w:eastAsia="zh-CN" w:bidi="ar-SA"/>
        </w:rPr>
        <w:t>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14:paraId="2A67EA7B">
      <w:pPr>
        <w:pStyle w:val="3"/>
        <w:adjustRightInd w:val="0"/>
        <w:snapToGrid w:val="0"/>
        <w:spacing w:before="51" w:line="360" w:lineRule="auto"/>
        <w:ind w:left="0" w:right="0"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w:t>
      </w:r>
      <w:r>
        <w:rPr>
          <w:rFonts w:hint="eastAsia" w:cs="仿宋"/>
          <w:color w:val="auto"/>
          <w:kern w:val="2"/>
          <w:sz w:val="30"/>
          <w:szCs w:val="30"/>
          <w:highlight w:val="none"/>
          <w:lang w:val="en-US" w:eastAsia="zh-CN" w:bidi="ar-SA"/>
        </w:rPr>
        <w:t>上述</w:t>
      </w:r>
      <w:r>
        <w:rPr>
          <w:rFonts w:hint="eastAsia" w:ascii="仿宋" w:hAnsi="仿宋" w:eastAsia="仿宋" w:cs="仿宋"/>
          <w:color w:val="auto"/>
          <w:kern w:val="2"/>
          <w:sz w:val="30"/>
          <w:szCs w:val="30"/>
          <w:highlight w:val="none"/>
          <w:lang w:val="en-US" w:eastAsia="zh-CN" w:bidi="ar-SA"/>
        </w:rPr>
        <w:t>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r>
        <w:rPr>
          <w:rFonts w:hint="eastAsia" w:cs="仿宋"/>
          <w:color w:val="auto"/>
          <w:kern w:val="2"/>
          <w:sz w:val="30"/>
          <w:szCs w:val="30"/>
          <w:highlight w:val="none"/>
          <w:lang w:val="en-US" w:eastAsia="zh-CN" w:bidi="ar-SA"/>
        </w:rPr>
        <w:t>后</w:t>
      </w:r>
      <w:r>
        <w:rPr>
          <w:rFonts w:hint="eastAsia" w:ascii="仿宋" w:hAnsi="仿宋" w:eastAsia="仿宋" w:cs="仿宋"/>
          <w:color w:val="auto"/>
          <w:kern w:val="2"/>
          <w:sz w:val="30"/>
          <w:szCs w:val="30"/>
          <w:highlight w:val="none"/>
          <w:lang w:val="en-US" w:eastAsia="zh-CN" w:bidi="ar-SA"/>
        </w:rPr>
        <w:t>，该项目的</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所涉及的材料费用全部结清，我司合同中的所有权利全部消灭，我司将不再以任何理由、任何方式就该项目的合作向贵司提出任何权利主张或追索其他任何费用，同时我司相应的义务和责任按照合同执行。</w:t>
      </w:r>
    </w:p>
    <w:p w14:paraId="1D27F88F">
      <w:pPr>
        <w:pStyle w:val="3"/>
        <w:adjustRightInd w:val="0"/>
        <w:snapToGrid w:val="0"/>
        <w:spacing w:before="50" w:line="360" w:lineRule="auto"/>
        <w:ind w:left="0"/>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w:t>
      </w:r>
      <w:r>
        <w:rPr>
          <w:rFonts w:hint="eastAsia" w:cs="仿宋"/>
          <w:color w:val="auto"/>
          <w:kern w:val="2"/>
          <w:sz w:val="30"/>
          <w:szCs w:val="30"/>
          <w:highlight w:val="none"/>
          <w:lang w:val="en-US" w:eastAsia="zh-CN" w:bidi="ar-SA"/>
        </w:rPr>
        <w:t>承诺</w:t>
      </w:r>
      <w:r>
        <w:rPr>
          <w:rFonts w:hint="eastAsia" w:ascii="仿宋" w:hAnsi="仿宋" w:eastAsia="仿宋" w:cs="仿宋"/>
          <w:color w:val="auto"/>
          <w:kern w:val="2"/>
          <w:sz w:val="30"/>
          <w:szCs w:val="30"/>
          <w:highlight w:val="none"/>
          <w:lang w:val="en-US" w:eastAsia="zh-CN" w:bidi="ar-SA"/>
        </w:rPr>
        <w:t>！</w:t>
      </w:r>
    </w:p>
    <w:p w14:paraId="304A1332">
      <w:pPr>
        <w:adjustRightInd w:val="0"/>
        <w:snapToGrid w:val="0"/>
        <w:spacing w:line="360" w:lineRule="auto"/>
        <w:rPr>
          <w:rFonts w:ascii="Arial"/>
          <w:color w:val="auto"/>
          <w:sz w:val="20"/>
          <w:szCs w:val="22"/>
          <w:highlight w:val="none"/>
        </w:rPr>
      </w:pPr>
    </w:p>
    <w:p w14:paraId="2E09D7F6">
      <w:pPr>
        <w:adjustRightInd w:val="0"/>
        <w:snapToGrid w:val="0"/>
        <w:spacing w:line="360" w:lineRule="auto"/>
        <w:rPr>
          <w:rFonts w:ascii="Arial"/>
          <w:color w:val="auto"/>
          <w:sz w:val="20"/>
          <w:szCs w:val="22"/>
          <w:highlight w:val="none"/>
        </w:rPr>
      </w:pPr>
    </w:p>
    <w:p w14:paraId="672E19C8">
      <w:pPr>
        <w:pStyle w:val="3"/>
        <w:adjustRightInd w:val="0"/>
        <w:snapToGrid w:val="0"/>
        <w:spacing w:before="98" w:line="360" w:lineRule="auto"/>
        <w:ind w:firstLine="4658" w:firstLineChars="1700"/>
        <w:rPr>
          <w:color w:val="auto"/>
          <w:sz w:val="28"/>
          <w:szCs w:val="28"/>
          <w:highlight w:val="none"/>
        </w:rPr>
      </w:pPr>
      <w:r>
        <w:rPr>
          <w:color w:val="auto"/>
          <w:spacing w:val="-3"/>
          <w:sz w:val="28"/>
          <w:szCs w:val="28"/>
          <w:highlight w:val="none"/>
        </w:rPr>
        <w:t>承诺单位（盖章</w:t>
      </w:r>
      <w:r>
        <w:rPr>
          <w:color w:val="auto"/>
          <w:sz w:val="28"/>
          <w:szCs w:val="28"/>
          <w:highlight w:val="none"/>
        </w:rPr>
        <w:t>）：</w:t>
      </w:r>
    </w:p>
    <w:p w14:paraId="7C1286F8">
      <w:pPr>
        <w:pStyle w:val="3"/>
        <w:adjustRightInd w:val="0"/>
        <w:snapToGrid w:val="0"/>
        <w:spacing w:before="265" w:line="360" w:lineRule="auto"/>
        <w:jc w:val="both"/>
        <w:rPr>
          <w:color w:val="auto"/>
          <w:sz w:val="28"/>
          <w:szCs w:val="28"/>
          <w:highlight w:val="none"/>
        </w:rPr>
      </w:pPr>
      <w:r>
        <w:rPr>
          <w:rFonts w:hint="eastAsia"/>
          <w:color w:val="auto"/>
          <w:spacing w:val="-35"/>
          <w:sz w:val="28"/>
          <w:szCs w:val="28"/>
          <w:highlight w:val="none"/>
          <w:lang w:val="en-US" w:eastAsia="zh-CN"/>
        </w:rPr>
        <w:t xml:space="preserve">                                               </w:t>
      </w:r>
      <w:r>
        <w:rPr>
          <w:color w:val="auto"/>
          <w:spacing w:val="-35"/>
          <w:sz w:val="28"/>
          <w:szCs w:val="28"/>
          <w:highlight w:val="none"/>
        </w:rPr>
        <w:t>日</w:t>
      </w:r>
      <w:r>
        <w:rPr>
          <w:rFonts w:hint="eastAsia" w:ascii="仿宋" w:hAnsi="仿宋" w:eastAsia="仿宋" w:cs="仿宋"/>
          <w:color w:val="auto"/>
          <w:kern w:val="2"/>
          <w:sz w:val="28"/>
          <w:szCs w:val="28"/>
          <w:highlight w:val="none"/>
          <w:lang w:val="en-US" w:eastAsia="zh-CN" w:bidi="ar-SA"/>
        </w:rPr>
        <w:t xml:space="preserve">   期 ：</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年</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月  日</w:t>
      </w:r>
    </w:p>
    <w:p w14:paraId="36500A2E">
      <w:pPr>
        <w:adjustRightInd w:val="0"/>
        <w:snapToGrid w:val="0"/>
        <w:spacing w:line="360" w:lineRule="auto"/>
        <w:rPr>
          <w:rFonts w:ascii="Arial"/>
          <w:color w:val="auto"/>
          <w:sz w:val="20"/>
          <w:szCs w:val="22"/>
          <w:highlight w:val="none"/>
        </w:rPr>
      </w:pPr>
    </w:p>
    <w:p w14:paraId="26DC81F4">
      <w:pPr>
        <w:adjustRightInd w:val="0"/>
        <w:snapToGrid w:val="0"/>
        <w:spacing w:line="360" w:lineRule="auto"/>
        <w:rPr>
          <w:rFonts w:ascii="Arial"/>
          <w:color w:val="auto"/>
          <w:sz w:val="20"/>
          <w:szCs w:val="22"/>
          <w:highlight w:val="none"/>
        </w:rPr>
      </w:pPr>
    </w:p>
    <w:p w14:paraId="322BA300">
      <w:pPr>
        <w:adjustRightInd w:val="0"/>
        <w:snapToGrid w:val="0"/>
        <w:spacing w:line="360" w:lineRule="auto"/>
        <w:rPr>
          <w:rFonts w:ascii="Arial"/>
          <w:color w:val="auto"/>
          <w:sz w:val="20"/>
          <w:szCs w:val="22"/>
          <w:highlight w:val="none"/>
        </w:rPr>
      </w:pPr>
      <w:r>
        <w:rPr>
          <w:color w:val="auto"/>
          <w:sz w:val="20"/>
          <w:szCs w:val="22"/>
          <w:highlight w:val="none"/>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6330950" cy="9525"/>
                        </a:xfrm>
                        <a:custGeom>
                          <a:avLst/>
                          <a:gdLst/>
                          <a:ahLst/>
                          <a:cxnLst/>
                          <a:pathLst>
                            <a:path w="9970" h="15">
                              <a:moveTo>
                                <a:pt x="0" y="7"/>
                              </a:moveTo>
                              <a:lnTo>
                                <a:pt x="9969" y="7"/>
                              </a:lnTo>
                            </a:path>
                          </a:pathLst>
                        </a:custGeom>
                        <a:noFill/>
                        <a:ln w="9144"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35pt;margin-top:2.3pt;height:0.75pt;width:498.5pt;z-index:251660288;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Wo3v7UAAAABAEAAA8AAAAAAAAAAQAgAAAAIgAAAGRycy9kb3du&#10;cmV2LnhtbFBLAQIUABQAAAAIAIdO4kAWCe4JPAIAAJUEAAAOAAAAAAAAAAEAIAAAACMBAABkcnMv&#10;ZTJvRG9jLnhtbFBLBQYAAAAABgAGAFkBAADRBQAAAAA=&#10;" path="m0,7l9969,7e">
                <v:fill on="f" focussize="0,0"/>
                <v:stroke weight="0.72pt" color="#000000" joinstyle="bevel" dashstyle="dash"/>
                <v:imagedata o:title=""/>
                <o:lock v:ext="edit" aspectratio="f"/>
              </v:shape>
            </w:pict>
          </mc:Fallback>
        </mc:AlternateContent>
      </w:r>
    </w:p>
    <w:p w14:paraId="008C8547">
      <w:pPr>
        <w:pStyle w:val="3"/>
        <w:adjustRightInd w:val="0"/>
        <w:snapToGrid w:val="0"/>
        <w:spacing w:before="98" w:line="360" w:lineRule="auto"/>
        <w:ind w:left="0"/>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14:paraId="227C6778">
      <w:pPr>
        <w:pStyle w:val="3"/>
        <w:adjustRightInd w:val="0"/>
        <w:snapToGrid w:val="0"/>
        <w:spacing w:before="263" w:line="360" w:lineRule="auto"/>
        <w:ind w:left="0"/>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1、本费用结清声明仅适用于“材料类”的购销合同。</w:t>
      </w:r>
    </w:p>
    <w:p w14:paraId="4444F0D5">
      <w:pPr>
        <w:pStyle w:val="3"/>
        <w:adjustRightInd w:val="0"/>
        <w:snapToGrid w:val="0"/>
        <w:spacing w:before="266" w:line="360" w:lineRule="auto"/>
        <w:ind w:left="0" w:right="0" w:hanging="11"/>
        <w:rPr>
          <w:rFonts w:hint="default" w:ascii="仿宋" w:hAnsi="仿宋" w:eastAsia="仿宋" w:cs="仿宋"/>
          <w:b/>
          <w:bCs/>
          <w:color w:val="auto"/>
          <w:sz w:val="44"/>
          <w:szCs w:val="40"/>
          <w:highlight w:val="none"/>
          <w:lang w:val="en-US" w:eastAsia="zh-CN"/>
        </w:rPr>
      </w:pPr>
      <w:r>
        <w:rPr>
          <w:rFonts w:hint="eastAsia" w:ascii="仿宋" w:hAnsi="仿宋" w:eastAsia="仿宋" w:cs="仿宋"/>
          <w:color w:val="auto"/>
          <w:kern w:val="2"/>
          <w:sz w:val="24"/>
          <w:szCs w:val="24"/>
          <w:highlight w:val="none"/>
          <w:u w:val="none"/>
          <w:lang w:val="en-US" w:eastAsia="zh-CN" w:bidi="ar-SA"/>
        </w:rPr>
        <w:t>2、承诺方须在“中泰建安”支付该合同最后一笔款前完成本承诺书签章，且原件交给“中泰建安”作为支付最后一笔款的前提条件。</w:t>
      </w:r>
    </w:p>
    <w:p w14:paraId="4185281E">
      <w:pPr>
        <w:adjustRightInd w:val="0"/>
        <w:snapToGrid w:val="0"/>
        <w:spacing w:line="360" w:lineRule="auto"/>
      </w:pPr>
    </w:p>
    <w:p w14:paraId="1DBB37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b/>
          <w:bCs/>
          <w:color w:val="auto"/>
          <w:sz w:val="36"/>
          <w:szCs w:val="36"/>
          <w:highlight w:val="none"/>
          <w:lang w:val="en-US" w:eastAsia="zh-CN"/>
        </w:rPr>
      </w:pPr>
    </w:p>
    <w:p w14:paraId="5DB0C92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right"/>
        <w:textAlignment w:val="auto"/>
        <w:rPr>
          <w:rFonts w:hint="eastAsia" w:ascii="仿宋" w:hAnsi="仿宋" w:eastAsia="仿宋" w:cs="仿宋"/>
          <w:b/>
          <w:bCs/>
          <w:color w:val="auto"/>
          <w:sz w:val="44"/>
          <w:szCs w:val="40"/>
          <w:highlight w:val="none"/>
          <w:lang w:val="en-US" w:eastAsia="zh-CN"/>
        </w:rPr>
      </w:pPr>
      <w:r>
        <w:rPr>
          <w:rFonts w:hint="eastAsia" w:ascii="仿宋" w:hAnsi="仿宋" w:eastAsia="仿宋" w:cs="仿宋"/>
          <w:b/>
          <w:bCs/>
          <w:color w:val="auto"/>
          <w:sz w:val="36"/>
          <w:szCs w:val="36"/>
          <w:highlight w:val="none"/>
          <w:lang w:val="en-US" w:eastAsia="zh-CN"/>
        </w:rPr>
        <w:t>附件二</w:t>
      </w:r>
    </w:p>
    <w:p w14:paraId="27C27EB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同意延迟付款声明函</w:t>
      </w:r>
    </w:p>
    <w:p w14:paraId="1DE292D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30"/>
          <w:szCs w:val="30"/>
          <w:highlight w:val="none"/>
          <w:lang w:val="en-US" w:eastAsia="zh-CN"/>
        </w:rPr>
      </w:pPr>
    </w:p>
    <w:p w14:paraId="56D1AA1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14:paraId="73477BC1">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按照贵我双方合同约定的时限与贵司完成对账并确定相应金额，属我司责任，与贵司无关。我司自愿接受贵司按照合同约定延期支付该款项，我司承担因此导致的所有责任和损失。</w:t>
      </w:r>
    </w:p>
    <w:p w14:paraId="216FFDE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30"/>
          <w:szCs w:val="30"/>
          <w:highlight w:val="none"/>
          <w:lang w:val="en-US" w:eastAsia="zh-CN"/>
        </w:rPr>
        <w:t>特此声明。</w:t>
      </w:r>
    </w:p>
    <w:p w14:paraId="0ADC50F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highlight w:val="none"/>
          <w:lang w:val="en-US" w:eastAsia="zh-CN"/>
        </w:rPr>
      </w:pPr>
    </w:p>
    <w:p w14:paraId="6841E58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highlight w:val="none"/>
          <w:lang w:val="en-US" w:eastAsia="zh-CN"/>
        </w:rPr>
      </w:pPr>
    </w:p>
    <w:p w14:paraId="5E6C980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highlight w:val="none"/>
          <w:lang w:val="en-US" w:eastAsia="zh-CN"/>
        </w:rPr>
      </w:pPr>
    </w:p>
    <w:p w14:paraId="394EB550">
      <w:pPr>
        <w:keepNext w:val="0"/>
        <w:keepLines w:val="0"/>
        <w:pageBreakBefore w:val="0"/>
        <w:widowControl w:val="0"/>
        <w:kinsoku/>
        <w:wordWrap/>
        <w:overflowPunct/>
        <w:topLinePunct w:val="0"/>
        <w:autoSpaceDE/>
        <w:autoSpaceDN/>
        <w:bidi w:val="0"/>
        <w:adjustRightInd w:val="0"/>
        <w:snapToGrid w:val="0"/>
        <w:spacing w:line="360" w:lineRule="auto"/>
        <w:ind w:firstLine="3900" w:firstLineChars="13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14:paraId="5D771971">
      <w:pPr>
        <w:keepNext w:val="0"/>
        <w:keepLines w:val="0"/>
        <w:pageBreakBefore w:val="0"/>
        <w:widowControl w:val="0"/>
        <w:kinsoku/>
        <w:wordWrap/>
        <w:overflowPunct/>
        <w:topLinePunct w:val="0"/>
        <w:autoSpaceDE/>
        <w:autoSpaceDN/>
        <w:bidi w:val="0"/>
        <w:adjustRightInd w:val="0"/>
        <w:snapToGrid w:val="0"/>
        <w:spacing w:line="360" w:lineRule="auto"/>
        <w:ind w:firstLine="3900" w:firstLineChars="13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14:paraId="0D7E88B4">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（加盖公章及法定代表人或授权代表签字）     </w:t>
      </w:r>
    </w:p>
    <w:p w14:paraId="6FF9358E">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p>
    <w:p w14:paraId="020F5ED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30"/>
          <w:highlight w:val="none"/>
          <w:lang w:val="en-US" w:eastAsia="zh-CN"/>
        </w:rPr>
      </w:pPr>
    </w:p>
    <w:p w14:paraId="415A4470">
      <w:pPr>
        <w:pStyle w:val="8"/>
        <w:pageBreakBefore w:val="0"/>
        <w:wordWrap/>
        <w:topLinePunct w:val="0"/>
        <w:bidi w:val="0"/>
        <w:adjustRightInd w:val="0"/>
        <w:snapToGrid w:val="0"/>
        <w:spacing w:line="360" w:lineRule="auto"/>
        <w:ind w:left="0" w:leftChars="0" w:firstLine="0" w:firstLineChars="0"/>
        <w:jc w:val="both"/>
        <w:rPr>
          <w:rFonts w:hint="eastAsia" w:ascii="仿宋" w:hAnsi="仿宋" w:eastAsia="仿宋" w:cs="仿宋"/>
          <w:b/>
          <w:bCs/>
          <w:color w:val="auto"/>
          <w:sz w:val="30"/>
          <w:highlight w:val="none"/>
          <w:lang w:val="en-US" w:eastAsia="zh-CN"/>
        </w:rPr>
      </w:pPr>
    </w:p>
    <w:p w14:paraId="1FF9B91F">
      <w:pPr>
        <w:keepNext/>
        <w:keepLines/>
        <w:pageBreakBefore w:val="0"/>
        <w:widowControl w:val="0"/>
        <w:wordWrap/>
        <w:topLinePunct w:val="0"/>
        <w:bidi w:val="0"/>
        <w:adjustRightInd w:val="0"/>
        <w:snapToGrid w:val="0"/>
        <w:spacing w:before="120" w:line="360" w:lineRule="auto"/>
        <w:jc w:val="both"/>
        <w:outlineLvl w:val="9"/>
        <w:rPr>
          <w:rFonts w:hint="eastAsia" w:ascii="仿宋" w:hAnsi="仿宋" w:eastAsia="仿宋" w:cs="仿宋"/>
          <w:b/>
          <w:bCs/>
          <w:color w:val="auto"/>
          <w:kern w:val="2"/>
          <w:sz w:val="44"/>
          <w:szCs w:val="48"/>
          <w:highlight w:val="none"/>
          <w:lang w:val="en-US" w:eastAsia="zh-CN" w:bidi="ar-SA"/>
        </w:rPr>
      </w:pPr>
    </w:p>
    <w:p w14:paraId="339CBE53">
      <w:pPr>
        <w:keepNext/>
        <w:keepLines/>
        <w:pageBreakBefore w:val="0"/>
        <w:widowControl w:val="0"/>
        <w:wordWrap/>
        <w:topLinePunct w:val="0"/>
        <w:bidi w:val="0"/>
        <w:adjustRightInd w:val="0"/>
        <w:snapToGrid w:val="0"/>
        <w:spacing w:before="120" w:line="360" w:lineRule="auto"/>
        <w:jc w:val="both"/>
        <w:outlineLvl w:val="9"/>
        <w:rPr>
          <w:rFonts w:hint="eastAsia" w:ascii="仿宋" w:hAnsi="仿宋" w:eastAsia="仿宋" w:cs="仿宋"/>
          <w:b/>
          <w:bCs/>
          <w:color w:val="auto"/>
          <w:kern w:val="2"/>
          <w:sz w:val="44"/>
          <w:szCs w:val="48"/>
          <w:highlight w:val="none"/>
          <w:lang w:val="en-US" w:eastAsia="zh-CN" w:bidi="ar-SA"/>
        </w:rPr>
      </w:pPr>
    </w:p>
    <w:p w14:paraId="072DA376">
      <w:pPr>
        <w:pageBreakBefore w:val="0"/>
        <w:tabs>
          <w:tab w:val="left" w:pos="720"/>
        </w:tabs>
        <w:wordWrap/>
        <w:topLinePunct w:val="0"/>
        <w:bidi w:val="0"/>
        <w:adjustRightInd w:val="0"/>
        <w:snapToGrid w:val="0"/>
        <w:spacing w:line="360" w:lineRule="auto"/>
        <w:ind w:left="0" w:firstLine="0" w:firstLineChars="0"/>
        <w:jc w:val="both"/>
        <w:rPr>
          <w:rFonts w:hint="eastAsia" w:ascii="仿宋" w:hAnsi="仿宋" w:eastAsia="仿宋" w:cs="仿宋"/>
          <w:b/>
          <w:color w:val="auto"/>
          <w:sz w:val="44"/>
          <w:szCs w:val="44"/>
          <w:highlight w:val="none"/>
          <w:lang w:val="en-US" w:eastAsia="zh-CN"/>
        </w:rPr>
      </w:pPr>
    </w:p>
    <w:p w14:paraId="7B2CDF68">
      <w:pPr>
        <w:pageBreakBefore w:val="0"/>
        <w:tabs>
          <w:tab w:val="left" w:pos="720"/>
        </w:tabs>
        <w:wordWrap/>
        <w:topLinePunct w:val="0"/>
        <w:bidi w:val="0"/>
        <w:adjustRightInd w:val="0"/>
        <w:snapToGrid w:val="0"/>
        <w:spacing w:line="360" w:lineRule="auto"/>
        <w:ind w:left="0" w:hanging="542" w:hangingChars="150"/>
        <w:jc w:val="right"/>
        <w:rPr>
          <w:rFonts w:hint="eastAsia" w:ascii="仿宋" w:hAnsi="仿宋" w:eastAsia="仿宋" w:cs="仿宋"/>
          <w:b/>
          <w:color w:val="auto"/>
          <w:sz w:val="36"/>
          <w:szCs w:val="36"/>
          <w:highlight w:val="none"/>
          <w:lang w:val="en-US" w:eastAsia="zh-CN"/>
        </w:rPr>
      </w:pPr>
    </w:p>
    <w:p w14:paraId="4A4D9345">
      <w:pPr>
        <w:pageBreakBefore w:val="0"/>
        <w:tabs>
          <w:tab w:val="left" w:pos="720"/>
        </w:tabs>
        <w:wordWrap/>
        <w:topLinePunct w:val="0"/>
        <w:bidi w:val="0"/>
        <w:adjustRightInd w:val="0"/>
        <w:snapToGrid w:val="0"/>
        <w:spacing w:line="360" w:lineRule="auto"/>
        <w:ind w:left="0" w:hanging="542" w:hangingChars="150"/>
        <w:jc w:val="right"/>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附件三</w:t>
      </w:r>
    </w:p>
    <w:p w14:paraId="1E71B87C">
      <w:pPr>
        <w:pageBreakBefore w:val="0"/>
        <w:tabs>
          <w:tab w:val="left" w:pos="720"/>
        </w:tabs>
        <w:wordWrap/>
        <w:topLinePunct w:val="0"/>
        <w:bidi w:val="0"/>
        <w:adjustRightInd w:val="0"/>
        <w:snapToGrid w:val="0"/>
        <w:spacing w:line="360" w:lineRule="auto"/>
        <w:ind w:left="0" w:hanging="663" w:hangingChars="15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材料款申报</w:t>
      </w:r>
      <w:r>
        <w:rPr>
          <w:rFonts w:hint="eastAsia" w:ascii="仿宋" w:hAnsi="仿宋" w:eastAsia="仿宋" w:cs="仿宋"/>
          <w:b/>
          <w:color w:val="auto"/>
          <w:sz w:val="44"/>
          <w:szCs w:val="44"/>
          <w:highlight w:val="none"/>
          <w:lang w:val="en-US" w:eastAsia="zh-CN"/>
        </w:rPr>
        <w:t>审批</w:t>
      </w:r>
      <w:r>
        <w:rPr>
          <w:rFonts w:hint="eastAsia" w:ascii="仿宋" w:hAnsi="仿宋" w:eastAsia="仿宋" w:cs="仿宋"/>
          <w:b/>
          <w:color w:val="auto"/>
          <w:sz w:val="44"/>
          <w:szCs w:val="44"/>
          <w:highlight w:val="none"/>
        </w:rPr>
        <w:t>表</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2835"/>
      </w:tblGrid>
      <w:tr w14:paraId="37E4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0"/>
            <w:vAlign w:val="top"/>
          </w:tcPr>
          <w:p w14:paraId="4C2AC6AD">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工程名称</w:t>
            </w:r>
          </w:p>
        </w:tc>
        <w:tc>
          <w:tcPr>
            <w:tcW w:w="3402" w:type="dxa"/>
            <w:noWrap w:val="0"/>
            <w:vAlign w:val="top"/>
          </w:tcPr>
          <w:p w14:paraId="2CD5F723">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tc>
        <w:tc>
          <w:tcPr>
            <w:tcW w:w="1276" w:type="dxa"/>
            <w:noWrap w:val="0"/>
            <w:vAlign w:val="top"/>
          </w:tcPr>
          <w:p w14:paraId="0B8CB96F">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合同名称</w:t>
            </w:r>
          </w:p>
        </w:tc>
        <w:tc>
          <w:tcPr>
            <w:tcW w:w="2835" w:type="dxa"/>
            <w:noWrap w:val="0"/>
            <w:vAlign w:val="top"/>
          </w:tcPr>
          <w:p w14:paraId="5BC034AA">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tc>
      </w:tr>
      <w:tr w14:paraId="738E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0"/>
            <w:vAlign w:val="top"/>
          </w:tcPr>
          <w:p w14:paraId="79163D4C">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供货单位</w:t>
            </w:r>
          </w:p>
        </w:tc>
        <w:tc>
          <w:tcPr>
            <w:tcW w:w="3402" w:type="dxa"/>
            <w:noWrap w:val="0"/>
            <w:vAlign w:val="top"/>
          </w:tcPr>
          <w:p w14:paraId="24E11838">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tc>
        <w:tc>
          <w:tcPr>
            <w:tcW w:w="1276" w:type="dxa"/>
            <w:noWrap w:val="0"/>
            <w:vAlign w:val="top"/>
          </w:tcPr>
          <w:p w14:paraId="24FF4934">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合同编号</w:t>
            </w:r>
          </w:p>
        </w:tc>
        <w:tc>
          <w:tcPr>
            <w:tcW w:w="2835" w:type="dxa"/>
            <w:noWrap w:val="0"/>
            <w:vAlign w:val="top"/>
          </w:tcPr>
          <w:p w14:paraId="5EA0B2DC">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tc>
      </w:tr>
      <w:tr w14:paraId="2776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789" w:type="dxa"/>
            <w:gridSpan w:val="4"/>
            <w:noWrap w:val="0"/>
            <w:vAlign w:val="top"/>
          </w:tcPr>
          <w:p w14:paraId="617D6B1F">
            <w:pPr>
              <w:pageBreakBefore w:val="0"/>
              <w:tabs>
                <w:tab w:val="left" w:pos="720"/>
              </w:tabs>
              <w:wordWrap/>
              <w:topLinePunct w:val="0"/>
              <w:bidi w:val="0"/>
              <w:adjustRightInd w:val="0"/>
              <w:snapToGrid w:val="0"/>
              <w:spacing w:line="360" w:lineRule="auto"/>
              <w:ind w:firstLine="120" w:firstLineChars="50"/>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材料申报内容：</w:t>
            </w:r>
          </w:p>
          <w:p w14:paraId="63AE6BE2">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24853CF8">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6CE91FF5">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6A27356E">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40AD7B80">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供货单位（章）：</w:t>
            </w:r>
          </w:p>
          <w:p w14:paraId="313736EB">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供货单位负责人：</w:t>
            </w:r>
          </w:p>
        </w:tc>
      </w:tr>
      <w:tr w14:paraId="05F0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8789" w:type="dxa"/>
            <w:gridSpan w:val="4"/>
            <w:noWrap w:val="0"/>
            <w:vAlign w:val="top"/>
          </w:tcPr>
          <w:p w14:paraId="1113215A">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仓管员①/经办人审核意见：</w:t>
            </w:r>
          </w:p>
          <w:p w14:paraId="380E2228">
            <w:pPr>
              <w:pageBreakBefore w:val="0"/>
              <w:tabs>
                <w:tab w:val="left" w:pos="720"/>
              </w:tabs>
              <w:wordWrap/>
              <w:topLinePunct w:val="0"/>
              <w:bidi w:val="0"/>
              <w:adjustRightInd w:val="0"/>
              <w:snapToGrid w:val="0"/>
              <w:spacing w:line="360" w:lineRule="auto"/>
              <w:ind w:left="0" w:hanging="5421" w:hangingChars="2250"/>
              <w:jc w:val="both"/>
              <w:rPr>
                <w:rFonts w:hint="eastAsia" w:ascii="仿宋" w:hAnsi="仿宋" w:eastAsia="仿宋" w:cs="仿宋"/>
                <w:b/>
                <w:color w:val="auto"/>
                <w:sz w:val="24"/>
                <w:highlight w:val="none"/>
              </w:rPr>
            </w:pPr>
          </w:p>
          <w:p w14:paraId="5568E64C">
            <w:pPr>
              <w:pageBreakBefore w:val="0"/>
              <w:tabs>
                <w:tab w:val="left" w:pos="720"/>
              </w:tabs>
              <w:wordWrap/>
              <w:topLinePunct w:val="0"/>
              <w:bidi w:val="0"/>
              <w:adjustRightInd w:val="0"/>
              <w:snapToGrid w:val="0"/>
              <w:spacing w:line="360" w:lineRule="auto"/>
              <w:ind w:left="0" w:hanging="5421" w:hangingChars="2250"/>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474F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789" w:type="dxa"/>
            <w:gridSpan w:val="4"/>
            <w:noWrap w:val="0"/>
            <w:vAlign w:val="top"/>
          </w:tcPr>
          <w:p w14:paraId="4E6EAA06">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仓管员②审核意见：</w:t>
            </w:r>
          </w:p>
          <w:p w14:paraId="496EDABA">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36BC998F">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 </w:t>
            </w:r>
          </w:p>
        </w:tc>
      </w:tr>
      <w:tr w14:paraId="34ECA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8789" w:type="dxa"/>
            <w:gridSpan w:val="4"/>
            <w:noWrap w:val="0"/>
            <w:vAlign w:val="top"/>
          </w:tcPr>
          <w:p w14:paraId="1C538076">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项目成本管理员审核意见：</w:t>
            </w:r>
          </w:p>
          <w:p w14:paraId="67D2719D">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5E61389E">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2FA18DD8">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691F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789" w:type="dxa"/>
            <w:gridSpan w:val="4"/>
            <w:noWrap w:val="0"/>
            <w:vAlign w:val="top"/>
          </w:tcPr>
          <w:p w14:paraId="581AB1A0">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项目经理审核意见：</w:t>
            </w:r>
          </w:p>
          <w:p w14:paraId="7FBDB45B">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2B1298F5">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5B713964">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p>
          <w:p w14:paraId="5824E867">
            <w:pPr>
              <w:pageBreakBefore w:val="0"/>
              <w:tabs>
                <w:tab w:val="left" w:pos="720"/>
              </w:tabs>
              <w:wordWrap/>
              <w:topLinePunct w:val="0"/>
              <w:bidi w:val="0"/>
              <w:adjustRightInd w:val="0"/>
              <w:snapToGrid w:val="0"/>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bl>
    <w:p w14:paraId="7C73BE28">
      <w:pPr>
        <w:pageBreakBefore w:val="0"/>
        <w:tabs>
          <w:tab w:val="left" w:pos="720"/>
        </w:tabs>
        <w:wordWrap/>
        <w:topLinePunct w:val="0"/>
        <w:bidi w:val="0"/>
        <w:adjustRightInd w:val="0"/>
        <w:snapToGrid w:val="0"/>
        <w:spacing w:line="360" w:lineRule="auto"/>
        <w:ind w:left="0" w:leftChars="0" w:right="0" w:rightChars="0" w:firstLine="1265" w:firstLineChars="700"/>
        <w:jc w:val="both"/>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填表要求：1、此表由</w:t>
      </w:r>
      <w:r>
        <w:rPr>
          <w:rFonts w:hint="eastAsia" w:ascii="仿宋" w:hAnsi="仿宋" w:eastAsia="仿宋" w:cs="仿宋"/>
          <w:b/>
          <w:color w:val="auto"/>
          <w:sz w:val="18"/>
          <w:szCs w:val="18"/>
          <w:highlight w:val="none"/>
          <w:lang w:val="en-US" w:eastAsia="zh-CN"/>
        </w:rPr>
        <w:t>乙方</w:t>
      </w:r>
      <w:r>
        <w:rPr>
          <w:rFonts w:hint="eastAsia" w:ascii="仿宋" w:hAnsi="仿宋" w:eastAsia="仿宋" w:cs="仿宋"/>
          <w:b/>
          <w:color w:val="auto"/>
          <w:sz w:val="18"/>
          <w:szCs w:val="18"/>
          <w:highlight w:val="none"/>
        </w:rPr>
        <w:t>发起，如实填写，不允许涂改，如有涂改或虚报，此表无效。</w:t>
      </w:r>
    </w:p>
    <w:p w14:paraId="0EBEBE8B">
      <w:pPr>
        <w:pageBreakBefore w:val="0"/>
        <w:tabs>
          <w:tab w:val="left" w:pos="720"/>
        </w:tabs>
        <w:wordWrap/>
        <w:topLinePunct w:val="0"/>
        <w:bidi w:val="0"/>
        <w:adjustRightInd w:val="0"/>
        <w:snapToGrid w:val="0"/>
        <w:spacing w:line="360" w:lineRule="auto"/>
        <w:ind w:left="0" w:leftChars="0" w:right="0" w:rightChars="0" w:firstLine="1175" w:firstLineChars="650"/>
        <w:jc w:val="both"/>
        <w:rPr>
          <w:rFonts w:hint="eastAsia" w:ascii="仿宋" w:hAnsi="仿宋" w:eastAsia="仿宋" w:cs="仿宋"/>
          <w:b/>
          <w:bCs/>
          <w:color w:val="auto"/>
          <w:sz w:val="44"/>
          <w:szCs w:val="44"/>
          <w:highlight w:val="none"/>
          <w:lang w:val="en-US" w:eastAsia="zh-CN"/>
        </w:rPr>
      </w:pPr>
      <w:r>
        <w:rPr>
          <w:rFonts w:hint="eastAsia" w:ascii="仿宋" w:hAnsi="仿宋" w:eastAsia="仿宋" w:cs="仿宋"/>
          <w:b/>
          <w:color w:val="auto"/>
          <w:sz w:val="18"/>
          <w:szCs w:val="18"/>
          <w:highlight w:val="none"/>
        </w:rPr>
        <w:t>2、此确认表作为向公司申报款项支付审批单的附件。</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9"/>
        <w:gridCol w:w="1403"/>
        <w:gridCol w:w="1056"/>
        <w:gridCol w:w="1056"/>
        <w:gridCol w:w="1484"/>
        <w:gridCol w:w="1907"/>
        <w:gridCol w:w="1056"/>
        <w:gridCol w:w="1082"/>
      </w:tblGrid>
      <w:tr w14:paraId="6E60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14:paraId="131F7588">
            <w:pPr>
              <w:keepNext w:val="0"/>
              <w:keepLines w:val="0"/>
              <w:pageBreakBefore w:val="0"/>
              <w:widowControl/>
              <w:suppressLineNumbers w:val="0"/>
              <w:wordWrap/>
              <w:topLinePunct w:val="0"/>
              <w:bidi w:val="0"/>
              <w:adjustRightInd w:val="0"/>
              <w:snapToGrid w:val="0"/>
              <w:spacing w:line="360" w:lineRule="auto"/>
              <w:jc w:val="right"/>
              <w:textAlignment w:val="center"/>
              <w:rPr>
                <w:rFonts w:hint="eastAsia" w:ascii="仿宋" w:hAnsi="仿宋" w:eastAsia="仿宋" w:cs="仿宋"/>
                <w:b/>
                <w:bCs/>
                <w:i w:val="0"/>
                <w:iCs w:val="0"/>
                <w:color w:val="auto"/>
                <w:kern w:val="0"/>
                <w:sz w:val="44"/>
                <w:szCs w:val="44"/>
                <w:highlight w:val="none"/>
                <w:u w:val="none"/>
                <w:lang w:val="en-US" w:eastAsia="zh-CN" w:bidi="ar"/>
              </w:rPr>
            </w:pPr>
            <w:r>
              <w:rPr>
                <w:rFonts w:hint="eastAsia" w:ascii="仿宋" w:hAnsi="仿宋" w:eastAsia="仿宋" w:cs="仿宋"/>
                <w:b/>
                <w:bCs/>
                <w:i w:val="0"/>
                <w:iCs w:val="0"/>
                <w:color w:val="auto"/>
                <w:kern w:val="0"/>
                <w:sz w:val="36"/>
                <w:szCs w:val="36"/>
                <w:highlight w:val="none"/>
                <w:u w:val="none"/>
                <w:lang w:val="en-US" w:eastAsia="zh-CN" w:bidi="ar"/>
              </w:rPr>
              <w:t>附件四</w:t>
            </w:r>
          </w:p>
          <w:p w14:paraId="714137EF">
            <w:pPr>
              <w:keepNext w:val="0"/>
              <w:keepLines w:val="0"/>
              <w:pageBreakBefore w:val="0"/>
              <w:widowControl/>
              <w:suppressLineNumbers w:val="0"/>
              <w:wordWrap/>
              <w:topLinePunct w:val="0"/>
              <w:bidi w:val="0"/>
              <w:adjustRightInd w:val="0"/>
              <w:snapToGrid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bidi="ar"/>
              </w:rPr>
              <w:t>款项支付台账</w:t>
            </w:r>
          </w:p>
        </w:tc>
      </w:tr>
      <w:tr w14:paraId="06440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382EA3E3">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项目名称：</w:t>
            </w:r>
          </w:p>
        </w:tc>
      </w:tr>
      <w:tr w14:paraId="45FA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561A7803">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合同名称：</w:t>
            </w:r>
          </w:p>
        </w:tc>
      </w:tr>
      <w:tr w14:paraId="129F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5C5BEE5B">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付款公司名称：东莞市中泰建安工程有限公司</w:t>
            </w:r>
          </w:p>
        </w:tc>
      </w:tr>
      <w:tr w14:paraId="16CCA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20F8607A">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1F2DC1A7">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收/付款日期</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222C10D">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13E17CB">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DC9C9D2">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当期应付金额</w:t>
            </w: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079BE8DB">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30C7091">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D2EE6B9">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付款内容</w:t>
            </w:r>
          </w:p>
        </w:tc>
      </w:tr>
      <w:tr w14:paraId="5029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0C070D8F">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D6FB5B8">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190D2F6">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9831E11">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0023B7C">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041760DC">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1B2E249">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3892FBE">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r>
      <w:tr w14:paraId="504A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17687641">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2CCFEB4">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F742C68">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A2196E8">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44A5CD25">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C616B34">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4E2FF6F">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663B3EE">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r>
      <w:tr w14:paraId="28D3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7BCE9E68">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5B698DCF">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45991FA">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D48D217">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09E0F84">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062386FD">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61044C2">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9A35C8D">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r>
      <w:tr w14:paraId="0265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BF1A215">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238BEC77">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E8FAD97">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B2831BE">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F990494">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70C64F76">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8683140">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B826A9C">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r>
      <w:tr w14:paraId="6FCB8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7DCB7B3B">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63AB8230">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76562CB">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B4DAF8F">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89ADDE8">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47867E4A">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EDE3F62">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7D519036">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r>
      <w:tr w14:paraId="5805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1E760F8A">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8A96380">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279C194">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D34EC3C">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9B6BDB6">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32E6164B">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ED12565">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779658E6">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r>
      <w:tr w14:paraId="47631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2" w:type="pct"/>
            <w:gridSpan w:val="2"/>
            <w:tcBorders>
              <w:top w:val="nil"/>
              <w:left w:val="nil"/>
              <w:bottom w:val="nil"/>
              <w:right w:val="nil"/>
            </w:tcBorders>
            <w:noWrap/>
            <w:vAlign w:val="center"/>
          </w:tcPr>
          <w:p w14:paraId="52262B9D">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制表人：</w:t>
            </w:r>
          </w:p>
        </w:tc>
        <w:tc>
          <w:tcPr>
            <w:tcW w:w="535" w:type="pct"/>
            <w:tcBorders>
              <w:top w:val="nil"/>
              <w:left w:val="nil"/>
              <w:bottom w:val="nil"/>
              <w:right w:val="nil"/>
            </w:tcBorders>
            <w:noWrap/>
            <w:vAlign w:val="center"/>
          </w:tcPr>
          <w:p w14:paraId="653CA037">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156E18B">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011AEE4B">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CCEC3F0">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制表日期：</w:t>
            </w:r>
          </w:p>
        </w:tc>
        <w:tc>
          <w:tcPr>
            <w:tcW w:w="535" w:type="pct"/>
            <w:tcBorders>
              <w:top w:val="nil"/>
              <w:left w:val="nil"/>
              <w:bottom w:val="nil"/>
              <w:right w:val="nil"/>
            </w:tcBorders>
            <w:noWrap/>
            <w:vAlign w:val="center"/>
          </w:tcPr>
          <w:p w14:paraId="3BFA565E">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1D564743">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r>
      <w:tr w14:paraId="6FE5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2DE34E19">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3D3AB997">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928CB44">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367820C">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EC9C949">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05F80F80">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AE8173B">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5667B9B4">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r>
      <w:tr w14:paraId="5988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5071E3C1">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1E59B060">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C630C1A">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93081A2">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5FA9FCAC">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48AE2FAE">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收款公司名称：</w:t>
            </w:r>
          </w:p>
        </w:tc>
        <w:tc>
          <w:tcPr>
            <w:tcW w:w="535" w:type="pct"/>
            <w:tcBorders>
              <w:top w:val="nil"/>
              <w:left w:val="nil"/>
              <w:bottom w:val="nil"/>
              <w:right w:val="nil"/>
            </w:tcBorders>
            <w:noWrap/>
            <w:vAlign w:val="center"/>
          </w:tcPr>
          <w:p w14:paraId="40923608">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404C89E6">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r>
      <w:tr w14:paraId="7276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0" w:type="pct"/>
            <w:tcBorders>
              <w:top w:val="nil"/>
              <w:left w:val="nil"/>
              <w:bottom w:val="nil"/>
              <w:right w:val="nil"/>
            </w:tcBorders>
            <w:noWrap/>
            <w:vAlign w:val="bottom"/>
          </w:tcPr>
          <w:p w14:paraId="22A3ACC9">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120D3A25">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C547189">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CAD331F">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04101CF2">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D9E785D">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（加盖公章）</w:t>
            </w:r>
          </w:p>
        </w:tc>
        <w:tc>
          <w:tcPr>
            <w:tcW w:w="535" w:type="pct"/>
            <w:tcBorders>
              <w:top w:val="nil"/>
              <w:left w:val="nil"/>
              <w:bottom w:val="nil"/>
              <w:right w:val="nil"/>
            </w:tcBorders>
            <w:noWrap/>
            <w:vAlign w:val="center"/>
          </w:tcPr>
          <w:p w14:paraId="73DA715E">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37D8E325">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r>
      <w:tr w14:paraId="1A43B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center"/>
          </w:tcPr>
          <w:p w14:paraId="6CCDCB8E">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45A80603">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85CF56D">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76AB643B">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6DA7105">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081FCEC8">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收款公司负责人：</w:t>
            </w:r>
          </w:p>
        </w:tc>
        <w:tc>
          <w:tcPr>
            <w:tcW w:w="535" w:type="pct"/>
            <w:tcBorders>
              <w:top w:val="nil"/>
              <w:left w:val="nil"/>
              <w:bottom w:val="nil"/>
              <w:right w:val="nil"/>
            </w:tcBorders>
            <w:noWrap/>
            <w:vAlign w:val="center"/>
          </w:tcPr>
          <w:p w14:paraId="3B620FF1">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B878BEF">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r>
      <w:tr w14:paraId="7ABD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0" w:type="pct"/>
            <w:tcBorders>
              <w:top w:val="nil"/>
              <w:left w:val="nil"/>
              <w:bottom w:val="nil"/>
              <w:right w:val="nil"/>
            </w:tcBorders>
            <w:noWrap/>
            <w:vAlign w:val="center"/>
          </w:tcPr>
          <w:p w14:paraId="5AC15D8F">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427C7D81">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8E325F9">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D73F4B0">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5B8A5618">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298BFF34">
            <w:pPr>
              <w:keepNext w:val="0"/>
              <w:keepLines w:val="0"/>
              <w:pageBreakBefore w:val="0"/>
              <w:widowControl/>
              <w:suppressLineNumbers w:val="0"/>
              <w:wordWrap/>
              <w:topLinePunct w:val="0"/>
              <w:bidi w:val="0"/>
              <w:adjustRightInd w:val="0"/>
              <w:snapToGrid w:val="0"/>
              <w:spacing w:line="360" w:lineRule="auto"/>
              <w:jc w:val="both"/>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（签名）</w:t>
            </w:r>
          </w:p>
        </w:tc>
        <w:tc>
          <w:tcPr>
            <w:tcW w:w="535" w:type="pct"/>
            <w:tcBorders>
              <w:top w:val="nil"/>
              <w:left w:val="nil"/>
              <w:bottom w:val="nil"/>
              <w:right w:val="nil"/>
            </w:tcBorders>
            <w:noWrap/>
            <w:vAlign w:val="center"/>
          </w:tcPr>
          <w:p w14:paraId="69BA1523">
            <w:pPr>
              <w:pageBreakBefore w:val="0"/>
              <w:wordWrap/>
              <w:topLinePunct w:val="0"/>
              <w:bidi w:val="0"/>
              <w:adjustRightInd w:val="0"/>
              <w:snapToGrid w:val="0"/>
              <w:spacing w:line="360" w:lineRule="auto"/>
              <w:jc w:val="both"/>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31B721BA">
            <w:pPr>
              <w:pageBreakBefore w:val="0"/>
              <w:wordWrap/>
              <w:topLinePunct w:val="0"/>
              <w:bidi w:val="0"/>
              <w:adjustRightInd w:val="0"/>
              <w:snapToGrid w:val="0"/>
              <w:spacing w:line="360" w:lineRule="auto"/>
              <w:rPr>
                <w:rFonts w:hint="eastAsia" w:ascii="仿宋" w:hAnsi="仿宋" w:eastAsia="仿宋" w:cs="仿宋"/>
                <w:i w:val="0"/>
                <w:iCs w:val="0"/>
                <w:color w:val="auto"/>
                <w:sz w:val="22"/>
                <w:szCs w:val="22"/>
                <w:highlight w:val="none"/>
                <w:u w:val="none"/>
              </w:rPr>
            </w:pPr>
          </w:p>
        </w:tc>
      </w:tr>
    </w:tbl>
    <w:p w14:paraId="7C823414">
      <w:pPr>
        <w:pageBreakBefore w:val="0"/>
        <w:wordWrap/>
        <w:topLinePunct w:val="0"/>
        <w:bidi w:val="0"/>
        <w:adjustRightInd w:val="0"/>
        <w:snapToGrid w:val="0"/>
        <w:spacing w:line="360" w:lineRule="auto"/>
        <w:jc w:val="both"/>
        <w:rPr>
          <w:rFonts w:hint="eastAsia" w:ascii="仿宋" w:hAnsi="仿宋" w:eastAsia="仿宋" w:cs="仿宋"/>
          <w:b/>
          <w:bCs/>
          <w:color w:val="auto"/>
          <w:sz w:val="44"/>
          <w:szCs w:val="44"/>
          <w:highlight w:val="none"/>
          <w:lang w:val="en-US" w:eastAsia="zh-CN"/>
        </w:rPr>
      </w:pPr>
    </w:p>
    <w:p w14:paraId="4AA8C0E7">
      <w:pPr>
        <w:pageBreakBefore w:val="0"/>
        <w:wordWrap/>
        <w:topLinePunct w:val="0"/>
        <w:bidi w:val="0"/>
        <w:adjustRightInd w:val="0"/>
        <w:snapToGrid w:val="0"/>
        <w:spacing w:line="360" w:lineRule="auto"/>
        <w:jc w:val="both"/>
        <w:rPr>
          <w:rFonts w:hint="eastAsia" w:ascii="仿宋" w:hAnsi="仿宋" w:eastAsia="仿宋" w:cs="仿宋"/>
          <w:b/>
          <w:bCs/>
          <w:color w:val="auto"/>
          <w:sz w:val="44"/>
          <w:szCs w:val="44"/>
          <w:highlight w:val="none"/>
          <w:lang w:val="en-US" w:eastAsia="zh-CN"/>
        </w:rPr>
        <w:sectPr>
          <w:type w:val="continuous"/>
          <w:pgSz w:w="11906" w:h="16838"/>
          <w:pgMar w:top="1361" w:right="1134" w:bottom="1247" w:left="1134" w:header="737" w:footer="624" w:gutter="0"/>
          <w:pgBorders>
            <w:top w:val="none" w:sz="0" w:space="0"/>
            <w:left w:val="none" w:sz="0" w:space="0"/>
            <w:bottom w:val="none" w:sz="0" w:space="0"/>
            <w:right w:val="none" w:sz="0" w:space="0"/>
          </w:pgBorders>
          <w:lnNumType w:countBy="0" w:restart="continuous"/>
          <w:pgNumType w:fmt="decimal"/>
          <w:cols w:space="720" w:num="1"/>
          <w:rtlGutter w:val="0"/>
          <w:docGrid w:type="lines" w:linePitch="312" w:charSpace="0"/>
        </w:sectPr>
      </w:pPr>
    </w:p>
    <w:p w14:paraId="25A981F1">
      <w:pPr>
        <w:adjustRightInd w:val="0"/>
        <w:snapToGrid w:val="0"/>
        <w:spacing w:before="63" w:line="360" w:lineRule="auto"/>
        <w:jc w:val="right"/>
        <w:outlineLvl w:val="0"/>
        <w:rPr>
          <w:rFonts w:hint="eastAsia" w:ascii="仿宋" w:hAnsi="仿宋" w:eastAsia="仿宋" w:cs="仿宋"/>
          <w:color w:val="auto"/>
          <w:sz w:val="24"/>
          <w:szCs w:val="32"/>
          <w:highlight w:val="none"/>
        </w:rPr>
      </w:pPr>
      <w:bookmarkStart w:id="43" w:name="_Toc19390"/>
      <w:r>
        <w:rPr>
          <w:rFonts w:hint="eastAsia" w:ascii="仿宋" w:hAnsi="仿宋" w:eastAsia="仿宋" w:cs="仿宋"/>
          <w:color w:val="auto"/>
          <w:spacing w:val="-13"/>
          <w:sz w:val="36"/>
          <w:szCs w:val="36"/>
          <w:highlight w:val="none"/>
          <w14:textOutline w14:w="5803" w14:cap="flat" w14:cmpd="sng">
            <w14:solidFill>
              <w14:srgbClr w14:val="000000"/>
            </w14:solidFill>
            <w14:prstDash w14:val="solid"/>
            <w14:miter w14:val="0"/>
          </w14:textOutline>
        </w:rPr>
        <w:t>附件五</w:t>
      </w:r>
      <w:bookmarkEnd w:id="43"/>
    </w:p>
    <w:p w14:paraId="2A7911BC">
      <w:pPr>
        <w:pStyle w:val="3"/>
        <w:tabs>
          <w:tab w:val="left" w:pos="5740"/>
        </w:tabs>
        <w:spacing w:before="111" w:line="184" w:lineRule="auto"/>
        <w:ind w:left="4625"/>
        <w:outlineLvl w:val="0"/>
        <w:rPr>
          <w:rFonts w:hint="eastAsia" w:ascii="宋体" w:hAnsi="宋体" w:eastAsia="宋体" w:cs="宋体"/>
          <w:b/>
          <w:bCs/>
          <w:color w:val="auto"/>
          <w:sz w:val="44"/>
          <w:szCs w:val="40"/>
          <w:highlight w:val="none"/>
          <w:lang w:val="en-US" w:eastAsia="zh-CN"/>
        </w:rPr>
      </w:pPr>
      <w:r>
        <w:rPr>
          <w:rFonts w:hint="eastAsia" w:ascii="宋体" w:hAnsi="宋体" w:eastAsia="宋体" w:cs="宋体"/>
          <w:color w:val="auto"/>
          <w:sz w:val="32"/>
          <w:szCs w:val="32"/>
          <w:u w:val="single" w:color="auto"/>
        </w:rPr>
        <w:tab/>
      </w:r>
      <w:r>
        <w:rPr>
          <w:rFonts w:hint="eastAsia" w:ascii="宋体" w:hAnsi="宋体" w:eastAsia="宋体" w:cs="宋体"/>
          <w:color w:val="auto"/>
          <w:sz w:val="32"/>
          <w:szCs w:val="32"/>
          <w:u w:val="single" w:color="auto"/>
          <w:lang w:val="en-US" w:eastAsia="zh-CN"/>
        </w:rPr>
        <w:t xml:space="preserve">     </w:t>
      </w:r>
      <w:bookmarkStart w:id="44" w:name="_Toc9861"/>
      <w:r>
        <w:rPr>
          <w:rFonts w:hint="eastAsia" w:ascii="宋体" w:hAnsi="宋体" w:eastAsia="宋体" w:cs="宋体"/>
          <w:b/>
          <w:bCs/>
          <w:color w:val="auto"/>
          <w:sz w:val="32"/>
          <w:szCs w:val="32"/>
        </w:rPr>
        <w:t>有限公司</w:t>
      </w:r>
      <w:r>
        <w:rPr>
          <w:rFonts w:hint="eastAsia" w:ascii="宋体" w:hAnsi="宋体" w:eastAsia="宋体" w:cs="宋体"/>
          <w:b/>
          <w:bCs/>
          <w:color w:val="auto"/>
          <w:sz w:val="32"/>
          <w:szCs w:val="32"/>
          <w:u w:val="single" w:color="auto"/>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pacing w:val="4"/>
          <w:sz w:val="32"/>
          <w:szCs w:val="32"/>
          <w:u w:val="single" w:color="auto"/>
        </w:rPr>
        <w:t xml:space="preserve">   </w:t>
      </w:r>
      <w:r>
        <w:rPr>
          <w:rFonts w:hint="eastAsia" w:ascii="宋体" w:hAnsi="宋体" w:eastAsia="宋体" w:cs="宋体"/>
          <w:b/>
          <w:bCs/>
          <w:color w:val="auto"/>
          <w:spacing w:val="-72"/>
          <w:sz w:val="32"/>
          <w:szCs w:val="32"/>
        </w:rPr>
        <w:t xml:space="preserve"> </w:t>
      </w:r>
      <w:r>
        <w:rPr>
          <w:rFonts w:hint="eastAsia" w:ascii="宋体" w:hAnsi="宋体" w:eastAsia="宋体" w:cs="宋体"/>
          <w:b/>
          <w:bCs/>
          <w:color w:val="auto"/>
          <w:sz w:val="32"/>
          <w:szCs w:val="32"/>
        </w:rPr>
        <w:t>月对账单</w:t>
      </w:r>
      <w:bookmarkEnd w:id="44"/>
    </w:p>
    <w:p w14:paraId="6EF86068">
      <w:pPr>
        <w:rPr>
          <w:rFonts w:hint="default"/>
          <w:color w:val="auto"/>
          <w:lang w:val="en-US" w:eastAsia="zh-CN"/>
        </w:rPr>
      </w:pPr>
    </w:p>
    <w:p w14:paraId="0CA90CA5">
      <w:pPr>
        <w:pStyle w:val="3"/>
        <w:spacing w:before="35" w:line="309" w:lineRule="exact"/>
        <w:ind w:left="0"/>
        <w:rPr>
          <w:rFonts w:hint="eastAsia" w:ascii="宋体" w:hAnsi="宋体" w:eastAsia="宋体" w:cs="宋体"/>
          <w:color w:val="auto"/>
          <w:spacing w:val="8"/>
          <w:position w:val="10"/>
          <w:sz w:val="20"/>
          <w:szCs w:val="20"/>
        </w:rPr>
      </w:pPr>
      <w:r>
        <w:rPr>
          <w:rFonts w:hint="eastAsia" w:ascii="宋体" w:hAnsi="宋体" w:eastAsia="宋体" w:cs="宋体"/>
          <w:color w:val="auto"/>
          <w:spacing w:val="8"/>
          <w:position w:val="10"/>
          <w:sz w:val="20"/>
          <w:szCs w:val="20"/>
        </w:rPr>
        <w:t>项目名称：</w:t>
      </w:r>
    </w:p>
    <w:p w14:paraId="2F960E47">
      <w:pPr>
        <w:rPr>
          <w:rFonts w:hint="eastAsia" w:ascii="宋体" w:hAnsi="宋体" w:eastAsia="宋体" w:cs="宋体"/>
          <w:color w:val="auto"/>
          <w:spacing w:val="8"/>
          <w:position w:val="10"/>
          <w:sz w:val="20"/>
          <w:szCs w:val="20"/>
        </w:rPr>
      </w:pPr>
      <w:r>
        <w:rPr>
          <w:rFonts w:hint="eastAsia" w:ascii="宋体" w:hAnsi="宋体" w:eastAsia="宋体" w:cs="宋体"/>
          <w:color w:val="auto"/>
          <w:spacing w:val="8"/>
          <w:position w:val="10"/>
          <w:sz w:val="20"/>
          <w:szCs w:val="20"/>
        </w:rPr>
        <w:t>收货单位：</w:t>
      </w:r>
    </w:p>
    <w:tbl>
      <w:tblPr>
        <w:tblStyle w:val="1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19"/>
        <w:gridCol w:w="1616"/>
        <w:gridCol w:w="1622"/>
        <w:gridCol w:w="1619"/>
        <w:gridCol w:w="1625"/>
        <w:gridCol w:w="1522"/>
        <w:gridCol w:w="740"/>
        <w:gridCol w:w="1540"/>
        <w:gridCol w:w="764"/>
        <w:gridCol w:w="770"/>
        <w:gridCol w:w="764"/>
        <w:gridCol w:w="770"/>
        <w:gridCol w:w="770"/>
      </w:tblGrid>
      <w:tr w14:paraId="21826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336" w:type="pct"/>
            <w:vAlign w:val="top"/>
          </w:tcPr>
          <w:p w14:paraId="5FA8FDD2">
            <w:pPr>
              <w:adjustRightInd w:val="0"/>
              <w:snapToGrid w:val="0"/>
              <w:spacing w:before="154" w:line="240" w:lineRule="auto"/>
              <w:ind w:left="124"/>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533" w:type="pct"/>
            <w:vAlign w:val="top"/>
          </w:tcPr>
          <w:p w14:paraId="7014A665">
            <w:pPr>
              <w:adjustRightInd w:val="0"/>
              <w:snapToGrid w:val="0"/>
              <w:spacing w:before="154" w:line="240" w:lineRule="auto"/>
              <w:ind w:left="38"/>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535" w:type="pct"/>
            <w:vAlign w:val="top"/>
          </w:tcPr>
          <w:p w14:paraId="2C016349">
            <w:pPr>
              <w:adjustRightInd w:val="0"/>
              <w:snapToGrid w:val="0"/>
              <w:spacing w:before="154" w:line="240" w:lineRule="auto"/>
              <w:ind w:left="41"/>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534" w:type="pct"/>
            <w:vAlign w:val="top"/>
          </w:tcPr>
          <w:p w14:paraId="0D0C20CA">
            <w:pPr>
              <w:adjustRightInd w:val="0"/>
              <w:snapToGrid w:val="0"/>
              <w:spacing w:before="154" w:line="240" w:lineRule="auto"/>
              <w:ind w:left="4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536" w:type="pct"/>
            <w:vAlign w:val="top"/>
          </w:tcPr>
          <w:p w14:paraId="7E5E2DC6">
            <w:pPr>
              <w:adjustRightInd w:val="0"/>
              <w:snapToGrid w:val="0"/>
              <w:spacing w:before="154" w:line="240" w:lineRule="auto"/>
              <w:ind w:left="43"/>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502" w:type="pct"/>
            <w:vAlign w:val="top"/>
          </w:tcPr>
          <w:p w14:paraId="55BF8F03">
            <w:pPr>
              <w:adjustRightInd w:val="0"/>
              <w:snapToGrid w:val="0"/>
              <w:spacing w:before="156" w:line="240" w:lineRule="auto"/>
              <w:ind w:firstLine="0" w:firstLineChars="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244" w:type="pct"/>
            <w:vAlign w:val="top"/>
          </w:tcPr>
          <w:p w14:paraId="73348711">
            <w:pPr>
              <w:adjustRightInd w:val="0"/>
              <w:snapToGrid w:val="0"/>
              <w:spacing w:before="154" w:line="240"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508" w:type="pct"/>
            <w:vAlign w:val="top"/>
          </w:tcPr>
          <w:p w14:paraId="0DE5E9E0">
            <w:pPr>
              <w:adjustRightInd w:val="0"/>
              <w:snapToGrid w:val="0"/>
              <w:spacing w:before="154" w:line="24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252" w:type="pct"/>
            <w:vAlign w:val="top"/>
          </w:tcPr>
          <w:p w14:paraId="10A75900">
            <w:pPr>
              <w:adjustRightInd w:val="0"/>
              <w:snapToGrid w:val="0"/>
              <w:spacing w:before="154" w:line="24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254" w:type="pct"/>
            <w:vAlign w:val="top"/>
          </w:tcPr>
          <w:p w14:paraId="4ADB2081">
            <w:pPr>
              <w:adjustRightInd w:val="0"/>
              <w:snapToGrid w:val="0"/>
              <w:spacing w:before="156" w:line="24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252" w:type="pct"/>
            <w:vAlign w:val="top"/>
          </w:tcPr>
          <w:p w14:paraId="046A5A82">
            <w:pPr>
              <w:adjustRightInd w:val="0"/>
              <w:snapToGrid w:val="0"/>
              <w:spacing w:before="154" w:line="24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254" w:type="pct"/>
            <w:vAlign w:val="top"/>
          </w:tcPr>
          <w:p w14:paraId="289877A1">
            <w:pPr>
              <w:adjustRightInd w:val="0"/>
              <w:snapToGrid w:val="0"/>
              <w:spacing w:before="156" w:line="24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254" w:type="pct"/>
            <w:vAlign w:val="top"/>
          </w:tcPr>
          <w:p w14:paraId="3A65F0A8">
            <w:pPr>
              <w:adjustRightInd w:val="0"/>
              <w:snapToGrid w:val="0"/>
              <w:spacing w:before="154" w:line="24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65CA2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336" w:type="pct"/>
            <w:vAlign w:val="top"/>
          </w:tcPr>
          <w:p w14:paraId="10D7B6BD">
            <w:pPr>
              <w:spacing w:before="163" w:line="24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533" w:type="pct"/>
            <w:vAlign w:val="top"/>
          </w:tcPr>
          <w:p w14:paraId="1D749177">
            <w:pPr>
              <w:pStyle w:val="14"/>
              <w:spacing w:line="240" w:lineRule="auto"/>
              <w:jc w:val="center"/>
              <w:rPr>
                <w:color w:val="auto"/>
                <w:highlight w:val="none"/>
              </w:rPr>
            </w:pPr>
          </w:p>
        </w:tc>
        <w:tc>
          <w:tcPr>
            <w:tcW w:w="535" w:type="pct"/>
            <w:vAlign w:val="top"/>
          </w:tcPr>
          <w:p w14:paraId="4B14EF8E">
            <w:pPr>
              <w:pStyle w:val="14"/>
              <w:spacing w:line="240" w:lineRule="auto"/>
              <w:jc w:val="center"/>
              <w:rPr>
                <w:color w:val="auto"/>
                <w:highlight w:val="none"/>
              </w:rPr>
            </w:pPr>
          </w:p>
        </w:tc>
        <w:tc>
          <w:tcPr>
            <w:tcW w:w="534" w:type="pct"/>
            <w:vAlign w:val="top"/>
          </w:tcPr>
          <w:p w14:paraId="1109023B">
            <w:pPr>
              <w:pStyle w:val="14"/>
              <w:spacing w:line="240" w:lineRule="auto"/>
              <w:jc w:val="center"/>
              <w:rPr>
                <w:color w:val="auto"/>
                <w:highlight w:val="none"/>
              </w:rPr>
            </w:pPr>
          </w:p>
        </w:tc>
        <w:tc>
          <w:tcPr>
            <w:tcW w:w="536" w:type="pct"/>
            <w:vAlign w:val="top"/>
          </w:tcPr>
          <w:p w14:paraId="303A450C">
            <w:pPr>
              <w:pStyle w:val="14"/>
              <w:spacing w:line="240" w:lineRule="auto"/>
              <w:jc w:val="center"/>
              <w:rPr>
                <w:color w:val="auto"/>
                <w:highlight w:val="none"/>
              </w:rPr>
            </w:pPr>
          </w:p>
        </w:tc>
        <w:tc>
          <w:tcPr>
            <w:tcW w:w="502" w:type="pct"/>
            <w:vAlign w:val="top"/>
          </w:tcPr>
          <w:p w14:paraId="502944B2">
            <w:pPr>
              <w:pStyle w:val="14"/>
              <w:spacing w:line="240" w:lineRule="auto"/>
              <w:jc w:val="center"/>
              <w:rPr>
                <w:color w:val="auto"/>
                <w:highlight w:val="none"/>
              </w:rPr>
            </w:pPr>
          </w:p>
        </w:tc>
        <w:tc>
          <w:tcPr>
            <w:tcW w:w="244" w:type="pct"/>
            <w:vAlign w:val="top"/>
          </w:tcPr>
          <w:p w14:paraId="15F83964">
            <w:pPr>
              <w:pStyle w:val="14"/>
              <w:spacing w:line="240" w:lineRule="auto"/>
              <w:jc w:val="center"/>
              <w:rPr>
                <w:color w:val="auto"/>
                <w:highlight w:val="none"/>
              </w:rPr>
            </w:pPr>
          </w:p>
        </w:tc>
        <w:tc>
          <w:tcPr>
            <w:tcW w:w="508" w:type="pct"/>
            <w:vAlign w:val="top"/>
          </w:tcPr>
          <w:p w14:paraId="5DFEE71C">
            <w:pPr>
              <w:pStyle w:val="14"/>
              <w:spacing w:line="240" w:lineRule="auto"/>
              <w:jc w:val="center"/>
              <w:rPr>
                <w:color w:val="auto"/>
                <w:highlight w:val="none"/>
              </w:rPr>
            </w:pPr>
          </w:p>
        </w:tc>
        <w:tc>
          <w:tcPr>
            <w:tcW w:w="252" w:type="pct"/>
            <w:vAlign w:val="top"/>
          </w:tcPr>
          <w:p w14:paraId="4DD7D386">
            <w:pPr>
              <w:pStyle w:val="14"/>
              <w:spacing w:line="240" w:lineRule="auto"/>
              <w:jc w:val="center"/>
              <w:rPr>
                <w:color w:val="auto"/>
                <w:highlight w:val="none"/>
              </w:rPr>
            </w:pPr>
          </w:p>
        </w:tc>
        <w:tc>
          <w:tcPr>
            <w:tcW w:w="254" w:type="pct"/>
            <w:vAlign w:val="top"/>
          </w:tcPr>
          <w:p w14:paraId="56964585">
            <w:pPr>
              <w:pStyle w:val="14"/>
              <w:spacing w:line="240" w:lineRule="auto"/>
              <w:jc w:val="center"/>
              <w:rPr>
                <w:color w:val="auto"/>
                <w:highlight w:val="none"/>
              </w:rPr>
            </w:pPr>
          </w:p>
        </w:tc>
        <w:tc>
          <w:tcPr>
            <w:tcW w:w="252" w:type="pct"/>
            <w:vAlign w:val="top"/>
          </w:tcPr>
          <w:p w14:paraId="43A645C9">
            <w:pPr>
              <w:pStyle w:val="14"/>
              <w:spacing w:line="240" w:lineRule="auto"/>
              <w:jc w:val="center"/>
              <w:rPr>
                <w:color w:val="auto"/>
                <w:highlight w:val="none"/>
              </w:rPr>
            </w:pPr>
          </w:p>
        </w:tc>
        <w:tc>
          <w:tcPr>
            <w:tcW w:w="254" w:type="pct"/>
            <w:vAlign w:val="top"/>
          </w:tcPr>
          <w:p w14:paraId="22A5AE30">
            <w:pPr>
              <w:pStyle w:val="14"/>
              <w:spacing w:line="240" w:lineRule="auto"/>
              <w:jc w:val="center"/>
              <w:rPr>
                <w:color w:val="auto"/>
                <w:highlight w:val="none"/>
              </w:rPr>
            </w:pPr>
          </w:p>
        </w:tc>
        <w:tc>
          <w:tcPr>
            <w:tcW w:w="254" w:type="pct"/>
            <w:vAlign w:val="top"/>
          </w:tcPr>
          <w:p w14:paraId="2130F05E">
            <w:pPr>
              <w:pStyle w:val="14"/>
              <w:spacing w:line="240" w:lineRule="auto"/>
              <w:jc w:val="center"/>
              <w:rPr>
                <w:color w:val="auto"/>
                <w:highlight w:val="none"/>
              </w:rPr>
            </w:pPr>
          </w:p>
        </w:tc>
      </w:tr>
      <w:tr w14:paraId="394CA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336" w:type="pct"/>
            <w:vAlign w:val="top"/>
          </w:tcPr>
          <w:p w14:paraId="7466BA59">
            <w:pPr>
              <w:spacing w:before="164" w:line="24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533" w:type="pct"/>
            <w:vAlign w:val="top"/>
          </w:tcPr>
          <w:p w14:paraId="32F7DF78">
            <w:pPr>
              <w:pStyle w:val="14"/>
              <w:spacing w:line="240" w:lineRule="auto"/>
              <w:jc w:val="center"/>
              <w:rPr>
                <w:color w:val="auto"/>
                <w:highlight w:val="none"/>
              </w:rPr>
            </w:pPr>
          </w:p>
        </w:tc>
        <w:tc>
          <w:tcPr>
            <w:tcW w:w="535" w:type="pct"/>
            <w:vAlign w:val="top"/>
          </w:tcPr>
          <w:p w14:paraId="2884C0B2">
            <w:pPr>
              <w:pStyle w:val="14"/>
              <w:spacing w:line="240" w:lineRule="auto"/>
              <w:jc w:val="center"/>
              <w:rPr>
                <w:color w:val="auto"/>
                <w:highlight w:val="none"/>
              </w:rPr>
            </w:pPr>
          </w:p>
        </w:tc>
        <w:tc>
          <w:tcPr>
            <w:tcW w:w="534" w:type="pct"/>
            <w:vAlign w:val="top"/>
          </w:tcPr>
          <w:p w14:paraId="1BD3271D">
            <w:pPr>
              <w:pStyle w:val="14"/>
              <w:spacing w:line="240" w:lineRule="auto"/>
              <w:jc w:val="center"/>
              <w:rPr>
                <w:color w:val="auto"/>
                <w:highlight w:val="none"/>
              </w:rPr>
            </w:pPr>
          </w:p>
        </w:tc>
        <w:tc>
          <w:tcPr>
            <w:tcW w:w="536" w:type="pct"/>
            <w:vAlign w:val="top"/>
          </w:tcPr>
          <w:p w14:paraId="4CC0E2DA">
            <w:pPr>
              <w:pStyle w:val="14"/>
              <w:spacing w:line="240" w:lineRule="auto"/>
              <w:jc w:val="center"/>
              <w:rPr>
                <w:color w:val="auto"/>
                <w:highlight w:val="none"/>
              </w:rPr>
            </w:pPr>
          </w:p>
        </w:tc>
        <w:tc>
          <w:tcPr>
            <w:tcW w:w="502" w:type="pct"/>
            <w:vAlign w:val="top"/>
          </w:tcPr>
          <w:p w14:paraId="7916C12B">
            <w:pPr>
              <w:pStyle w:val="14"/>
              <w:spacing w:line="240" w:lineRule="auto"/>
              <w:jc w:val="center"/>
              <w:rPr>
                <w:color w:val="auto"/>
                <w:highlight w:val="none"/>
              </w:rPr>
            </w:pPr>
          </w:p>
        </w:tc>
        <w:tc>
          <w:tcPr>
            <w:tcW w:w="244" w:type="pct"/>
            <w:vAlign w:val="top"/>
          </w:tcPr>
          <w:p w14:paraId="5B7F18DC">
            <w:pPr>
              <w:pStyle w:val="14"/>
              <w:spacing w:line="240" w:lineRule="auto"/>
              <w:jc w:val="center"/>
              <w:rPr>
                <w:color w:val="auto"/>
                <w:highlight w:val="none"/>
              </w:rPr>
            </w:pPr>
          </w:p>
        </w:tc>
        <w:tc>
          <w:tcPr>
            <w:tcW w:w="508" w:type="pct"/>
            <w:vAlign w:val="top"/>
          </w:tcPr>
          <w:p w14:paraId="5E5980BB">
            <w:pPr>
              <w:pStyle w:val="14"/>
              <w:spacing w:line="240" w:lineRule="auto"/>
              <w:jc w:val="center"/>
              <w:rPr>
                <w:color w:val="auto"/>
                <w:highlight w:val="none"/>
              </w:rPr>
            </w:pPr>
          </w:p>
        </w:tc>
        <w:tc>
          <w:tcPr>
            <w:tcW w:w="252" w:type="pct"/>
            <w:vAlign w:val="top"/>
          </w:tcPr>
          <w:p w14:paraId="29BE152A">
            <w:pPr>
              <w:pStyle w:val="14"/>
              <w:spacing w:line="240" w:lineRule="auto"/>
              <w:jc w:val="center"/>
              <w:rPr>
                <w:color w:val="auto"/>
                <w:highlight w:val="none"/>
              </w:rPr>
            </w:pPr>
          </w:p>
        </w:tc>
        <w:tc>
          <w:tcPr>
            <w:tcW w:w="254" w:type="pct"/>
            <w:vAlign w:val="top"/>
          </w:tcPr>
          <w:p w14:paraId="3D2D9EDE">
            <w:pPr>
              <w:pStyle w:val="14"/>
              <w:spacing w:line="240" w:lineRule="auto"/>
              <w:jc w:val="center"/>
              <w:rPr>
                <w:color w:val="auto"/>
                <w:highlight w:val="none"/>
              </w:rPr>
            </w:pPr>
          </w:p>
        </w:tc>
        <w:tc>
          <w:tcPr>
            <w:tcW w:w="252" w:type="pct"/>
            <w:vAlign w:val="top"/>
          </w:tcPr>
          <w:p w14:paraId="3549EB5E">
            <w:pPr>
              <w:pStyle w:val="14"/>
              <w:spacing w:line="240" w:lineRule="auto"/>
              <w:jc w:val="center"/>
              <w:rPr>
                <w:color w:val="auto"/>
                <w:highlight w:val="none"/>
              </w:rPr>
            </w:pPr>
          </w:p>
        </w:tc>
        <w:tc>
          <w:tcPr>
            <w:tcW w:w="254" w:type="pct"/>
            <w:vAlign w:val="top"/>
          </w:tcPr>
          <w:p w14:paraId="24BAC764">
            <w:pPr>
              <w:pStyle w:val="14"/>
              <w:spacing w:line="240" w:lineRule="auto"/>
              <w:jc w:val="center"/>
              <w:rPr>
                <w:color w:val="auto"/>
                <w:highlight w:val="none"/>
              </w:rPr>
            </w:pPr>
          </w:p>
        </w:tc>
        <w:tc>
          <w:tcPr>
            <w:tcW w:w="254" w:type="pct"/>
            <w:vAlign w:val="top"/>
          </w:tcPr>
          <w:p w14:paraId="498F4315">
            <w:pPr>
              <w:pStyle w:val="14"/>
              <w:spacing w:line="240" w:lineRule="auto"/>
              <w:jc w:val="center"/>
              <w:rPr>
                <w:color w:val="auto"/>
                <w:highlight w:val="none"/>
              </w:rPr>
            </w:pPr>
          </w:p>
        </w:tc>
      </w:tr>
      <w:tr w14:paraId="2E051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336" w:type="pct"/>
            <w:vAlign w:val="top"/>
          </w:tcPr>
          <w:p w14:paraId="4AC948B8">
            <w:pPr>
              <w:spacing w:before="165" w:line="24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533" w:type="pct"/>
            <w:vAlign w:val="top"/>
          </w:tcPr>
          <w:p w14:paraId="5C58F681">
            <w:pPr>
              <w:pStyle w:val="14"/>
              <w:spacing w:line="240" w:lineRule="auto"/>
              <w:jc w:val="center"/>
              <w:rPr>
                <w:color w:val="auto"/>
                <w:highlight w:val="none"/>
              </w:rPr>
            </w:pPr>
          </w:p>
        </w:tc>
        <w:tc>
          <w:tcPr>
            <w:tcW w:w="535" w:type="pct"/>
            <w:vAlign w:val="top"/>
          </w:tcPr>
          <w:p w14:paraId="422DDFA3">
            <w:pPr>
              <w:pStyle w:val="14"/>
              <w:spacing w:line="240" w:lineRule="auto"/>
              <w:jc w:val="center"/>
              <w:rPr>
                <w:color w:val="auto"/>
                <w:highlight w:val="none"/>
              </w:rPr>
            </w:pPr>
          </w:p>
        </w:tc>
        <w:tc>
          <w:tcPr>
            <w:tcW w:w="534" w:type="pct"/>
            <w:vAlign w:val="top"/>
          </w:tcPr>
          <w:p w14:paraId="22EC997E">
            <w:pPr>
              <w:pStyle w:val="14"/>
              <w:spacing w:line="240" w:lineRule="auto"/>
              <w:jc w:val="center"/>
              <w:rPr>
                <w:color w:val="auto"/>
                <w:highlight w:val="none"/>
              </w:rPr>
            </w:pPr>
          </w:p>
        </w:tc>
        <w:tc>
          <w:tcPr>
            <w:tcW w:w="536" w:type="pct"/>
            <w:vAlign w:val="top"/>
          </w:tcPr>
          <w:p w14:paraId="4F9F93DD">
            <w:pPr>
              <w:pStyle w:val="14"/>
              <w:spacing w:line="240" w:lineRule="auto"/>
              <w:jc w:val="center"/>
              <w:rPr>
                <w:color w:val="auto"/>
                <w:highlight w:val="none"/>
              </w:rPr>
            </w:pPr>
          </w:p>
        </w:tc>
        <w:tc>
          <w:tcPr>
            <w:tcW w:w="502" w:type="pct"/>
            <w:vAlign w:val="top"/>
          </w:tcPr>
          <w:p w14:paraId="2E8C8207">
            <w:pPr>
              <w:pStyle w:val="14"/>
              <w:spacing w:line="240" w:lineRule="auto"/>
              <w:jc w:val="center"/>
              <w:rPr>
                <w:color w:val="auto"/>
                <w:highlight w:val="none"/>
              </w:rPr>
            </w:pPr>
          </w:p>
        </w:tc>
        <w:tc>
          <w:tcPr>
            <w:tcW w:w="244" w:type="pct"/>
            <w:vAlign w:val="top"/>
          </w:tcPr>
          <w:p w14:paraId="0A4CF0DF">
            <w:pPr>
              <w:pStyle w:val="14"/>
              <w:spacing w:line="240" w:lineRule="auto"/>
              <w:jc w:val="center"/>
              <w:rPr>
                <w:color w:val="auto"/>
                <w:highlight w:val="none"/>
              </w:rPr>
            </w:pPr>
          </w:p>
        </w:tc>
        <w:tc>
          <w:tcPr>
            <w:tcW w:w="508" w:type="pct"/>
            <w:vAlign w:val="top"/>
          </w:tcPr>
          <w:p w14:paraId="1E37D630">
            <w:pPr>
              <w:pStyle w:val="14"/>
              <w:spacing w:line="240" w:lineRule="auto"/>
              <w:jc w:val="center"/>
              <w:rPr>
                <w:color w:val="auto"/>
                <w:highlight w:val="none"/>
              </w:rPr>
            </w:pPr>
          </w:p>
        </w:tc>
        <w:tc>
          <w:tcPr>
            <w:tcW w:w="252" w:type="pct"/>
            <w:vAlign w:val="top"/>
          </w:tcPr>
          <w:p w14:paraId="2727E14A">
            <w:pPr>
              <w:pStyle w:val="14"/>
              <w:spacing w:line="240" w:lineRule="auto"/>
              <w:jc w:val="center"/>
              <w:rPr>
                <w:color w:val="auto"/>
                <w:highlight w:val="none"/>
              </w:rPr>
            </w:pPr>
          </w:p>
        </w:tc>
        <w:tc>
          <w:tcPr>
            <w:tcW w:w="254" w:type="pct"/>
            <w:vAlign w:val="top"/>
          </w:tcPr>
          <w:p w14:paraId="291C1AB9">
            <w:pPr>
              <w:pStyle w:val="14"/>
              <w:spacing w:line="240" w:lineRule="auto"/>
              <w:jc w:val="center"/>
              <w:rPr>
                <w:color w:val="auto"/>
                <w:highlight w:val="none"/>
              </w:rPr>
            </w:pPr>
          </w:p>
        </w:tc>
        <w:tc>
          <w:tcPr>
            <w:tcW w:w="252" w:type="pct"/>
            <w:vAlign w:val="top"/>
          </w:tcPr>
          <w:p w14:paraId="382C783E">
            <w:pPr>
              <w:pStyle w:val="14"/>
              <w:spacing w:line="240" w:lineRule="auto"/>
              <w:jc w:val="center"/>
              <w:rPr>
                <w:color w:val="auto"/>
                <w:highlight w:val="none"/>
              </w:rPr>
            </w:pPr>
          </w:p>
        </w:tc>
        <w:tc>
          <w:tcPr>
            <w:tcW w:w="254" w:type="pct"/>
            <w:vAlign w:val="top"/>
          </w:tcPr>
          <w:p w14:paraId="1CE979BB">
            <w:pPr>
              <w:pStyle w:val="14"/>
              <w:spacing w:line="240" w:lineRule="auto"/>
              <w:jc w:val="center"/>
              <w:rPr>
                <w:color w:val="auto"/>
                <w:highlight w:val="none"/>
              </w:rPr>
            </w:pPr>
          </w:p>
        </w:tc>
        <w:tc>
          <w:tcPr>
            <w:tcW w:w="254" w:type="pct"/>
            <w:vAlign w:val="top"/>
          </w:tcPr>
          <w:p w14:paraId="54ABD881">
            <w:pPr>
              <w:pStyle w:val="14"/>
              <w:spacing w:line="240" w:lineRule="auto"/>
              <w:jc w:val="center"/>
              <w:rPr>
                <w:color w:val="auto"/>
                <w:highlight w:val="none"/>
              </w:rPr>
            </w:pPr>
          </w:p>
        </w:tc>
      </w:tr>
      <w:tr w14:paraId="26B41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36" w:type="pct"/>
            <w:vAlign w:val="top"/>
          </w:tcPr>
          <w:p w14:paraId="209D70E5">
            <w:pPr>
              <w:spacing w:before="169" w:line="24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533" w:type="pct"/>
            <w:vAlign w:val="top"/>
          </w:tcPr>
          <w:p w14:paraId="687EAFAC">
            <w:pPr>
              <w:pStyle w:val="14"/>
              <w:spacing w:line="240" w:lineRule="auto"/>
              <w:jc w:val="center"/>
              <w:rPr>
                <w:color w:val="auto"/>
                <w:highlight w:val="none"/>
              </w:rPr>
            </w:pPr>
          </w:p>
        </w:tc>
        <w:tc>
          <w:tcPr>
            <w:tcW w:w="535" w:type="pct"/>
            <w:vAlign w:val="top"/>
          </w:tcPr>
          <w:p w14:paraId="5AEBEF67">
            <w:pPr>
              <w:pStyle w:val="14"/>
              <w:spacing w:line="240" w:lineRule="auto"/>
              <w:jc w:val="center"/>
              <w:rPr>
                <w:color w:val="auto"/>
                <w:highlight w:val="none"/>
              </w:rPr>
            </w:pPr>
          </w:p>
        </w:tc>
        <w:tc>
          <w:tcPr>
            <w:tcW w:w="534" w:type="pct"/>
            <w:vAlign w:val="top"/>
          </w:tcPr>
          <w:p w14:paraId="5524D719">
            <w:pPr>
              <w:pStyle w:val="14"/>
              <w:spacing w:line="240" w:lineRule="auto"/>
              <w:jc w:val="center"/>
              <w:rPr>
                <w:color w:val="auto"/>
                <w:highlight w:val="none"/>
              </w:rPr>
            </w:pPr>
          </w:p>
        </w:tc>
        <w:tc>
          <w:tcPr>
            <w:tcW w:w="536" w:type="pct"/>
            <w:vAlign w:val="top"/>
          </w:tcPr>
          <w:p w14:paraId="2E250417">
            <w:pPr>
              <w:pStyle w:val="14"/>
              <w:spacing w:line="240" w:lineRule="auto"/>
              <w:jc w:val="center"/>
              <w:rPr>
                <w:color w:val="auto"/>
                <w:highlight w:val="none"/>
              </w:rPr>
            </w:pPr>
          </w:p>
        </w:tc>
        <w:tc>
          <w:tcPr>
            <w:tcW w:w="502" w:type="pct"/>
            <w:vAlign w:val="top"/>
          </w:tcPr>
          <w:p w14:paraId="3A4BC3BB">
            <w:pPr>
              <w:pStyle w:val="14"/>
              <w:spacing w:line="240" w:lineRule="auto"/>
              <w:jc w:val="center"/>
              <w:rPr>
                <w:color w:val="auto"/>
                <w:highlight w:val="none"/>
              </w:rPr>
            </w:pPr>
          </w:p>
        </w:tc>
        <w:tc>
          <w:tcPr>
            <w:tcW w:w="244" w:type="pct"/>
            <w:vAlign w:val="top"/>
          </w:tcPr>
          <w:p w14:paraId="43191C41">
            <w:pPr>
              <w:pStyle w:val="14"/>
              <w:spacing w:line="240" w:lineRule="auto"/>
              <w:jc w:val="center"/>
              <w:rPr>
                <w:color w:val="auto"/>
                <w:highlight w:val="none"/>
              </w:rPr>
            </w:pPr>
          </w:p>
        </w:tc>
        <w:tc>
          <w:tcPr>
            <w:tcW w:w="508" w:type="pct"/>
            <w:vAlign w:val="top"/>
          </w:tcPr>
          <w:p w14:paraId="77B27C61">
            <w:pPr>
              <w:pStyle w:val="14"/>
              <w:spacing w:line="240" w:lineRule="auto"/>
              <w:jc w:val="center"/>
              <w:rPr>
                <w:color w:val="auto"/>
                <w:highlight w:val="none"/>
              </w:rPr>
            </w:pPr>
          </w:p>
        </w:tc>
        <w:tc>
          <w:tcPr>
            <w:tcW w:w="252" w:type="pct"/>
            <w:vAlign w:val="top"/>
          </w:tcPr>
          <w:p w14:paraId="7C309B39">
            <w:pPr>
              <w:pStyle w:val="14"/>
              <w:spacing w:line="240" w:lineRule="auto"/>
              <w:jc w:val="center"/>
              <w:rPr>
                <w:color w:val="auto"/>
                <w:highlight w:val="none"/>
              </w:rPr>
            </w:pPr>
          </w:p>
        </w:tc>
        <w:tc>
          <w:tcPr>
            <w:tcW w:w="254" w:type="pct"/>
            <w:vAlign w:val="top"/>
          </w:tcPr>
          <w:p w14:paraId="5456DC03">
            <w:pPr>
              <w:pStyle w:val="14"/>
              <w:spacing w:line="240" w:lineRule="auto"/>
              <w:jc w:val="center"/>
              <w:rPr>
                <w:color w:val="auto"/>
                <w:highlight w:val="none"/>
              </w:rPr>
            </w:pPr>
          </w:p>
        </w:tc>
        <w:tc>
          <w:tcPr>
            <w:tcW w:w="252" w:type="pct"/>
            <w:vAlign w:val="top"/>
          </w:tcPr>
          <w:p w14:paraId="546F0788">
            <w:pPr>
              <w:pStyle w:val="14"/>
              <w:spacing w:line="240" w:lineRule="auto"/>
              <w:jc w:val="center"/>
              <w:rPr>
                <w:color w:val="auto"/>
                <w:highlight w:val="none"/>
              </w:rPr>
            </w:pPr>
          </w:p>
        </w:tc>
        <w:tc>
          <w:tcPr>
            <w:tcW w:w="254" w:type="pct"/>
            <w:vAlign w:val="top"/>
          </w:tcPr>
          <w:p w14:paraId="1EF541B0">
            <w:pPr>
              <w:pStyle w:val="14"/>
              <w:spacing w:line="240" w:lineRule="auto"/>
              <w:jc w:val="center"/>
              <w:rPr>
                <w:color w:val="auto"/>
                <w:highlight w:val="none"/>
              </w:rPr>
            </w:pPr>
          </w:p>
        </w:tc>
        <w:tc>
          <w:tcPr>
            <w:tcW w:w="254" w:type="pct"/>
            <w:vAlign w:val="top"/>
          </w:tcPr>
          <w:p w14:paraId="463A3F26">
            <w:pPr>
              <w:pStyle w:val="14"/>
              <w:spacing w:line="240" w:lineRule="auto"/>
              <w:jc w:val="center"/>
              <w:rPr>
                <w:color w:val="auto"/>
                <w:highlight w:val="none"/>
              </w:rPr>
            </w:pPr>
          </w:p>
        </w:tc>
      </w:tr>
      <w:tr w14:paraId="559B2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336" w:type="pct"/>
            <w:vAlign w:val="top"/>
          </w:tcPr>
          <w:p w14:paraId="5DB22B2E">
            <w:pPr>
              <w:spacing w:before="169" w:line="24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533" w:type="pct"/>
            <w:vAlign w:val="top"/>
          </w:tcPr>
          <w:p w14:paraId="498BDD15">
            <w:pPr>
              <w:pStyle w:val="14"/>
              <w:spacing w:line="240" w:lineRule="auto"/>
              <w:jc w:val="center"/>
              <w:rPr>
                <w:color w:val="auto"/>
                <w:highlight w:val="none"/>
              </w:rPr>
            </w:pPr>
          </w:p>
        </w:tc>
        <w:tc>
          <w:tcPr>
            <w:tcW w:w="535" w:type="pct"/>
            <w:vAlign w:val="top"/>
          </w:tcPr>
          <w:p w14:paraId="63B1156C">
            <w:pPr>
              <w:pStyle w:val="14"/>
              <w:spacing w:line="240" w:lineRule="auto"/>
              <w:jc w:val="center"/>
              <w:rPr>
                <w:color w:val="auto"/>
                <w:highlight w:val="none"/>
              </w:rPr>
            </w:pPr>
          </w:p>
        </w:tc>
        <w:tc>
          <w:tcPr>
            <w:tcW w:w="534" w:type="pct"/>
            <w:vAlign w:val="top"/>
          </w:tcPr>
          <w:p w14:paraId="04B76359">
            <w:pPr>
              <w:pStyle w:val="14"/>
              <w:spacing w:line="240" w:lineRule="auto"/>
              <w:jc w:val="center"/>
              <w:rPr>
                <w:color w:val="auto"/>
                <w:highlight w:val="none"/>
              </w:rPr>
            </w:pPr>
          </w:p>
        </w:tc>
        <w:tc>
          <w:tcPr>
            <w:tcW w:w="536" w:type="pct"/>
            <w:vAlign w:val="top"/>
          </w:tcPr>
          <w:p w14:paraId="66FCDFBC">
            <w:pPr>
              <w:pStyle w:val="14"/>
              <w:spacing w:line="240" w:lineRule="auto"/>
              <w:jc w:val="center"/>
              <w:rPr>
                <w:color w:val="auto"/>
                <w:highlight w:val="none"/>
              </w:rPr>
            </w:pPr>
          </w:p>
        </w:tc>
        <w:tc>
          <w:tcPr>
            <w:tcW w:w="502" w:type="pct"/>
            <w:vAlign w:val="top"/>
          </w:tcPr>
          <w:p w14:paraId="609290D2">
            <w:pPr>
              <w:pStyle w:val="14"/>
              <w:spacing w:line="240" w:lineRule="auto"/>
              <w:jc w:val="center"/>
              <w:rPr>
                <w:color w:val="auto"/>
                <w:highlight w:val="none"/>
              </w:rPr>
            </w:pPr>
          </w:p>
        </w:tc>
        <w:tc>
          <w:tcPr>
            <w:tcW w:w="244" w:type="pct"/>
            <w:vAlign w:val="top"/>
          </w:tcPr>
          <w:p w14:paraId="7BC1297B">
            <w:pPr>
              <w:pStyle w:val="14"/>
              <w:spacing w:line="240" w:lineRule="auto"/>
              <w:jc w:val="center"/>
              <w:rPr>
                <w:color w:val="auto"/>
                <w:highlight w:val="none"/>
              </w:rPr>
            </w:pPr>
          </w:p>
        </w:tc>
        <w:tc>
          <w:tcPr>
            <w:tcW w:w="508" w:type="pct"/>
            <w:vAlign w:val="top"/>
          </w:tcPr>
          <w:p w14:paraId="66783153">
            <w:pPr>
              <w:pStyle w:val="14"/>
              <w:spacing w:line="240" w:lineRule="auto"/>
              <w:jc w:val="center"/>
              <w:rPr>
                <w:color w:val="auto"/>
                <w:highlight w:val="none"/>
              </w:rPr>
            </w:pPr>
          </w:p>
        </w:tc>
        <w:tc>
          <w:tcPr>
            <w:tcW w:w="252" w:type="pct"/>
            <w:vAlign w:val="top"/>
          </w:tcPr>
          <w:p w14:paraId="4C98172C">
            <w:pPr>
              <w:pStyle w:val="14"/>
              <w:spacing w:line="240" w:lineRule="auto"/>
              <w:jc w:val="center"/>
              <w:rPr>
                <w:color w:val="auto"/>
                <w:highlight w:val="none"/>
              </w:rPr>
            </w:pPr>
          </w:p>
        </w:tc>
        <w:tc>
          <w:tcPr>
            <w:tcW w:w="254" w:type="pct"/>
            <w:vAlign w:val="top"/>
          </w:tcPr>
          <w:p w14:paraId="5BBEE6BE">
            <w:pPr>
              <w:pStyle w:val="14"/>
              <w:spacing w:line="240" w:lineRule="auto"/>
              <w:jc w:val="center"/>
              <w:rPr>
                <w:color w:val="auto"/>
                <w:highlight w:val="none"/>
              </w:rPr>
            </w:pPr>
          </w:p>
        </w:tc>
        <w:tc>
          <w:tcPr>
            <w:tcW w:w="252" w:type="pct"/>
            <w:vAlign w:val="top"/>
          </w:tcPr>
          <w:p w14:paraId="0B0422FF">
            <w:pPr>
              <w:pStyle w:val="14"/>
              <w:spacing w:line="240" w:lineRule="auto"/>
              <w:jc w:val="center"/>
              <w:rPr>
                <w:color w:val="auto"/>
                <w:highlight w:val="none"/>
              </w:rPr>
            </w:pPr>
          </w:p>
        </w:tc>
        <w:tc>
          <w:tcPr>
            <w:tcW w:w="254" w:type="pct"/>
            <w:vAlign w:val="top"/>
          </w:tcPr>
          <w:p w14:paraId="3EC2FB58">
            <w:pPr>
              <w:pStyle w:val="14"/>
              <w:spacing w:line="240" w:lineRule="auto"/>
              <w:jc w:val="center"/>
              <w:rPr>
                <w:color w:val="auto"/>
                <w:highlight w:val="none"/>
              </w:rPr>
            </w:pPr>
          </w:p>
        </w:tc>
        <w:tc>
          <w:tcPr>
            <w:tcW w:w="254" w:type="pct"/>
            <w:vAlign w:val="top"/>
          </w:tcPr>
          <w:p w14:paraId="4E13B66D">
            <w:pPr>
              <w:pStyle w:val="14"/>
              <w:spacing w:line="240" w:lineRule="auto"/>
              <w:jc w:val="center"/>
              <w:rPr>
                <w:color w:val="auto"/>
                <w:highlight w:val="none"/>
              </w:rPr>
            </w:pPr>
          </w:p>
        </w:tc>
      </w:tr>
      <w:tr w14:paraId="3327C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36" w:type="pct"/>
            <w:vAlign w:val="top"/>
          </w:tcPr>
          <w:p w14:paraId="18D5FEF4">
            <w:pPr>
              <w:spacing w:before="168" w:line="24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533" w:type="pct"/>
            <w:vAlign w:val="top"/>
          </w:tcPr>
          <w:p w14:paraId="66CDE247">
            <w:pPr>
              <w:pStyle w:val="14"/>
              <w:spacing w:line="240" w:lineRule="auto"/>
              <w:jc w:val="center"/>
              <w:rPr>
                <w:color w:val="auto"/>
                <w:highlight w:val="none"/>
              </w:rPr>
            </w:pPr>
          </w:p>
        </w:tc>
        <w:tc>
          <w:tcPr>
            <w:tcW w:w="535" w:type="pct"/>
            <w:vAlign w:val="top"/>
          </w:tcPr>
          <w:p w14:paraId="1868D956">
            <w:pPr>
              <w:pStyle w:val="14"/>
              <w:spacing w:line="240" w:lineRule="auto"/>
              <w:jc w:val="center"/>
              <w:rPr>
                <w:color w:val="auto"/>
                <w:highlight w:val="none"/>
              </w:rPr>
            </w:pPr>
          </w:p>
        </w:tc>
        <w:tc>
          <w:tcPr>
            <w:tcW w:w="534" w:type="pct"/>
            <w:vAlign w:val="top"/>
          </w:tcPr>
          <w:p w14:paraId="37E1470B">
            <w:pPr>
              <w:pStyle w:val="14"/>
              <w:spacing w:line="240" w:lineRule="auto"/>
              <w:jc w:val="center"/>
              <w:rPr>
                <w:color w:val="auto"/>
                <w:highlight w:val="none"/>
              </w:rPr>
            </w:pPr>
          </w:p>
        </w:tc>
        <w:tc>
          <w:tcPr>
            <w:tcW w:w="536" w:type="pct"/>
            <w:vAlign w:val="top"/>
          </w:tcPr>
          <w:p w14:paraId="68BAD0F7">
            <w:pPr>
              <w:pStyle w:val="14"/>
              <w:spacing w:line="240" w:lineRule="auto"/>
              <w:jc w:val="center"/>
              <w:rPr>
                <w:color w:val="auto"/>
                <w:highlight w:val="none"/>
              </w:rPr>
            </w:pPr>
          </w:p>
        </w:tc>
        <w:tc>
          <w:tcPr>
            <w:tcW w:w="502" w:type="pct"/>
            <w:vAlign w:val="top"/>
          </w:tcPr>
          <w:p w14:paraId="2AC468C3">
            <w:pPr>
              <w:pStyle w:val="14"/>
              <w:spacing w:line="240" w:lineRule="auto"/>
              <w:jc w:val="center"/>
              <w:rPr>
                <w:color w:val="auto"/>
                <w:highlight w:val="none"/>
              </w:rPr>
            </w:pPr>
          </w:p>
        </w:tc>
        <w:tc>
          <w:tcPr>
            <w:tcW w:w="244" w:type="pct"/>
            <w:vAlign w:val="top"/>
          </w:tcPr>
          <w:p w14:paraId="696E425B">
            <w:pPr>
              <w:pStyle w:val="14"/>
              <w:spacing w:line="240" w:lineRule="auto"/>
              <w:jc w:val="center"/>
              <w:rPr>
                <w:color w:val="auto"/>
                <w:highlight w:val="none"/>
              </w:rPr>
            </w:pPr>
          </w:p>
        </w:tc>
        <w:tc>
          <w:tcPr>
            <w:tcW w:w="508" w:type="pct"/>
            <w:vAlign w:val="top"/>
          </w:tcPr>
          <w:p w14:paraId="0D960345">
            <w:pPr>
              <w:pStyle w:val="14"/>
              <w:spacing w:line="240" w:lineRule="auto"/>
              <w:jc w:val="center"/>
              <w:rPr>
                <w:color w:val="auto"/>
                <w:highlight w:val="none"/>
              </w:rPr>
            </w:pPr>
          </w:p>
        </w:tc>
        <w:tc>
          <w:tcPr>
            <w:tcW w:w="252" w:type="pct"/>
            <w:vAlign w:val="top"/>
          </w:tcPr>
          <w:p w14:paraId="0C77235C">
            <w:pPr>
              <w:pStyle w:val="14"/>
              <w:spacing w:line="240" w:lineRule="auto"/>
              <w:jc w:val="center"/>
              <w:rPr>
                <w:color w:val="auto"/>
                <w:highlight w:val="none"/>
              </w:rPr>
            </w:pPr>
          </w:p>
        </w:tc>
        <w:tc>
          <w:tcPr>
            <w:tcW w:w="254" w:type="pct"/>
            <w:vAlign w:val="top"/>
          </w:tcPr>
          <w:p w14:paraId="3FFBF6D3">
            <w:pPr>
              <w:pStyle w:val="14"/>
              <w:spacing w:line="240" w:lineRule="auto"/>
              <w:jc w:val="center"/>
              <w:rPr>
                <w:color w:val="auto"/>
                <w:highlight w:val="none"/>
              </w:rPr>
            </w:pPr>
          </w:p>
        </w:tc>
        <w:tc>
          <w:tcPr>
            <w:tcW w:w="252" w:type="pct"/>
            <w:vAlign w:val="top"/>
          </w:tcPr>
          <w:p w14:paraId="250B1B40">
            <w:pPr>
              <w:pStyle w:val="14"/>
              <w:spacing w:line="240" w:lineRule="auto"/>
              <w:jc w:val="center"/>
              <w:rPr>
                <w:color w:val="auto"/>
                <w:highlight w:val="none"/>
              </w:rPr>
            </w:pPr>
          </w:p>
        </w:tc>
        <w:tc>
          <w:tcPr>
            <w:tcW w:w="254" w:type="pct"/>
            <w:vAlign w:val="top"/>
          </w:tcPr>
          <w:p w14:paraId="09EA6908">
            <w:pPr>
              <w:pStyle w:val="14"/>
              <w:spacing w:line="240" w:lineRule="auto"/>
              <w:jc w:val="center"/>
              <w:rPr>
                <w:color w:val="auto"/>
                <w:highlight w:val="none"/>
              </w:rPr>
            </w:pPr>
          </w:p>
        </w:tc>
        <w:tc>
          <w:tcPr>
            <w:tcW w:w="254" w:type="pct"/>
            <w:vAlign w:val="top"/>
          </w:tcPr>
          <w:p w14:paraId="3F53576B">
            <w:pPr>
              <w:pStyle w:val="14"/>
              <w:spacing w:line="240" w:lineRule="auto"/>
              <w:jc w:val="center"/>
              <w:rPr>
                <w:color w:val="auto"/>
                <w:highlight w:val="none"/>
              </w:rPr>
            </w:pPr>
          </w:p>
        </w:tc>
      </w:tr>
      <w:tr w14:paraId="60DCB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336" w:type="pct"/>
            <w:vAlign w:val="top"/>
          </w:tcPr>
          <w:p w14:paraId="7223177E">
            <w:pPr>
              <w:spacing w:before="171" w:line="24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533" w:type="pct"/>
            <w:vAlign w:val="top"/>
          </w:tcPr>
          <w:p w14:paraId="5FF829AD">
            <w:pPr>
              <w:pStyle w:val="14"/>
              <w:spacing w:line="240" w:lineRule="auto"/>
              <w:jc w:val="center"/>
              <w:rPr>
                <w:color w:val="auto"/>
                <w:highlight w:val="none"/>
              </w:rPr>
            </w:pPr>
          </w:p>
        </w:tc>
        <w:tc>
          <w:tcPr>
            <w:tcW w:w="535" w:type="pct"/>
            <w:vAlign w:val="top"/>
          </w:tcPr>
          <w:p w14:paraId="4ACBC31F">
            <w:pPr>
              <w:pStyle w:val="14"/>
              <w:spacing w:line="240" w:lineRule="auto"/>
              <w:jc w:val="center"/>
              <w:rPr>
                <w:color w:val="auto"/>
                <w:highlight w:val="none"/>
              </w:rPr>
            </w:pPr>
          </w:p>
        </w:tc>
        <w:tc>
          <w:tcPr>
            <w:tcW w:w="534" w:type="pct"/>
            <w:vAlign w:val="top"/>
          </w:tcPr>
          <w:p w14:paraId="0906EB39">
            <w:pPr>
              <w:pStyle w:val="14"/>
              <w:spacing w:line="240" w:lineRule="auto"/>
              <w:jc w:val="center"/>
              <w:rPr>
                <w:color w:val="auto"/>
                <w:highlight w:val="none"/>
              </w:rPr>
            </w:pPr>
          </w:p>
        </w:tc>
        <w:tc>
          <w:tcPr>
            <w:tcW w:w="536" w:type="pct"/>
            <w:vAlign w:val="top"/>
          </w:tcPr>
          <w:p w14:paraId="491C86A1">
            <w:pPr>
              <w:pStyle w:val="14"/>
              <w:spacing w:line="240" w:lineRule="auto"/>
              <w:jc w:val="center"/>
              <w:rPr>
                <w:color w:val="auto"/>
                <w:highlight w:val="none"/>
              </w:rPr>
            </w:pPr>
          </w:p>
        </w:tc>
        <w:tc>
          <w:tcPr>
            <w:tcW w:w="502" w:type="pct"/>
            <w:vAlign w:val="top"/>
          </w:tcPr>
          <w:p w14:paraId="081D7DB2">
            <w:pPr>
              <w:pStyle w:val="14"/>
              <w:spacing w:line="240" w:lineRule="auto"/>
              <w:jc w:val="center"/>
              <w:rPr>
                <w:color w:val="auto"/>
                <w:highlight w:val="none"/>
              </w:rPr>
            </w:pPr>
          </w:p>
        </w:tc>
        <w:tc>
          <w:tcPr>
            <w:tcW w:w="244" w:type="pct"/>
            <w:vAlign w:val="top"/>
          </w:tcPr>
          <w:p w14:paraId="37B6B6F4">
            <w:pPr>
              <w:pStyle w:val="14"/>
              <w:spacing w:line="240" w:lineRule="auto"/>
              <w:jc w:val="center"/>
              <w:rPr>
                <w:color w:val="auto"/>
                <w:highlight w:val="none"/>
              </w:rPr>
            </w:pPr>
          </w:p>
        </w:tc>
        <w:tc>
          <w:tcPr>
            <w:tcW w:w="508" w:type="pct"/>
            <w:vAlign w:val="top"/>
          </w:tcPr>
          <w:p w14:paraId="6D761F3C">
            <w:pPr>
              <w:pStyle w:val="14"/>
              <w:spacing w:line="240" w:lineRule="auto"/>
              <w:jc w:val="center"/>
              <w:rPr>
                <w:color w:val="auto"/>
                <w:highlight w:val="none"/>
              </w:rPr>
            </w:pPr>
          </w:p>
        </w:tc>
        <w:tc>
          <w:tcPr>
            <w:tcW w:w="252" w:type="pct"/>
            <w:vAlign w:val="top"/>
          </w:tcPr>
          <w:p w14:paraId="2F3CBE4C">
            <w:pPr>
              <w:pStyle w:val="14"/>
              <w:spacing w:line="240" w:lineRule="auto"/>
              <w:jc w:val="center"/>
              <w:rPr>
                <w:color w:val="auto"/>
                <w:highlight w:val="none"/>
              </w:rPr>
            </w:pPr>
          </w:p>
        </w:tc>
        <w:tc>
          <w:tcPr>
            <w:tcW w:w="254" w:type="pct"/>
            <w:vAlign w:val="top"/>
          </w:tcPr>
          <w:p w14:paraId="70CF2F0B">
            <w:pPr>
              <w:pStyle w:val="14"/>
              <w:spacing w:line="240" w:lineRule="auto"/>
              <w:jc w:val="center"/>
              <w:rPr>
                <w:color w:val="auto"/>
                <w:highlight w:val="none"/>
              </w:rPr>
            </w:pPr>
          </w:p>
        </w:tc>
        <w:tc>
          <w:tcPr>
            <w:tcW w:w="252" w:type="pct"/>
            <w:vAlign w:val="top"/>
          </w:tcPr>
          <w:p w14:paraId="1E745AD3">
            <w:pPr>
              <w:pStyle w:val="14"/>
              <w:spacing w:line="240" w:lineRule="auto"/>
              <w:jc w:val="center"/>
              <w:rPr>
                <w:color w:val="auto"/>
                <w:highlight w:val="none"/>
              </w:rPr>
            </w:pPr>
          </w:p>
        </w:tc>
        <w:tc>
          <w:tcPr>
            <w:tcW w:w="254" w:type="pct"/>
            <w:vAlign w:val="top"/>
          </w:tcPr>
          <w:p w14:paraId="12703F9B">
            <w:pPr>
              <w:pStyle w:val="14"/>
              <w:spacing w:line="240" w:lineRule="auto"/>
              <w:jc w:val="center"/>
              <w:rPr>
                <w:color w:val="auto"/>
                <w:highlight w:val="none"/>
              </w:rPr>
            </w:pPr>
          </w:p>
        </w:tc>
        <w:tc>
          <w:tcPr>
            <w:tcW w:w="254" w:type="pct"/>
            <w:vAlign w:val="top"/>
          </w:tcPr>
          <w:p w14:paraId="0EBFBA23">
            <w:pPr>
              <w:pStyle w:val="14"/>
              <w:spacing w:line="240" w:lineRule="auto"/>
              <w:jc w:val="center"/>
              <w:rPr>
                <w:color w:val="auto"/>
                <w:highlight w:val="none"/>
              </w:rPr>
            </w:pPr>
          </w:p>
        </w:tc>
      </w:tr>
      <w:tr w14:paraId="2B6C2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36" w:type="pct"/>
            <w:vAlign w:val="top"/>
          </w:tcPr>
          <w:p w14:paraId="2D03119F">
            <w:pPr>
              <w:spacing w:before="290" w:line="24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533" w:type="pct"/>
            <w:vAlign w:val="top"/>
          </w:tcPr>
          <w:p w14:paraId="730F5587">
            <w:pPr>
              <w:pStyle w:val="14"/>
              <w:spacing w:line="240" w:lineRule="auto"/>
              <w:jc w:val="center"/>
              <w:rPr>
                <w:color w:val="auto"/>
                <w:highlight w:val="none"/>
              </w:rPr>
            </w:pPr>
          </w:p>
        </w:tc>
        <w:tc>
          <w:tcPr>
            <w:tcW w:w="535" w:type="pct"/>
            <w:vAlign w:val="top"/>
          </w:tcPr>
          <w:p w14:paraId="12801DDC">
            <w:pPr>
              <w:pStyle w:val="14"/>
              <w:spacing w:line="240" w:lineRule="auto"/>
              <w:jc w:val="center"/>
              <w:rPr>
                <w:color w:val="auto"/>
                <w:highlight w:val="none"/>
              </w:rPr>
            </w:pPr>
          </w:p>
        </w:tc>
        <w:tc>
          <w:tcPr>
            <w:tcW w:w="534" w:type="pct"/>
            <w:vAlign w:val="top"/>
          </w:tcPr>
          <w:p w14:paraId="7E190FC4">
            <w:pPr>
              <w:pStyle w:val="14"/>
              <w:spacing w:line="240" w:lineRule="auto"/>
              <w:jc w:val="center"/>
              <w:rPr>
                <w:color w:val="auto"/>
                <w:highlight w:val="none"/>
              </w:rPr>
            </w:pPr>
          </w:p>
        </w:tc>
        <w:tc>
          <w:tcPr>
            <w:tcW w:w="536" w:type="pct"/>
            <w:vAlign w:val="top"/>
          </w:tcPr>
          <w:p w14:paraId="319C5A8A">
            <w:pPr>
              <w:pStyle w:val="14"/>
              <w:spacing w:line="240" w:lineRule="auto"/>
              <w:jc w:val="center"/>
              <w:rPr>
                <w:color w:val="auto"/>
                <w:highlight w:val="none"/>
              </w:rPr>
            </w:pPr>
          </w:p>
        </w:tc>
        <w:tc>
          <w:tcPr>
            <w:tcW w:w="502" w:type="pct"/>
            <w:vAlign w:val="top"/>
          </w:tcPr>
          <w:p w14:paraId="275E4D21">
            <w:pPr>
              <w:pStyle w:val="14"/>
              <w:spacing w:line="240" w:lineRule="auto"/>
              <w:jc w:val="center"/>
              <w:rPr>
                <w:color w:val="auto"/>
                <w:highlight w:val="none"/>
              </w:rPr>
            </w:pPr>
          </w:p>
        </w:tc>
        <w:tc>
          <w:tcPr>
            <w:tcW w:w="244" w:type="pct"/>
            <w:vAlign w:val="top"/>
          </w:tcPr>
          <w:p w14:paraId="48AD0772">
            <w:pPr>
              <w:pStyle w:val="14"/>
              <w:spacing w:line="240" w:lineRule="auto"/>
              <w:jc w:val="center"/>
              <w:rPr>
                <w:color w:val="auto"/>
                <w:highlight w:val="none"/>
              </w:rPr>
            </w:pPr>
          </w:p>
        </w:tc>
        <w:tc>
          <w:tcPr>
            <w:tcW w:w="508" w:type="pct"/>
            <w:vAlign w:val="top"/>
          </w:tcPr>
          <w:p w14:paraId="0785426D">
            <w:pPr>
              <w:pStyle w:val="14"/>
              <w:spacing w:line="240" w:lineRule="auto"/>
              <w:jc w:val="center"/>
              <w:rPr>
                <w:color w:val="auto"/>
                <w:highlight w:val="none"/>
              </w:rPr>
            </w:pPr>
          </w:p>
        </w:tc>
        <w:tc>
          <w:tcPr>
            <w:tcW w:w="252" w:type="pct"/>
            <w:vAlign w:val="top"/>
          </w:tcPr>
          <w:p w14:paraId="63F475A0">
            <w:pPr>
              <w:pStyle w:val="14"/>
              <w:spacing w:line="240" w:lineRule="auto"/>
              <w:jc w:val="center"/>
              <w:rPr>
                <w:color w:val="auto"/>
                <w:highlight w:val="none"/>
              </w:rPr>
            </w:pPr>
          </w:p>
        </w:tc>
        <w:tc>
          <w:tcPr>
            <w:tcW w:w="254" w:type="pct"/>
            <w:vAlign w:val="top"/>
          </w:tcPr>
          <w:p w14:paraId="45406802">
            <w:pPr>
              <w:pStyle w:val="14"/>
              <w:spacing w:line="240" w:lineRule="auto"/>
              <w:jc w:val="center"/>
              <w:rPr>
                <w:color w:val="auto"/>
                <w:highlight w:val="none"/>
              </w:rPr>
            </w:pPr>
          </w:p>
        </w:tc>
        <w:tc>
          <w:tcPr>
            <w:tcW w:w="252" w:type="pct"/>
            <w:vAlign w:val="top"/>
          </w:tcPr>
          <w:p w14:paraId="44DF1E73">
            <w:pPr>
              <w:pStyle w:val="14"/>
              <w:spacing w:line="240" w:lineRule="auto"/>
              <w:jc w:val="center"/>
              <w:rPr>
                <w:color w:val="auto"/>
                <w:highlight w:val="none"/>
              </w:rPr>
            </w:pPr>
          </w:p>
        </w:tc>
        <w:tc>
          <w:tcPr>
            <w:tcW w:w="254" w:type="pct"/>
            <w:vAlign w:val="top"/>
          </w:tcPr>
          <w:p w14:paraId="424C3328">
            <w:pPr>
              <w:pStyle w:val="14"/>
              <w:spacing w:line="240" w:lineRule="auto"/>
              <w:jc w:val="center"/>
              <w:rPr>
                <w:color w:val="auto"/>
                <w:highlight w:val="none"/>
              </w:rPr>
            </w:pPr>
          </w:p>
        </w:tc>
        <w:tc>
          <w:tcPr>
            <w:tcW w:w="254" w:type="pct"/>
            <w:vAlign w:val="top"/>
          </w:tcPr>
          <w:p w14:paraId="4050C31E">
            <w:pPr>
              <w:pStyle w:val="14"/>
              <w:spacing w:line="240" w:lineRule="auto"/>
              <w:jc w:val="center"/>
              <w:rPr>
                <w:color w:val="auto"/>
                <w:highlight w:val="none"/>
              </w:rPr>
            </w:pPr>
          </w:p>
        </w:tc>
      </w:tr>
      <w:tr w14:paraId="52A84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336" w:type="pct"/>
            <w:vAlign w:val="top"/>
          </w:tcPr>
          <w:p w14:paraId="482DAAB4">
            <w:pPr>
              <w:pStyle w:val="14"/>
              <w:spacing w:line="240" w:lineRule="auto"/>
              <w:jc w:val="center"/>
              <w:rPr>
                <w:color w:val="auto"/>
                <w:highlight w:val="none"/>
              </w:rPr>
            </w:pPr>
          </w:p>
        </w:tc>
        <w:tc>
          <w:tcPr>
            <w:tcW w:w="533" w:type="pct"/>
            <w:vAlign w:val="top"/>
          </w:tcPr>
          <w:p w14:paraId="6D216F26">
            <w:pPr>
              <w:pStyle w:val="14"/>
              <w:spacing w:line="240" w:lineRule="auto"/>
              <w:jc w:val="center"/>
              <w:rPr>
                <w:color w:val="auto"/>
                <w:highlight w:val="none"/>
              </w:rPr>
            </w:pPr>
          </w:p>
        </w:tc>
        <w:tc>
          <w:tcPr>
            <w:tcW w:w="535" w:type="pct"/>
            <w:vAlign w:val="top"/>
          </w:tcPr>
          <w:p w14:paraId="71B39207">
            <w:pPr>
              <w:pStyle w:val="14"/>
              <w:spacing w:line="240" w:lineRule="auto"/>
              <w:jc w:val="center"/>
              <w:rPr>
                <w:color w:val="auto"/>
                <w:highlight w:val="none"/>
              </w:rPr>
            </w:pPr>
          </w:p>
        </w:tc>
        <w:tc>
          <w:tcPr>
            <w:tcW w:w="534" w:type="pct"/>
            <w:vAlign w:val="top"/>
          </w:tcPr>
          <w:p w14:paraId="2112FF02">
            <w:pPr>
              <w:pStyle w:val="14"/>
              <w:spacing w:line="240" w:lineRule="auto"/>
              <w:jc w:val="center"/>
              <w:rPr>
                <w:color w:val="auto"/>
                <w:highlight w:val="none"/>
              </w:rPr>
            </w:pPr>
          </w:p>
        </w:tc>
        <w:tc>
          <w:tcPr>
            <w:tcW w:w="536" w:type="pct"/>
            <w:vAlign w:val="top"/>
          </w:tcPr>
          <w:p w14:paraId="0E90150C">
            <w:pPr>
              <w:pStyle w:val="14"/>
              <w:spacing w:line="240" w:lineRule="auto"/>
              <w:jc w:val="center"/>
              <w:rPr>
                <w:color w:val="auto"/>
                <w:highlight w:val="none"/>
              </w:rPr>
            </w:pPr>
          </w:p>
        </w:tc>
        <w:tc>
          <w:tcPr>
            <w:tcW w:w="502" w:type="pct"/>
            <w:vAlign w:val="top"/>
          </w:tcPr>
          <w:p w14:paraId="0CDD540D">
            <w:pPr>
              <w:pStyle w:val="14"/>
              <w:spacing w:line="240" w:lineRule="auto"/>
              <w:jc w:val="center"/>
              <w:rPr>
                <w:color w:val="auto"/>
                <w:highlight w:val="none"/>
              </w:rPr>
            </w:pPr>
          </w:p>
        </w:tc>
        <w:tc>
          <w:tcPr>
            <w:tcW w:w="244" w:type="pct"/>
            <w:vAlign w:val="top"/>
          </w:tcPr>
          <w:p w14:paraId="28AC00B8">
            <w:pPr>
              <w:pStyle w:val="14"/>
              <w:spacing w:line="240" w:lineRule="auto"/>
              <w:jc w:val="center"/>
              <w:rPr>
                <w:color w:val="auto"/>
                <w:highlight w:val="none"/>
              </w:rPr>
            </w:pPr>
          </w:p>
        </w:tc>
        <w:tc>
          <w:tcPr>
            <w:tcW w:w="508" w:type="pct"/>
            <w:vAlign w:val="top"/>
          </w:tcPr>
          <w:p w14:paraId="4159B5E4">
            <w:pPr>
              <w:pStyle w:val="14"/>
              <w:spacing w:line="240" w:lineRule="auto"/>
              <w:jc w:val="center"/>
              <w:rPr>
                <w:color w:val="auto"/>
                <w:highlight w:val="none"/>
              </w:rPr>
            </w:pPr>
          </w:p>
        </w:tc>
        <w:tc>
          <w:tcPr>
            <w:tcW w:w="252" w:type="pct"/>
            <w:vAlign w:val="top"/>
          </w:tcPr>
          <w:p w14:paraId="0B9A94F0">
            <w:pPr>
              <w:pStyle w:val="14"/>
              <w:spacing w:line="240" w:lineRule="auto"/>
              <w:jc w:val="center"/>
              <w:rPr>
                <w:color w:val="auto"/>
                <w:highlight w:val="none"/>
              </w:rPr>
            </w:pPr>
          </w:p>
        </w:tc>
        <w:tc>
          <w:tcPr>
            <w:tcW w:w="254" w:type="pct"/>
            <w:vAlign w:val="top"/>
          </w:tcPr>
          <w:p w14:paraId="5BF343DE">
            <w:pPr>
              <w:pStyle w:val="14"/>
              <w:spacing w:line="240" w:lineRule="auto"/>
              <w:jc w:val="center"/>
              <w:rPr>
                <w:color w:val="auto"/>
                <w:highlight w:val="none"/>
              </w:rPr>
            </w:pPr>
          </w:p>
        </w:tc>
        <w:tc>
          <w:tcPr>
            <w:tcW w:w="252" w:type="pct"/>
            <w:vAlign w:val="top"/>
          </w:tcPr>
          <w:p w14:paraId="52509333">
            <w:pPr>
              <w:pStyle w:val="14"/>
              <w:spacing w:line="240" w:lineRule="auto"/>
              <w:jc w:val="center"/>
              <w:rPr>
                <w:color w:val="auto"/>
                <w:highlight w:val="none"/>
              </w:rPr>
            </w:pPr>
          </w:p>
        </w:tc>
        <w:tc>
          <w:tcPr>
            <w:tcW w:w="254" w:type="pct"/>
            <w:vAlign w:val="top"/>
          </w:tcPr>
          <w:p w14:paraId="3DFA03CE">
            <w:pPr>
              <w:pStyle w:val="14"/>
              <w:spacing w:line="240" w:lineRule="auto"/>
              <w:jc w:val="center"/>
              <w:rPr>
                <w:color w:val="auto"/>
                <w:highlight w:val="none"/>
              </w:rPr>
            </w:pPr>
          </w:p>
        </w:tc>
        <w:tc>
          <w:tcPr>
            <w:tcW w:w="254" w:type="pct"/>
            <w:vAlign w:val="top"/>
          </w:tcPr>
          <w:p w14:paraId="662350DD">
            <w:pPr>
              <w:pStyle w:val="14"/>
              <w:spacing w:line="240" w:lineRule="auto"/>
              <w:jc w:val="center"/>
              <w:rPr>
                <w:color w:val="auto"/>
                <w:highlight w:val="none"/>
              </w:rPr>
            </w:pPr>
          </w:p>
        </w:tc>
      </w:tr>
      <w:tr w14:paraId="7EBAE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336" w:type="pct"/>
            <w:vAlign w:val="top"/>
          </w:tcPr>
          <w:p w14:paraId="23618102">
            <w:pPr>
              <w:spacing w:before="158" w:line="24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533" w:type="pct"/>
            <w:vAlign w:val="top"/>
          </w:tcPr>
          <w:p w14:paraId="3A395192">
            <w:pPr>
              <w:pStyle w:val="14"/>
              <w:spacing w:line="240" w:lineRule="auto"/>
              <w:jc w:val="center"/>
              <w:rPr>
                <w:color w:val="auto"/>
                <w:highlight w:val="none"/>
              </w:rPr>
            </w:pPr>
          </w:p>
        </w:tc>
        <w:tc>
          <w:tcPr>
            <w:tcW w:w="535" w:type="pct"/>
            <w:vAlign w:val="top"/>
          </w:tcPr>
          <w:p w14:paraId="710AF1AC">
            <w:pPr>
              <w:pStyle w:val="14"/>
              <w:spacing w:line="240" w:lineRule="auto"/>
              <w:jc w:val="center"/>
              <w:rPr>
                <w:color w:val="auto"/>
                <w:highlight w:val="none"/>
              </w:rPr>
            </w:pPr>
          </w:p>
        </w:tc>
        <w:tc>
          <w:tcPr>
            <w:tcW w:w="534" w:type="pct"/>
            <w:vAlign w:val="top"/>
          </w:tcPr>
          <w:p w14:paraId="131FD2F0">
            <w:pPr>
              <w:pStyle w:val="14"/>
              <w:spacing w:line="240" w:lineRule="auto"/>
              <w:jc w:val="center"/>
              <w:rPr>
                <w:color w:val="auto"/>
                <w:highlight w:val="none"/>
              </w:rPr>
            </w:pPr>
          </w:p>
        </w:tc>
        <w:tc>
          <w:tcPr>
            <w:tcW w:w="536" w:type="pct"/>
            <w:vAlign w:val="top"/>
          </w:tcPr>
          <w:p w14:paraId="73A29EC1">
            <w:pPr>
              <w:pStyle w:val="14"/>
              <w:spacing w:line="240" w:lineRule="auto"/>
              <w:jc w:val="center"/>
              <w:rPr>
                <w:color w:val="auto"/>
                <w:highlight w:val="none"/>
              </w:rPr>
            </w:pPr>
          </w:p>
        </w:tc>
        <w:tc>
          <w:tcPr>
            <w:tcW w:w="502" w:type="pct"/>
            <w:vAlign w:val="top"/>
          </w:tcPr>
          <w:p w14:paraId="39F5E421">
            <w:pPr>
              <w:pStyle w:val="14"/>
              <w:spacing w:line="240" w:lineRule="auto"/>
              <w:jc w:val="center"/>
              <w:rPr>
                <w:color w:val="auto"/>
                <w:highlight w:val="none"/>
              </w:rPr>
            </w:pPr>
          </w:p>
        </w:tc>
        <w:tc>
          <w:tcPr>
            <w:tcW w:w="244" w:type="pct"/>
            <w:vAlign w:val="top"/>
          </w:tcPr>
          <w:p w14:paraId="3AADA63D">
            <w:pPr>
              <w:pStyle w:val="14"/>
              <w:spacing w:line="240" w:lineRule="auto"/>
              <w:jc w:val="center"/>
              <w:rPr>
                <w:color w:val="auto"/>
                <w:highlight w:val="none"/>
              </w:rPr>
            </w:pPr>
          </w:p>
        </w:tc>
        <w:tc>
          <w:tcPr>
            <w:tcW w:w="508" w:type="pct"/>
            <w:vAlign w:val="top"/>
          </w:tcPr>
          <w:p w14:paraId="72FFB946">
            <w:pPr>
              <w:pStyle w:val="14"/>
              <w:spacing w:line="240" w:lineRule="auto"/>
              <w:jc w:val="center"/>
              <w:rPr>
                <w:color w:val="auto"/>
                <w:highlight w:val="none"/>
              </w:rPr>
            </w:pPr>
          </w:p>
        </w:tc>
        <w:tc>
          <w:tcPr>
            <w:tcW w:w="252" w:type="pct"/>
            <w:vAlign w:val="top"/>
          </w:tcPr>
          <w:p w14:paraId="29C5DCF7">
            <w:pPr>
              <w:pStyle w:val="14"/>
              <w:spacing w:line="240" w:lineRule="auto"/>
              <w:jc w:val="center"/>
              <w:rPr>
                <w:color w:val="auto"/>
                <w:highlight w:val="none"/>
              </w:rPr>
            </w:pPr>
          </w:p>
        </w:tc>
        <w:tc>
          <w:tcPr>
            <w:tcW w:w="254" w:type="pct"/>
            <w:vAlign w:val="top"/>
          </w:tcPr>
          <w:p w14:paraId="6A75BAEB">
            <w:pPr>
              <w:pStyle w:val="14"/>
              <w:spacing w:line="240" w:lineRule="auto"/>
              <w:jc w:val="center"/>
              <w:rPr>
                <w:color w:val="auto"/>
                <w:highlight w:val="none"/>
              </w:rPr>
            </w:pPr>
          </w:p>
        </w:tc>
        <w:tc>
          <w:tcPr>
            <w:tcW w:w="252" w:type="pct"/>
            <w:vAlign w:val="top"/>
          </w:tcPr>
          <w:p w14:paraId="72BBE132">
            <w:pPr>
              <w:pStyle w:val="14"/>
              <w:spacing w:line="240" w:lineRule="auto"/>
              <w:jc w:val="center"/>
              <w:rPr>
                <w:color w:val="auto"/>
                <w:highlight w:val="none"/>
              </w:rPr>
            </w:pPr>
          </w:p>
        </w:tc>
        <w:tc>
          <w:tcPr>
            <w:tcW w:w="254" w:type="pct"/>
            <w:vAlign w:val="top"/>
          </w:tcPr>
          <w:p w14:paraId="20F05AA1">
            <w:pPr>
              <w:pStyle w:val="14"/>
              <w:spacing w:line="240" w:lineRule="auto"/>
              <w:jc w:val="center"/>
              <w:rPr>
                <w:color w:val="auto"/>
                <w:highlight w:val="none"/>
              </w:rPr>
            </w:pPr>
          </w:p>
        </w:tc>
        <w:tc>
          <w:tcPr>
            <w:tcW w:w="254" w:type="pct"/>
            <w:vAlign w:val="top"/>
          </w:tcPr>
          <w:p w14:paraId="4047EA3B">
            <w:pPr>
              <w:pStyle w:val="14"/>
              <w:spacing w:line="240" w:lineRule="auto"/>
              <w:jc w:val="center"/>
              <w:rPr>
                <w:color w:val="auto"/>
                <w:highlight w:val="none"/>
              </w:rPr>
            </w:pPr>
          </w:p>
        </w:tc>
      </w:tr>
    </w:tbl>
    <w:p w14:paraId="7C68C36D">
      <w:pPr>
        <w:pStyle w:val="3"/>
        <w:spacing w:before="46" w:line="534" w:lineRule="exact"/>
        <w:ind w:left="68"/>
        <w:rPr>
          <w:rFonts w:hint="default" w:ascii="宋体" w:hAnsi="宋体" w:eastAsia="宋体" w:cs="宋体"/>
          <w:color w:val="auto"/>
          <w:spacing w:val="8"/>
          <w:position w:val="10"/>
          <w:sz w:val="20"/>
          <w:szCs w:val="20"/>
          <w:lang w:val="en-US" w:eastAsia="zh-CN"/>
        </w:rPr>
      </w:pPr>
      <w:r>
        <w:rPr>
          <w:rFonts w:hint="eastAsia" w:ascii="宋体" w:hAnsi="宋体" w:eastAsia="宋体" w:cs="宋体"/>
          <w:color w:val="auto"/>
          <w:spacing w:val="3"/>
          <w:position w:val="29"/>
          <w:sz w:val="18"/>
          <w:szCs w:val="18"/>
        </w:rPr>
        <w:t>说明：供应商根据对账需求可增加表头内容，不得删减表头内</w:t>
      </w:r>
      <w:r>
        <w:rPr>
          <w:rFonts w:hint="eastAsia" w:ascii="宋体" w:hAnsi="宋体" w:eastAsia="宋体" w:cs="宋体"/>
          <w:color w:val="auto"/>
          <w:spacing w:val="2"/>
          <w:position w:val="29"/>
          <w:sz w:val="18"/>
          <w:szCs w:val="18"/>
        </w:rPr>
        <w:t>容。</w:t>
      </w:r>
    </w:p>
    <w:p w14:paraId="28D0835E">
      <w:pPr>
        <w:pStyle w:val="8"/>
        <w:ind w:left="0" w:leftChars="0" w:firstLine="0" w:firstLineChars="0"/>
        <w:jc w:val="both"/>
        <w:rPr>
          <w:rFonts w:hint="eastAsia" w:hAnsi="宋体" w:cs="宋体"/>
          <w:color w:val="auto"/>
          <w:spacing w:val="8"/>
          <w:position w:val="-1"/>
          <w:sz w:val="24"/>
          <w:szCs w:val="24"/>
          <w:highlight w:val="none"/>
          <w:lang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hAnsi="宋体" w:cs="宋体"/>
          <w:color w:val="auto"/>
          <w:spacing w:val="8"/>
          <w:position w:val="-1"/>
          <w:sz w:val="24"/>
          <w:szCs w:val="24"/>
          <w:highlight w:val="none"/>
          <w:lang w:eastAsia="zh-CN"/>
        </w:rPr>
        <w:t>：</w:t>
      </w:r>
    </w:p>
    <w:p w14:paraId="6CFA0489">
      <w:pPr>
        <w:pStyle w:val="8"/>
        <w:ind w:left="0" w:leftChars="0" w:firstLine="0" w:firstLineChars="0"/>
        <w:jc w:val="both"/>
        <w:rPr>
          <w:rFonts w:hint="eastAsia" w:ascii="Times New Roman" w:hAnsi="Times New Roman" w:cs="Times New Roman"/>
          <w:b w:val="0"/>
          <w:bCs w:val="0"/>
          <w:color w:val="auto"/>
          <w:sz w:val="40"/>
          <w:szCs w:val="40"/>
          <w:highlight w:val="none"/>
          <w:lang w:val="en-US" w:eastAsia="zh-CN"/>
        </w:rPr>
      </w:pPr>
      <w:r>
        <w:rPr>
          <w:rFonts w:hint="eastAsia" w:hAnsi="宋体" w:cs="宋体"/>
          <w:color w:val="auto"/>
          <w:spacing w:val="8"/>
          <w:position w:val="-1"/>
          <w:sz w:val="24"/>
          <w:szCs w:val="24"/>
          <w:highlight w:val="none"/>
          <w:lang w:val="en-US" w:eastAsia="zh-CN"/>
        </w:rPr>
        <w:t>日期：                                                               日期：</w:t>
      </w:r>
    </w:p>
    <w:p w14:paraId="78FD9862">
      <w:pPr>
        <w:pageBreakBefore w:val="0"/>
        <w:wordWrap/>
        <w:topLinePunct w:val="0"/>
        <w:bidi w:val="0"/>
        <w:adjustRightInd w:val="0"/>
        <w:snapToGrid w:val="0"/>
        <w:spacing w:line="360" w:lineRule="auto"/>
        <w:jc w:val="both"/>
        <w:rPr>
          <w:rFonts w:hint="eastAsia" w:ascii="仿宋" w:hAnsi="仿宋" w:eastAsia="仿宋" w:cs="仿宋"/>
          <w:b/>
          <w:bCs/>
          <w:color w:val="auto"/>
          <w:sz w:val="44"/>
          <w:szCs w:val="44"/>
          <w:highlight w:val="none"/>
          <w:lang w:val="en-US" w:eastAsia="zh-CN"/>
        </w:rPr>
        <w:sectPr>
          <w:pgSz w:w="16838" w:h="11906" w:orient="landscape"/>
          <w:pgMar w:top="850" w:right="1134" w:bottom="850" w:left="567"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53CC7B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right"/>
        <w:textAlignment w:val="auto"/>
        <w:outlineLvl w:val="0"/>
        <w:rPr>
          <w:rFonts w:hint="eastAsia" w:ascii="仿宋" w:hAnsi="仿宋" w:eastAsia="仿宋" w:cs="仿宋"/>
          <w:b/>
          <w:bCs/>
          <w:color w:val="auto"/>
          <w:sz w:val="44"/>
          <w:szCs w:val="44"/>
          <w:highlight w:val="none"/>
          <w:lang w:val="en-US" w:eastAsia="zh-CN"/>
        </w:rPr>
      </w:pPr>
      <w:bookmarkStart w:id="45" w:name="_Toc29596"/>
      <w:r>
        <w:rPr>
          <w:rFonts w:hint="eastAsia" w:ascii="仿宋" w:hAnsi="仿宋" w:eastAsia="仿宋" w:cs="仿宋"/>
          <w:b/>
          <w:bCs/>
          <w:color w:val="auto"/>
          <w:sz w:val="36"/>
          <w:szCs w:val="36"/>
          <w:highlight w:val="none"/>
          <w:lang w:val="en-US" w:eastAsia="zh-CN"/>
        </w:rPr>
        <w:t>附件六</w:t>
      </w:r>
      <w:bookmarkEnd w:id="45"/>
    </w:p>
    <w:p w14:paraId="68F88A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bCs/>
          <w:color w:val="auto"/>
          <w:sz w:val="40"/>
          <w:szCs w:val="36"/>
          <w:highlight w:val="none"/>
          <w:lang w:val="en-US" w:eastAsia="zh-CN"/>
        </w:rPr>
      </w:pPr>
      <w:bookmarkStart w:id="46" w:name="_Toc18625"/>
      <w:r>
        <w:rPr>
          <w:rFonts w:hint="eastAsia" w:ascii="仿宋" w:hAnsi="仿宋" w:eastAsia="仿宋" w:cs="仿宋"/>
          <w:b/>
          <w:bCs/>
          <w:color w:val="auto"/>
          <w:sz w:val="40"/>
          <w:szCs w:val="36"/>
          <w:highlight w:val="none"/>
          <w:lang w:val="en-US" w:eastAsia="zh-CN"/>
        </w:rPr>
        <w:t>甲方项目章样式</w:t>
      </w:r>
      <w:bookmarkEnd w:id="46"/>
    </w:p>
    <w:p w14:paraId="22F8A4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（合同签订时上传）</w:t>
      </w:r>
    </w:p>
    <w:p w14:paraId="7772F97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5E5CEF4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5C6EEA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179667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517E76C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4CE171E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0C4AF4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180FEC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47AC51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2B5B46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209BBF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206C22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0114F0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5DDDB66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3893B4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29AF8B53">
      <w:pPr>
        <w:adjustRightInd w:val="0"/>
        <w:snapToGrid w:val="0"/>
        <w:spacing w:line="360" w:lineRule="auto"/>
        <w:jc w:val="right"/>
        <w:outlineLvl w:val="0"/>
        <w:rPr>
          <w:rFonts w:hint="eastAsia" w:ascii="仿宋" w:hAnsi="仿宋" w:eastAsia="仿宋" w:cs="仿宋"/>
          <w:color w:val="auto"/>
          <w:sz w:val="40"/>
          <w:szCs w:val="40"/>
          <w:highlight w:val="none"/>
          <w:lang w:val="en-US" w:eastAsia="zh-CN"/>
        </w:rPr>
      </w:pPr>
      <w:bookmarkStart w:id="47" w:name="_Toc22026"/>
      <w:r>
        <w:rPr>
          <w:rFonts w:hint="eastAsia" w:ascii="仿宋" w:hAnsi="仿宋" w:eastAsia="仿宋" w:cs="仿宋"/>
          <w:b/>
          <w:bCs/>
          <w:color w:val="auto"/>
          <w:sz w:val="36"/>
          <w:szCs w:val="36"/>
          <w:highlight w:val="none"/>
          <w:lang w:val="en-US" w:eastAsia="zh-CN"/>
        </w:rPr>
        <w:t>附件七</w:t>
      </w:r>
      <w:bookmarkEnd w:id="47"/>
    </w:p>
    <w:p w14:paraId="54C267CD">
      <w:pPr>
        <w:adjustRightInd w:val="0"/>
        <w:snapToGrid w:val="0"/>
        <w:spacing w:line="360" w:lineRule="auto"/>
        <w:jc w:val="center"/>
        <w:rPr>
          <w:rFonts w:hint="eastAsia" w:ascii="仿宋" w:hAnsi="仿宋" w:eastAsia="仿宋" w:cs="仿宋"/>
          <w:color w:val="auto"/>
        </w:rPr>
      </w:pPr>
      <w:r>
        <w:rPr>
          <w:rFonts w:hint="eastAsia" w:ascii="仿宋" w:hAnsi="仿宋" w:eastAsia="仿宋" w:cs="仿宋"/>
          <w:color w:val="auto"/>
          <w:sz w:val="44"/>
          <w:szCs w:val="44"/>
        </w:rPr>
        <w:drawing>
          <wp:inline distT="0" distB="0" distL="0" distR="0">
            <wp:extent cx="5547995" cy="692785"/>
            <wp:effectExtent l="0" t="0" r="14605" b="12065"/>
            <wp:docPr id="1029" name="图片 6" descr="LOGO-1"/>
            <wp:cNvGraphicFramePr/>
            <a:graphic xmlns:a="http://schemas.openxmlformats.org/drawingml/2006/main">
              <a:graphicData uri="http://schemas.openxmlformats.org/drawingml/2006/picture">
                <pic:pic xmlns:pic="http://schemas.openxmlformats.org/drawingml/2006/picture">
                  <pic:nvPicPr>
                    <pic:cNvPr id="1029" name="图片 6" descr="LOGO-1"/>
                    <pic:cNvPicPr/>
                  </pic:nvPicPr>
                  <pic:blipFill>
                    <a:blip r:embed="rId9" cstate="print">
                      <a:clrChange>
                        <a:clrFrom>
                          <a:srgbClr val="FFFFFF"/>
                        </a:clrFrom>
                        <a:clrTo>
                          <a:srgbClr val="FFFFFF">
                            <a:alpha val="0"/>
                          </a:srgbClr>
                        </a:clrTo>
                      </a:clrChange>
                    </a:blip>
                    <a:srcRect/>
                    <a:stretch>
                      <a:fillRect/>
                    </a:stretch>
                  </pic:blipFill>
                  <pic:spPr>
                    <a:xfrm>
                      <a:off x="0" y="0"/>
                      <a:ext cx="5547995" cy="692785"/>
                    </a:xfrm>
                    <a:prstGeom prst="rect">
                      <a:avLst/>
                    </a:prstGeom>
                  </pic:spPr>
                </pic:pic>
              </a:graphicData>
            </a:graphic>
          </wp:inline>
        </w:drawing>
      </w:r>
    </w:p>
    <w:p w14:paraId="60AB848D">
      <w:pPr>
        <w:adjustRightInd w:val="0"/>
        <w:snapToGrid w:val="0"/>
        <w:spacing w:line="360" w:lineRule="auto"/>
        <w:jc w:val="both"/>
        <w:rPr>
          <w:rFonts w:hint="eastAsia" w:ascii="仿宋" w:hAnsi="仿宋" w:eastAsia="仿宋" w:cs="仿宋"/>
          <w:color w:val="auto"/>
          <w:sz w:val="36"/>
          <w:szCs w:val="36"/>
        </w:rPr>
      </w:pPr>
      <w:r>
        <w:rPr>
          <w:rFonts w:hint="eastAsia" w:ascii="仿宋" w:hAnsi="仿宋" w:eastAsia="仿宋" w:cs="仿宋"/>
          <w:color w:val="auto"/>
          <w:sz w:val="36"/>
          <w:szCs w:val="36"/>
        </w:rPr>
        <w:t>物 料 申 购 单</w:t>
      </w:r>
    </w:p>
    <w:p w14:paraId="6F67246D">
      <w:pPr>
        <w:adjustRightInd w:val="0"/>
        <w:snapToGrid w:val="0"/>
        <w:spacing w:line="360" w:lineRule="auto"/>
        <w:jc w:val="both"/>
        <w:rPr>
          <w:rFonts w:hint="eastAsia" w:ascii="仿宋" w:hAnsi="仿宋" w:eastAsia="仿宋" w:cs="仿宋"/>
          <w:color w:val="auto"/>
        </w:rPr>
      </w:pPr>
      <w:r>
        <w:rPr>
          <w:rFonts w:hint="eastAsia" w:ascii="仿宋" w:hAnsi="仿宋" w:eastAsia="仿宋" w:cs="仿宋"/>
          <w:color w:val="auto"/>
        </w:rPr>
        <w:t xml:space="preserve">工程名称：     </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日 期 ：</w:t>
      </w:r>
      <w:r>
        <w:rPr>
          <w:rFonts w:hint="eastAsia" w:ascii="仿宋" w:hAnsi="仿宋" w:eastAsia="仿宋" w:cs="仿宋"/>
          <w:color w:val="auto"/>
          <w:lang w:val="en-US" w:eastAsia="zh-CN"/>
        </w:rPr>
        <w:t xml:space="preserve">202  </w:t>
      </w:r>
      <w:r>
        <w:rPr>
          <w:rFonts w:hint="eastAsia" w:ascii="仿宋" w:hAnsi="仿宋" w:eastAsia="仿宋" w:cs="仿宋"/>
          <w:color w:val="auto"/>
        </w:rPr>
        <w:t xml:space="preserve">年 </w:t>
      </w:r>
      <w:r>
        <w:rPr>
          <w:rFonts w:hint="eastAsia" w:ascii="仿宋" w:hAnsi="仿宋" w:eastAsia="仿宋" w:cs="仿宋"/>
          <w:color w:val="auto"/>
          <w:lang w:val="en-US" w:eastAsia="zh-CN"/>
        </w:rPr>
        <w:t xml:space="preserve"> </w:t>
      </w:r>
      <w:r>
        <w:rPr>
          <w:rFonts w:hint="eastAsia" w:ascii="仿宋" w:hAnsi="仿宋" w:eastAsia="仿宋" w:cs="仿宋"/>
          <w:color w:val="auto"/>
        </w:rPr>
        <w:t>月  日</w:t>
      </w:r>
      <w:r>
        <w:rPr>
          <w:rFonts w:hint="eastAsia" w:ascii="仿宋" w:hAnsi="仿宋" w:eastAsia="仿宋" w:cs="仿宋"/>
          <w:color w:val="auto"/>
          <w:lang w:val="en-US" w:eastAsia="zh-CN"/>
        </w:rPr>
        <w:t xml:space="preserve"> </w:t>
      </w:r>
      <w:r>
        <w:rPr>
          <w:rFonts w:hint="eastAsia" w:ascii="仿宋" w:hAnsi="仿宋" w:eastAsia="仿宋" w:cs="仿宋"/>
          <w:color w:val="auto"/>
        </w:rPr>
        <w:t>第</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页                              </w:t>
      </w:r>
    </w:p>
    <w:tbl>
      <w:tblPr>
        <w:tblStyle w:val="10"/>
        <w:tblpPr w:leftFromText="180" w:rightFromText="180" w:vertAnchor="text" w:horzAnchor="page" w:tblpX="8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2174"/>
      </w:tblGrid>
      <w:tr w14:paraId="0CF7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14:paraId="58C91178">
            <w:pPr>
              <w:adjustRightInd w:val="0"/>
              <w:snapToGrid w:val="0"/>
              <w:spacing w:line="360" w:lineRule="auto"/>
              <w:jc w:val="both"/>
              <w:rPr>
                <w:rFonts w:hint="eastAsia" w:ascii="仿宋" w:hAnsi="仿宋" w:eastAsia="仿宋" w:cs="仿宋"/>
                <w:color w:val="auto"/>
              </w:rPr>
            </w:pPr>
            <w:r>
              <w:rPr>
                <w:rFonts w:hint="eastAsia" w:ascii="仿宋" w:hAnsi="仿宋" w:eastAsia="仿宋" w:cs="仿宋"/>
                <w:color w:val="auto"/>
              </w:rPr>
              <w:t>序号</w:t>
            </w:r>
          </w:p>
        </w:tc>
        <w:tc>
          <w:tcPr>
            <w:tcW w:w="2603" w:type="dxa"/>
            <w:vAlign w:val="center"/>
          </w:tcPr>
          <w:p w14:paraId="5690FDAB">
            <w:pPr>
              <w:adjustRightInd w:val="0"/>
              <w:snapToGrid w:val="0"/>
              <w:spacing w:line="360" w:lineRule="auto"/>
              <w:jc w:val="both"/>
              <w:rPr>
                <w:rFonts w:hint="eastAsia" w:ascii="仿宋" w:hAnsi="仿宋" w:eastAsia="仿宋" w:cs="仿宋"/>
                <w:color w:val="auto"/>
              </w:rPr>
            </w:pPr>
            <w:r>
              <w:rPr>
                <w:rFonts w:hint="eastAsia" w:ascii="仿宋" w:hAnsi="仿宋" w:eastAsia="仿宋" w:cs="仿宋"/>
                <w:color w:val="auto"/>
              </w:rPr>
              <w:t>材料名称/规格</w:t>
            </w:r>
          </w:p>
        </w:tc>
        <w:tc>
          <w:tcPr>
            <w:tcW w:w="1560" w:type="dxa"/>
            <w:vAlign w:val="center"/>
          </w:tcPr>
          <w:p w14:paraId="027E16F7">
            <w:pPr>
              <w:adjustRightInd w:val="0"/>
              <w:snapToGrid w:val="0"/>
              <w:spacing w:line="360" w:lineRule="auto"/>
              <w:jc w:val="both"/>
              <w:rPr>
                <w:rFonts w:hint="eastAsia" w:ascii="仿宋" w:hAnsi="仿宋" w:eastAsia="仿宋" w:cs="仿宋"/>
                <w:color w:val="auto"/>
              </w:rPr>
            </w:pPr>
            <w:r>
              <w:rPr>
                <w:rFonts w:hint="eastAsia" w:ascii="仿宋" w:hAnsi="仿宋" w:eastAsia="仿宋" w:cs="仿宋"/>
                <w:color w:val="auto"/>
              </w:rPr>
              <w:t>数量/单位</w:t>
            </w:r>
          </w:p>
        </w:tc>
        <w:tc>
          <w:tcPr>
            <w:tcW w:w="1335" w:type="dxa"/>
            <w:vAlign w:val="center"/>
          </w:tcPr>
          <w:p w14:paraId="193BAD84">
            <w:pPr>
              <w:adjustRightInd w:val="0"/>
              <w:snapToGrid w:val="0"/>
              <w:spacing w:line="360" w:lineRule="auto"/>
              <w:jc w:val="both"/>
              <w:rPr>
                <w:rFonts w:hint="eastAsia" w:ascii="仿宋" w:hAnsi="仿宋" w:eastAsia="仿宋" w:cs="仿宋"/>
                <w:color w:val="auto"/>
              </w:rPr>
            </w:pPr>
            <w:r>
              <w:rPr>
                <w:rFonts w:hint="eastAsia" w:ascii="仿宋" w:hAnsi="仿宋" w:eastAsia="仿宋" w:cs="仿宋"/>
                <w:color w:val="auto"/>
              </w:rPr>
              <w:t>到货日期</w:t>
            </w:r>
          </w:p>
        </w:tc>
        <w:tc>
          <w:tcPr>
            <w:tcW w:w="1515" w:type="dxa"/>
            <w:vAlign w:val="center"/>
          </w:tcPr>
          <w:p w14:paraId="03FD930C">
            <w:pPr>
              <w:adjustRightInd w:val="0"/>
              <w:snapToGrid w:val="0"/>
              <w:spacing w:line="360" w:lineRule="auto"/>
              <w:jc w:val="both"/>
              <w:rPr>
                <w:rFonts w:hint="eastAsia" w:ascii="仿宋" w:hAnsi="仿宋" w:eastAsia="仿宋" w:cs="仿宋"/>
                <w:color w:val="auto"/>
              </w:rPr>
            </w:pPr>
            <w:r>
              <w:rPr>
                <w:rFonts w:hint="eastAsia" w:ascii="仿宋" w:hAnsi="仿宋" w:eastAsia="仿宋" w:cs="仿宋"/>
                <w:color w:val="auto"/>
              </w:rPr>
              <w:t>质量要求</w:t>
            </w:r>
          </w:p>
        </w:tc>
        <w:tc>
          <w:tcPr>
            <w:tcW w:w="2174" w:type="dxa"/>
            <w:vAlign w:val="center"/>
          </w:tcPr>
          <w:p w14:paraId="752D9A87">
            <w:pPr>
              <w:adjustRightInd w:val="0"/>
              <w:snapToGrid w:val="0"/>
              <w:spacing w:line="360" w:lineRule="auto"/>
              <w:jc w:val="both"/>
              <w:rPr>
                <w:rFonts w:hint="eastAsia" w:ascii="仿宋" w:hAnsi="仿宋" w:eastAsia="仿宋" w:cs="仿宋"/>
                <w:color w:val="auto"/>
              </w:rPr>
            </w:pPr>
            <w:r>
              <w:rPr>
                <w:rFonts w:hint="eastAsia" w:ascii="仿宋" w:hAnsi="仿宋" w:eastAsia="仿宋" w:cs="仿宋"/>
                <w:color w:val="auto"/>
              </w:rPr>
              <w:t>用途等备注</w:t>
            </w:r>
          </w:p>
        </w:tc>
      </w:tr>
      <w:tr w14:paraId="08DD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0FD3760B">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w:t>
            </w:r>
          </w:p>
        </w:tc>
        <w:tc>
          <w:tcPr>
            <w:tcW w:w="2603" w:type="dxa"/>
            <w:vAlign w:val="center"/>
          </w:tcPr>
          <w:p w14:paraId="49B12112">
            <w:pPr>
              <w:tabs>
                <w:tab w:val="left" w:pos="910"/>
              </w:tabs>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60" w:type="dxa"/>
            <w:vAlign w:val="center"/>
          </w:tcPr>
          <w:p w14:paraId="62B2FB66">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40BE86D0">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77C9C2BF">
            <w:pPr>
              <w:adjustRightInd w:val="0"/>
              <w:snapToGrid w:val="0"/>
              <w:spacing w:line="360" w:lineRule="auto"/>
              <w:jc w:val="both"/>
              <w:rPr>
                <w:rFonts w:hint="eastAsia" w:ascii="仿宋" w:hAnsi="仿宋" w:eastAsia="仿宋" w:cs="仿宋"/>
                <w:color w:val="auto"/>
                <w:lang w:val="en-US" w:eastAsia="zh-CN"/>
              </w:rPr>
            </w:pPr>
          </w:p>
        </w:tc>
        <w:tc>
          <w:tcPr>
            <w:tcW w:w="2174" w:type="dxa"/>
            <w:vMerge w:val="restart"/>
            <w:vAlign w:val="center"/>
          </w:tcPr>
          <w:p w14:paraId="31F5B9B8">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r>
      <w:tr w14:paraId="14A3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0" w:type="dxa"/>
            <w:vAlign w:val="center"/>
          </w:tcPr>
          <w:p w14:paraId="1ED49A30">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2603" w:type="dxa"/>
            <w:vAlign w:val="center"/>
          </w:tcPr>
          <w:p w14:paraId="204C9D52">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60" w:type="dxa"/>
            <w:vAlign w:val="center"/>
          </w:tcPr>
          <w:p w14:paraId="12217DE9">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027B9BD3">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5B78EE7B">
            <w:pPr>
              <w:adjustRightInd w:val="0"/>
              <w:snapToGrid w:val="0"/>
              <w:spacing w:line="360" w:lineRule="auto"/>
              <w:jc w:val="both"/>
              <w:rPr>
                <w:rFonts w:hint="eastAsia" w:ascii="仿宋" w:hAnsi="仿宋" w:eastAsia="仿宋" w:cs="仿宋"/>
                <w:color w:val="auto"/>
                <w:lang w:eastAsia="zh-CN"/>
              </w:rPr>
            </w:pPr>
          </w:p>
        </w:tc>
        <w:tc>
          <w:tcPr>
            <w:tcW w:w="2174" w:type="dxa"/>
            <w:vMerge w:val="continue"/>
            <w:vAlign w:val="center"/>
          </w:tcPr>
          <w:p w14:paraId="465EA7EE">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r>
      <w:tr w14:paraId="4499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40F7C645">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3</w:t>
            </w:r>
          </w:p>
        </w:tc>
        <w:tc>
          <w:tcPr>
            <w:tcW w:w="2603" w:type="dxa"/>
            <w:vAlign w:val="center"/>
          </w:tcPr>
          <w:p w14:paraId="3E69B2C5">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60" w:type="dxa"/>
            <w:vAlign w:val="center"/>
          </w:tcPr>
          <w:p w14:paraId="54056DF5">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12EA4B6B">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15" w:type="dxa"/>
            <w:vAlign w:val="center"/>
          </w:tcPr>
          <w:p w14:paraId="02812009">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2572CF1E">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r>
      <w:tr w14:paraId="4BED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0" w:type="dxa"/>
            <w:vAlign w:val="center"/>
          </w:tcPr>
          <w:p w14:paraId="5CF03A1D">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2603" w:type="dxa"/>
            <w:vAlign w:val="center"/>
          </w:tcPr>
          <w:p w14:paraId="7CA483F9">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60" w:type="dxa"/>
            <w:vAlign w:val="center"/>
          </w:tcPr>
          <w:p w14:paraId="4551AC54">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335" w:type="dxa"/>
            <w:vAlign w:val="center"/>
          </w:tcPr>
          <w:p w14:paraId="4399793E">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15" w:type="dxa"/>
            <w:vAlign w:val="center"/>
          </w:tcPr>
          <w:p w14:paraId="382CF1FE">
            <w:pPr>
              <w:adjustRightInd w:val="0"/>
              <w:snapToGrid w:val="0"/>
              <w:spacing w:line="360" w:lineRule="auto"/>
              <w:jc w:val="both"/>
              <w:rPr>
                <w:rFonts w:hint="eastAsia" w:ascii="仿宋" w:hAnsi="仿宋" w:eastAsia="仿宋" w:cs="仿宋"/>
                <w:color w:val="auto"/>
                <w:lang w:eastAsia="zh-CN"/>
              </w:rPr>
            </w:pPr>
          </w:p>
        </w:tc>
        <w:tc>
          <w:tcPr>
            <w:tcW w:w="2174" w:type="dxa"/>
            <w:vMerge w:val="continue"/>
            <w:vAlign w:val="center"/>
          </w:tcPr>
          <w:p w14:paraId="48AF7ECB">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r>
      <w:tr w14:paraId="6EA5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14:paraId="52715CD6">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5</w:t>
            </w:r>
          </w:p>
        </w:tc>
        <w:tc>
          <w:tcPr>
            <w:tcW w:w="2603" w:type="dxa"/>
            <w:vAlign w:val="center"/>
          </w:tcPr>
          <w:p w14:paraId="1DEFC75B">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60" w:type="dxa"/>
            <w:vAlign w:val="center"/>
          </w:tcPr>
          <w:p w14:paraId="0089445B">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335" w:type="dxa"/>
            <w:vAlign w:val="center"/>
          </w:tcPr>
          <w:p w14:paraId="3BDBB50C">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15" w:type="dxa"/>
            <w:vAlign w:val="center"/>
          </w:tcPr>
          <w:p w14:paraId="75EC43AD">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2174" w:type="dxa"/>
            <w:vMerge w:val="continue"/>
            <w:vAlign w:val="center"/>
          </w:tcPr>
          <w:p w14:paraId="458834C2">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r>
      <w:tr w14:paraId="176E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80" w:type="dxa"/>
            <w:vAlign w:val="center"/>
          </w:tcPr>
          <w:p w14:paraId="374EE3BC">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6</w:t>
            </w:r>
          </w:p>
        </w:tc>
        <w:tc>
          <w:tcPr>
            <w:tcW w:w="2603" w:type="dxa"/>
            <w:vAlign w:val="center"/>
          </w:tcPr>
          <w:p w14:paraId="15EC4DCE">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60" w:type="dxa"/>
            <w:vAlign w:val="center"/>
          </w:tcPr>
          <w:p w14:paraId="7F328D88">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07842C1F">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15" w:type="dxa"/>
            <w:vAlign w:val="center"/>
          </w:tcPr>
          <w:p w14:paraId="0576F449">
            <w:pPr>
              <w:adjustRightInd w:val="0"/>
              <w:snapToGrid w:val="0"/>
              <w:spacing w:line="360" w:lineRule="auto"/>
              <w:jc w:val="both"/>
              <w:rPr>
                <w:rFonts w:hint="eastAsia" w:ascii="仿宋" w:hAnsi="仿宋" w:eastAsia="仿宋" w:cs="仿宋"/>
                <w:color w:val="auto"/>
                <w:lang w:eastAsia="zh-CN"/>
              </w:rPr>
            </w:pPr>
          </w:p>
        </w:tc>
        <w:tc>
          <w:tcPr>
            <w:tcW w:w="2174" w:type="dxa"/>
            <w:vMerge w:val="restart"/>
            <w:vAlign w:val="center"/>
          </w:tcPr>
          <w:p w14:paraId="271D1E08">
            <w:pPr>
              <w:adjustRightInd w:val="0"/>
              <w:snapToGrid w:val="0"/>
              <w:spacing w:line="360" w:lineRule="auto"/>
              <w:jc w:val="both"/>
              <w:rPr>
                <w:rFonts w:hint="eastAsia" w:ascii="仿宋" w:hAnsi="仿宋" w:eastAsia="仿宋" w:cs="仿宋"/>
                <w:color w:val="auto"/>
                <w:lang w:val="en-US" w:eastAsia="zh-CN"/>
              </w:rPr>
            </w:pPr>
          </w:p>
        </w:tc>
      </w:tr>
      <w:tr w14:paraId="3600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43E67DD6">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7</w:t>
            </w:r>
          </w:p>
        </w:tc>
        <w:tc>
          <w:tcPr>
            <w:tcW w:w="2603" w:type="dxa"/>
            <w:vAlign w:val="center"/>
          </w:tcPr>
          <w:p w14:paraId="0A664C76">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05FF47CE">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09AE0467">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15" w:type="dxa"/>
            <w:vAlign w:val="center"/>
          </w:tcPr>
          <w:p w14:paraId="157F6D00">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2865176B">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r>
      <w:tr w14:paraId="5C0D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dxa"/>
            <w:vAlign w:val="center"/>
          </w:tcPr>
          <w:p w14:paraId="04969007">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8</w:t>
            </w:r>
          </w:p>
        </w:tc>
        <w:tc>
          <w:tcPr>
            <w:tcW w:w="2603" w:type="dxa"/>
            <w:vAlign w:val="center"/>
          </w:tcPr>
          <w:p w14:paraId="040DCB41">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1A8AF9E6">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1DC95B58">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15" w:type="dxa"/>
            <w:vAlign w:val="center"/>
          </w:tcPr>
          <w:p w14:paraId="5EDAB6B1">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6A9E0D87">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r>
      <w:tr w14:paraId="6920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Align w:val="center"/>
          </w:tcPr>
          <w:p w14:paraId="2C7BDA74">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9</w:t>
            </w:r>
          </w:p>
        </w:tc>
        <w:tc>
          <w:tcPr>
            <w:tcW w:w="2603" w:type="dxa"/>
            <w:vAlign w:val="center"/>
          </w:tcPr>
          <w:p w14:paraId="78746A4D">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3A4FE2D4">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43F992DE">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15" w:type="dxa"/>
            <w:vAlign w:val="center"/>
          </w:tcPr>
          <w:p w14:paraId="63A03C21">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4F3395DD">
            <w:pPr>
              <w:adjustRightInd w:val="0"/>
              <w:snapToGrid w:val="0"/>
              <w:spacing w:line="360" w:lineRule="auto"/>
              <w:jc w:val="both"/>
              <w:rPr>
                <w:rFonts w:hint="eastAsia" w:ascii="仿宋" w:hAnsi="仿宋" w:eastAsia="仿宋" w:cs="仿宋"/>
                <w:color w:val="auto"/>
                <w:lang w:eastAsia="zh-CN"/>
              </w:rPr>
            </w:pPr>
          </w:p>
        </w:tc>
      </w:tr>
      <w:tr w14:paraId="6775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0" w:type="dxa"/>
            <w:vAlign w:val="center"/>
          </w:tcPr>
          <w:p w14:paraId="0464E5E0">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10</w:t>
            </w:r>
          </w:p>
        </w:tc>
        <w:tc>
          <w:tcPr>
            <w:tcW w:w="2603" w:type="dxa"/>
            <w:vAlign w:val="center"/>
          </w:tcPr>
          <w:p w14:paraId="274E41D4">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0894890B">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72E72132">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3CBE3E7A">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42CB48BA">
            <w:pPr>
              <w:adjustRightInd w:val="0"/>
              <w:snapToGrid w:val="0"/>
              <w:spacing w:line="360" w:lineRule="auto"/>
              <w:jc w:val="both"/>
              <w:rPr>
                <w:rFonts w:hint="eastAsia" w:ascii="仿宋" w:hAnsi="仿宋" w:eastAsia="仿宋" w:cs="仿宋"/>
                <w:color w:val="auto"/>
                <w:lang w:eastAsia="zh-CN"/>
              </w:rPr>
            </w:pPr>
          </w:p>
        </w:tc>
      </w:tr>
      <w:tr w14:paraId="6159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1E398A99">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11</w:t>
            </w:r>
          </w:p>
        </w:tc>
        <w:tc>
          <w:tcPr>
            <w:tcW w:w="2603" w:type="dxa"/>
            <w:vAlign w:val="center"/>
          </w:tcPr>
          <w:p w14:paraId="0705F6C7">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4CC29C5D">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0EB4223D">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05398DF8">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7BAC1956">
            <w:pPr>
              <w:adjustRightInd w:val="0"/>
              <w:snapToGrid w:val="0"/>
              <w:spacing w:line="360" w:lineRule="auto"/>
              <w:jc w:val="both"/>
              <w:rPr>
                <w:rFonts w:hint="eastAsia" w:ascii="仿宋" w:hAnsi="仿宋" w:eastAsia="仿宋" w:cs="仿宋"/>
                <w:color w:val="auto"/>
                <w:lang w:eastAsia="zh-CN"/>
              </w:rPr>
            </w:pPr>
          </w:p>
        </w:tc>
      </w:tr>
      <w:tr w14:paraId="0CAF2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699BFA32">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12</w:t>
            </w:r>
          </w:p>
        </w:tc>
        <w:tc>
          <w:tcPr>
            <w:tcW w:w="2603" w:type="dxa"/>
            <w:vAlign w:val="center"/>
          </w:tcPr>
          <w:p w14:paraId="575A1B35">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2E4C86B8">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753860C7">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638AB453">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3FAC28B9">
            <w:pPr>
              <w:adjustRightInd w:val="0"/>
              <w:snapToGrid w:val="0"/>
              <w:spacing w:line="360" w:lineRule="auto"/>
              <w:jc w:val="both"/>
              <w:rPr>
                <w:rFonts w:hint="eastAsia" w:ascii="仿宋" w:hAnsi="仿宋" w:eastAsia="仿宋" w:cs="仿宋"/>
                <w:color w:val="auto"/>
                <w:lang w:eastAsia="zh-CN"/>
              </w:rPr>
            </w:pPr>
          </w:p>
        </w:tc>
      </w:tr>
      <w:tr w14:paraId="08AE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0" w:type="dxa"/>
            <w:vAlign w:val="center"/>
          </w:tcPr>
          <w:p w14:paraId="3CD3E525">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13</w:t>
            </w:r>
          </w:p>
        </w:tc>
        <w:tc>
          <w:tcPr>
            <w:tcW w:w="2603" w:type="dxa"/>
            <w:vAlign w:val="center"/>
          </w:tcPr>
          <w:p w14:paraId="61860D58">
            <w:pPr>
              <w:tabs>
                <w:tab w:val="left" w:pos="631"/>
              </w:tabs>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204522DD">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79ADA517">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7D32C8E8">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3E4EAA66">
            <w:pPr>
              <w:adjustRightInd w:val="0"/>
              <w:snapToGrid w:val="0"/>
              <w:spacing w:line="360" w:lineRule="auto"/>
              <w:jc w:val="both"/>
              <w:rPr>
                <w:rFonts w:hint="eastAsia" w:ascii="仿宋" w:hAnsi="仿宋" w:eastAsia="仿宋" w:cs="仿宋"/>
                <w:color w:val="auto"/>
                <w:lang w:eastAsia="zh-CN"/>
              </w:rPr>
            </w:pPr>
          </w:p>
        </w:tc>
      </w:tr>
      <w:tr w14:paraId="3EA5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609A52A8">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14</w:t>
            </w:r>
          </w:p>
        </w:tc>
        <w:tc>
          <w:tcPr>
            <w:tcW w:w="2603" w:type="dxa"/>
            <w:vAlign w:val="center"/>
          </w:tcPr>
          <w:p w14:paraId="373C5EB6">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62A27852">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28630ED8">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594D1634">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48381F13">
            <w:pPr>
              <w:adjustRightInd w:val="0"/>
              <w:snapToGrid w:val="0"/>
              <w:spacing w:line="360" w:lineRule="auto"/>
              <w:jc w:val="both"/>
              <w:rPr>
                <w:rFonts w:hint="eastAsia" w:ascii="仿宋" w:hAnsi="仿宋" w:eastAsia="仿宋" w:cs="仿宋"/>
                <w:color w:val="auto"/>
                <w:lang w:val="en-US" w:eastAsia="zh-CN"/>
              </w:rPr>
            </w:pPr>
          </w:p>
        </w:tc>
      </w:tr>
      <w:tr w14:paraId="7D1A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5A0D14D2">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15</w:t>
            </w:r>
          </w:p>
        </w:tc>
        <w:tc>
          <w:tcPr>
            <w:tcW w:w="2603" w:type="dxa"/>
            <w:vAlign w:val="center"/>
          </w:tcPr>
          <w:p w14:paraId="66A294DB">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2CF199C3">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6747C62E">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2D98F4B3">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3AAFA500">
            <w:pPr>
              <w:adjustRightInd w:val="0"/>
              <w:snapToGrid w:val="0"/>
              <w:spacing w:line="360" w:lineRule="auto"/>
              <w:jc w:val="both"/>
              <w:rPr>
                <w:rFonts w:hint="eastAsia" w:ascii="仿宋" w:hAnsi="仿宋" w:eastAsia="仿宋" w:cs="仿宋"/>
                <w:color w:val="auto"/>
                <w:lang w:val="en-US" w:eastAsia="zh-CN"/>
              </w:rPr>
            </w:pPr>
          </w:p>
        </w:tc>
      </w:tr>
      <w:tr w14:paraId="0011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0" w:type="dxa"/>
            <w:vAlign w:val="center"/>
          </w:tcPr>
          <w:p w14:paraId="41501F4A">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16</w:t>
            </w:r>
          </w:p>
        </w:tc>
        <w:tc>
          <w:tcPr>
            <w:tcW w:w="2603" w:type="dxa"/>
            <w:vAlign w:val="center"/>
          </w:tcPr>
          <w:p w14:paraId="2CF0A871">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6A0D5B53">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58D00F90">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62E0B110">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240E4046">
            <w:pPr>
              <w:adjustRightInd w:val="0"/>
              <w:snapToGrid w:val="0"/>
              <w:spacing w:line="360" w:lineRule="auto"/>
              <w:jc w:val="both"/>
              <w:rPr>
                <w:rFonts w:hint="eastAsia" w:ascii="仿宋" w:hAnsi="仿宋" w:eastAsia="仿宋" w:cs="仿宋"/>
                <w:color w:val="auto"/>
                <w:lang w:eastAsia="zh-CN"/>
              </w:rPr>
            </w:pPr>
          </w:p>
        </w:tc>
      </w:tr>
      <w:tr w14:paraId="6392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69D17AA3">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17</w:t>
            </w:r>
          </w:p>
        </w:tc>
        <w:tc>
          <w:tcPr>
            <w:tcW w:w="2603" w:type="dxa"/>
            <w:vAlign w:val="center"/>
          </w:tcPr>
          <w:p w14:paraId="7C9ADBCB">
            <w:pPr>
              <w:adjustRightInd w:val="0"/>
              <w:snapToGrid w:val="0"/>
              <w:spacing w:line="360" w:lineRule="auto"/>
              <w:jc w:val="both"/>
              <w:rPr>
                <w:rFonts w:hint="eastAsia" w:ascii="仿宋" w:hAnsi="仿宋" w:eastAsia="仿宋" w:cs="仿宋"/>
                <w:color w:val="auto"/>
                <w:lang w:val="en-US" w:eastAsia="zh-CN"/>
              </w:rPr>
            </w:pPr>
          </w:p>
        </w:tc>
        <w:tc>
          <w:tcPr>
            <w:tcW w:w="1560" w:type="dxa"/>
            <w:vAlign w:val="center"/>
          </w:tcPr>
          <w:p w14:paraId="7A7174AE">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7DD22AC8">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40533406">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21C6AAE5">
            <w:pPr>
              <w:adjustRightInd w:val="0"/>
              <w:snapToGrid w:val="0"/>
              <w:spacing w:line="360" w:lineRule="auto"/>
              <w:jc w:val="both"/>
              <w:rPr>
                <w:rFonts w:hint="eastAsia" w:ascii="仿宋" w:hAnsi="仿宋" w:eastAsia="仿宋" w:cs="仿宋"/>
                <w:color w:val="auto"/>
                <w:lang w:eastAsia="zh-CN"/>
              </w:rPr>
            </w:pPr>
          </w:p>
        </w:tc>
      </w:tr>
      <w:tr w14:paraId="4D2C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6FF5C6ED">
            <w:pPr>
              <w:adjustRightInd w:val="0"/>
              <w:snapToGrid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18</w:t>
            </w:r>
          </w:p>
        </w:tc>
        <w:tc>
          <w:tcPr>
            <w:tcW w:w="2603" w:type="dxa"/>
            <w:vAlign w:val="center"/>
          </w:tcPr>
          <w:p w14:paraId="2A9CDCD3">
            <w:pPr>
              <w:adjustRightInd w:val="0"/>
              <w:snapToGrid w:val="0"/>
              <w:spacing w:line="360" w:lineRule="auto"/>
              <w:jc w:val="both"/>
              <w:rPr>
                <w:rFonts w:hint="eastAsia" w:ascii="仿宋" w:hAnsi="仿宋" w:eastAsia="仿宋" w:cs="仿宋"/>
                <w:color w:val="auto"/>
                <w:kern w:val="2"/>
                <w:sz w:val="21"/>
                <w:szCs w:val="24"/>
                <w:lang w:val="en-US" w:eastAsia="zh-CN" w:bidi="ar-SA"/>
              </w:rPr>
            </w:pPr>
          </w:p>
        </w:tc>
        <w:tc>
          <w:tcPr>
            <w:tcW w:w="1560" w:type="dxa"/>
            <w:vAlign w:val="center"/>
          </w:tcPr>
          <w:p w14:paraId="0C3FCF6D">
            <w:pPr>
              <w:adjustRightInd w:val="0"/>
              <w:snapToGrid w:val="0"/>
              <w:spacing w:line="360" w:lineRule="auto"/>
              <w:jc w:val="both"/>
              <w:rPr>
                <w:rFonts w:hint="eastAsia" w:ascii="仿宋" w:hAnsi="仿宋" w:eastAsia="仿宋" w:cs="仿宋"/>
                <w:color w:val="auto"/>
                <w:lang w:val="en-US" w:eastAsia="zh-CN"/>
              </w:rPr>
            </w:pPr>
          </w:p>
        </w:tc>
        <w:tc>
          <w:tcPr>
            <w:tcW w:w="1335" w:type="dxa"/>
            <w:vAlign w:val="center"/>
          </w:tcPr>
          <w:p w14:paraId="1EFDA5CC">
            <w:pPr>
              <w:adjustRightInd w:val="0"/>
              <w:snapToGrid w:val="0"/>
              <w:spacing w:line="360" w:lineRule="auto"/>
              <w:jc w:val="both"/>
              <w:rPr>
                <w:rFonts w:hint="eastAsia" w:ascii="仿宋" w:hAnsi="仿宋" w:eastAsia="仿宋" w:cs="仿宋"/>
                <w:color w:val="auto"/>
                <w:lang w:val="en-US" w:eastAsia="zh-CN"/>
              </w:rPr>
            </w:pPr>
          </w:p>
        </w:tc>
        <w:tc>
          <w:tcPr>
            <w:tcW w:w="1515" w:type="dxa"/>
            <w:vAlign w:val="center"/>
          </w:tcPr>
          <w:p w14:paraId="5821656F">
            <w:pPr>
              <w:adjustRightInd w:val="0"/>
              <w:snapToGrid w:val="0"/>
              <w:spacing w:line="360" w:lineRule="auto"/>
              <w:jc w:val="both"/>
              <w:rPr>
                <w:rFonts w:hint="eastAsia" w:ascii="仿宋" w:hAnsi="仿宋" w:eastAsia="仿宋" w:cs="仿宋"/>
                <w:color w:val="auto"/>
                <w:lang w:val="en-US" w:eastAsia="zh-CN"/>
              </w:rPr>
            </w:pPr>
          </w:p>
        </w:tc>
        <w:tc>
          <w:tcPr>
            <w:tcW w:w="2174" w:type="dxa"/>
            <w:vMerge w:val="continue"/>
            <w:vAlign w:val="center"/>
          </w:tcPr>
          <w:p w14:paraId="7A5A77A6">
            <w:pPr>
              <w:adjustRightInd w:val="0"/>
              <w:snapToGrid w:val="0"/>
              <w:spacing w:line="360" w:lineRule="auto"/>
              <w:jc w:val="both"/>
              <w:rPr>
                <w:rFonts w:hint="eastAsia" w:ascii="仿宋" w:hAnsi="仿宋" w:eastAsia="仿宋" w:cs="仿宋"/>
                <w:color w:val="auto"/>
                <w:lang w:eastAsia="zh-CN"/>
              </w:rPr>
            </w:pPr>
          </w:p>
        </w:tc>
      </w:tr>
    </w:tbl>
    <w:p w14:paraId="5861A001">
      <w:pPr>
        <w:adjustRightInd w:val="0"/>
        <w:snapToGrid w:val="0"/>
        <w:spacing w:line="360" w:lineRule="auto"/>
        <w:jc w:val="both"/>
        <w:rPr>
          <w:rFonts w:hint="eastAsia" w:ascii="仿宋" w:hAnsi="仿宋" w:eastAsia="仿宋" w:cs="仿宋"/>
          <w:color w:val="auto"/>
        </w:rPr>
      </w:pPr>
    </w:p>
    <w:p w14:paraId="5DF766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color w:val="auto"/>
          <w:sz w:val="18"/>
          <w:szCs w:val="18"/>
        </w:rPr>
        <w:t>审批人：（项目经理）           审核人：（项目副经理</w:t>
      </w:r>
      <w:r>
        <w:rPr>
          <w:rFonts w:hint="eastAsia" w:ascii="仿宋" w:hAnsi="仿宋" w:eastAsia="仿宋" w:cs="仿宋"/>
          <w:color w:val="auto"/>
          <w:sz w:val="18"/>
          <w:szCs w:val="18"/>
          <w:lang w:val="en-US" w:eastAsia="zh-CN"/>
        </w:rPr>
        <w:t>/技术负责人</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 xml:space="preserve">           </w:t>
      </w:r>
      <w:r>
        <w:rPr>
          <w:rFonts w:hint="eastAsia" w:ascii="仿宋" w:hAnsi="仿宋" w:eastAsia="仿宋" w:cs="仿宋"/>
          <w:color w:val="auto"/>
          <w:sz w:val="18"/>
          <w:szCs w:val="18"/>
        </w:rPr>
        <w:t>编制人：（栋号施工员</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lang w:eastAsia="zh-CN"/>
        </w:rPr>
        <w:t>仓管员</w:t>
      </w:r>
      <w:r>
        <w:rPr>
          <w:rFonts w:hint="eastAsia" w:ascii="仿宋" w:hAnsi="仿宋" w:eastAsia="仿宋" w:cs="仿宋"/>
          <w:color w:val="auto"/>
          <w:sz w:val="18"/>
          <w:szCs w:val="18"/>
          <w:lang w:val="en-US" w:eastAsia="zh-CN"/>
        </w:rPr>
        <w:t>/</w:t>
      </w:r>
      <w:r>
        <w:rPr>
          <w:rFonts w:hint="eastAsia" w:ascii="仿宋" w:hAnsi="仿宋" w:eastAsia="仿宋" w:cs="仿宋"/>
          <w:color w:val="auto"/>
          <w:sz w:val="18"/>
          <w:szCs w:val="18"/>
          <w:lang w:eastAsia="zh-CN"/>
        </w:rPr>
        <w:t>使用人</w:t>
      </w:r>
      <w:r>
        <w:rPr>
          <w:rFonts w:hint="eastAsia" w:ascii="仿宋" w:hAnsi="仿宋" w:eastAsia="仿宋" w:cs="仿宋"/>
          <w:color w:val="auto"/>
        </w:rPr>
        <w:t>）</w:t>
      </w:r>
    </w:p>
    <w:p w14:paraId="0A01415A">
      <w:pPr>
        <w:pStyle w:val="8"/>
        <w:ind w:left="0" w:leftChars="0" w:firstLine="0" w:firstLineChars="0"/>
        <w:jc w:val="right"/>
        <w:outlineLvl w:val="0"/>
        <w:rPr>
          <w:rFonts w:hint="eastAsia" w:ascii="Times New Roman" w:hAnsi="Times New Roman" w:eastAsia="宋体" w:cs="Times New Roman"/>
          <w:b/>
          <w:bCs/>
          <w:color w:val="auto"/>
          <w:sz w:val="36"/>
          <w:szCs w:val="36"/>
          <w:highlight w:val="none"/>
          <w:lang w:val="en-US" w:eastAsia="zh-CN"/>
        </w:rPr>
      </w:pPr>
      <w:bookmarkStart w:id="48" w:name="_Toc565"/>
      <w:r>
        <w:rPr>
          <w:rFonts w:hint="eastAsia" w:ascii="Times New Roman" w:hAnsi="Times New Roman" w:cs="Times New Roman"/>
          <w:b/>
          <w:bCs/>
          <w:color w:val="auto"/>
          <w:sz w:val="36"/>
          <w:szCs w:val="36"/>
          <w:highlight w:val="none"/>
          <w:lang w:val="en-US" w:eastAsia="zh-CN"/>
        </w:rPr>
        <w:t>附件</w:t>
      </w:r>
      <w:r>
        <w:rPr>
          <w:rFonts w:hint="eastAsia" w:ascii="Times New Roman" w:cs="Times New Roman"/>
          <w:b/>
          <w:bCs/>
          <w:color w:val="auto"/>
          <w:sz w:val="36"/>
          <w:szCs w:val="36"/>
          <w:highlight w:val="none"/>
          <w:lang w:val="en-US" w:eastAsia="zh-CN"/>
        </w:rPr>
        <w:t>八</w:t>
      </w:r>
      <w:bookmarkEnd w:id="48"/>
    </w:p>
    <w:p w14:paraId="2F4C0D85">
      <w:pPr>
        <w:spacing w:line="480" w:lineRule="auto"/>
        <w:jc w:val="both"/>
        <w:rPr>
          <w:rFonts w:hint="eastAsia" w:ascii="宋体" w:hAnsi="宋体" w:eastAsia="宋体" w:cs="宋体"/>
          <w:b/>
          <w:bCs/>
          <w:color w:val="auto"/>
          <w:sz w:val="30"/>
          <w:szCs w:val="30"/>
          <w:highlight w:val="none"/>
        </w:rPr>
      </w:pPr>
    </w:p>
    <w:p w14:paraId="05257E86">
      <w:pPr>
        <w:spacing w:line="48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调价函</w:t>
      </w:r>
    </w:p>
    <w:p w14:paraId="0DECDEB0">
      <w:pPr>
        <w:spacing w:line="48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东莞市中泰建安工程有限公司</w:t>
      </w:r>
      <w:r>
        <w:rPr>
          <w:rFonts w:hint="eastAsia" w:ascii="宋体" w:hAnsi="宋体" w:eastAsia="宋体" w:cs="宋体"/>
          <w:color w:val="auto"/>
          <w:sz w:val="24"/>
          <w:szCs w:val="24"/>
          <w:highlight w:val="none"/>
          <w:u w:val="none"/>
          <w:lang w:val="en-US" w:eastAsia="zh-CN"/>
        </w:rPr>
        <w:t>：</w:t>
      </w:r>
    </w:p>
    <w:p w14:paraId="4F6894D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本公司决定从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日零时起对供应贵司的</w:t>
      </w:r>
      <w:r>
        <w:rPr>
          <w:rFonts w:hint="eastAsia" w:ascii="宋体" w:hAnsi="宋体" w:eastAsia="宋体" w:cs="宋体"/>
          <w:color w:val="auto"/>
          <w:sz w:val="24"/>
          <w:szCs w:val="24"/>
          <w:highlight w:val="none"/>
          <w:lang w:val="en-US" w:eastAsia="zh-CN"/>
        </w:rPr>
        <w:t>下述产品进行调价</w:t>
      </w:r>
      <w:r>
        <w:rPr>
          <w:rFonts w:hint="eastAsia" w:ascii="宋体" w:hAnsi="宋体" w:eastAsia="宋体" w:cs="宋体"/>
          <w:color w:val="auto"/>
          <w:sz w:val="24"/>
          <w:szCs w:val="24"/>
          <w:highlight w:val="none"/>
        </w:rPr>
        <w:t>：</w:t>
      </w:r>
    </w:p>
    <w:tbl>
      <w:tblPr>
        <w:tblStyle w:val="10"/>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1500"/>
        <w:gridCol w:w="1545"/>
        <w:gridCol w:w="2581"/>
        <w:gridCol w:w="2520"/>
      </w:tblGrid>
      <w:tr w14:paraId="2048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5" w:type="dxa"/>
            <w:noWrap w:val="0"/>
            <w:vAlign w:val="top"/>
          </w:tcPr>
          <w:p w14:paraId="7D5F713A">
            <w:pPr>
              <w:spacing w:line="48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品牌</w:t>
            </w:r>
          </w:p>
        </w:tc>
        <w:tc>
          <w:tcPr>
            <w:tcW w:w="1500" w:type="dxa"/>
            <w:noWrap w:val="0"/>
            <w:vAlign w:val="top"/>
          </w:tcPr>
          <w:p w14:paraId="216A15FC">
            <w:pPr>
              <w:spacing w:line="48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规格</w:t>
            </w:r>
          </w:p>
        </w:tc>
        <w:tc>
          <w:tcPr>
            <w:tcW w:w="1545" w:type="dxa"/>
            <w:noWrap w:val="0"/>
            <w:vAlign w:val="top"/>
          </w:tcPr>
          <w:p w14:paraId="6D9FBBE6">
            <w:pPr>
              <w:spacing w:line="48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w:t>
            </w:r>
          </w:p>
        </w:tc>
        <w:tc>
          <w:tcPr>
            <w:tcW w:w="2581" w:type="dxa"/>
            <w:noWrap w:val="0"/>
            <w:vAlign w:val="top"/>
          </w:tcPr>
          <w:p w14:paraId="470D2652">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w:t>
            </w:r>
            <w:r>
              <w:rPr>
                <w:rFonts w:hint="eastAsia" w:ascii="宋体" w:hAnsi="宋体" w:eastAsia="宋体" w:cs="宋体"/>
                <w:color w:val="auto"/>
                <w:sz w:val="24"/>
                <w:szCs w:val="24"/>
                <w:highlight w:val="none"/>
                <w:lang w:val="en-US" w:eastAsia="zh-CN"/>
              </w:rPr>
              <w:t>整</w:t>
            </w:r>
            <w:r>
              <w:rPr>
                <w:rFonts w:hint="eastAsia" w:ascii="宋体" w:hAnsi="宋体" w:eastAsia="宋体" w:cs="宋体"/>
                <w:color w:val="auto"/>
                <w:sz w:val="24"/>
                <w:szCs w:val="24"/>
                <w:highlight w:val="none"/>
              </w:rPr>
              <w:t>前含税</w:t>
            </w:r>
            <w:r>
              <w:rPr>
                <w:rFonts w:hint="eastAsia" w:ascii="宋体" w:hAnsi="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p>
        </w:tc>
        <w:tc>
          <w:tcPr>
            <w:tcW w:w="2520" w:type="dxa"/>
            <w:noWrap w:val="0"/>
            <w:vAlign w:val="top"/>
          </w:tcPr>
          <w:p w14:paraId="5A7CB932">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w:t>
            </w:r>
            <w:r>
              <w:rPr>
                <w:rFonts w:hint="eastAsia" w:ascii="宋体" w:hAnsi="宋体" w:eastAsia="宋体" w:cs="宋体"/>
                <w:color w:val="auto"/>
                <w:sz w:val="24"/>
                <w:szCs w:val="24"/>
                <w:highlight w:val="none"/>
                <w:lang w:val="en-US" w:eastAsia="zh-CN"/>
              </w:rPr>
              <w:t>整</w:t>
            </w:r>
            <w:r>
              <w:rPr>
                <w:rFonts w:hint="eastAsia" w:ascii="宋体" w:hAnsi="宋体" w:eastAsia="宋体" w:cs="宋体"/>
                <w:color w:val="auto"/>
                <w:sz w:val="24"/>
                <w:szCs w:val="24"/>
                <w:highlight w:val="none"/>
              </w:rPr>
              <w:t>后含税</w:t>
            </w:r>
            <w:r>
              <w:rPr>
                <w:rFonts w:hint="eastAsia" w:ascii="宋体" w:hAnsi="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p>
        </w:tc>
      </w:tr>
      <w:tr w14:paraId="4BD8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5" w:type="dxa"/>
            <w:noWrap w:val="0"/>
            <w:vAlign w:val="top"/>
          </w:tcPr>
          <w:p w14:paraId="1CB6418E">
            <w:pPr>
              <w:spacing w:line="480" w:lineRule="auto"/>
              <w:jc w:val="both"/>
              <w:rPr>
                <w:rFonts w:hint="eastAsia" w:ascii="宋体" w:hAnsi="宋体" w:eastAsia="宋体" w:cs="宋体"/>
                <w:color w:val="auto"/>
                <w:sz w:val="24"/>
                <w:szCs w:val="24"/>
                <w:highlight w:val="none"/>
              </w:rPr>
            </w:pPr>
          </w:p>
        </w:tc>
        <w:tc>
          <w:tcPr>
            <w:tcW w:w="1500" w:type="dxa"/>
            <w:noWrap w:val="0"/>
            <w:vAlign w:val="top"/>
          </w:tcPr>
          <w:p w14:paraId="09E11E33">
            <w:pPr>
              <w:spacing w:line="480" w:lineRule="auto"/>
              <w:jc w:val="both"/>
              <w:rPr>
                <w:rFonts w:hint="eastAsia" w:ascii="宋体" w:hAnsi="宋体" w:eastAsia="宋体" w:cs="宋体"/>
                <w:color w:val="auto"/>
                <w:sz w:val="24"/>
                <w:szCs w:val="24"/>
                <w:highlight w:val="none"/>
                <w:lang w:val="en-US" w:eastAsia="zh-CN"/>
              </w:rPr>
            </w:pPr>
          </w:p>
        </w:tc>
        <w:tc>
          <w:tcPr>
            <w:tcW w:w="1545" w:type="dxa"/>
            <w:noWrap w:val="0"/>
            <w:vAlign w:val="top"/>
          </w:tcPr>
          <w:p w14:paraId="64188790">
            <w:pPr>
              <w:spacing w:line="480" w:lineRule="auto"/>
              <w:jc w:val="both"/>
              <w:rPr>
                <w:rFonts w:hint="eastAsia" w:ascii="宋体" w:hAnsi="宋体" w:eastAsia="宋体" w:cs="宋体"/>
                <w:color w:val="auto"/>
                <w:sz w:val="24"/>
                <w:szCs w:val="24"/>
                <w:highlight w:val="none"/>
                <w:lang w:eastAsia="zh-CN"/>
              </w:rPr>
            </w:pPr>
          </w:p>
        </w:tc>
        <w:tc>
          <w:tcPr>
            <w:tcW w:w="2581" w:type="dxa"/>
            <w:noWrap w:val="0"/>
            <w:vAlign w:val="top"/>
          </w:tcPr>
          <w:p w14:paraId="088D7079">
            <w:pPr>
              <w:spacing w:line="480" w:lineRule="auto"/>
              <w:jc w:val="both"/>
              <w:rPr>
                <w:rFonts w:hint="eastAsia" w:ascii="宋体" w:hAnsi="宋体" w:eastAsia="宋体" w:cs="宋体"/>
                <w:color w:val="auto"/>
                <w:sz w:val="24"/>
                <w:szCs w:val="24"/>
                <w:highlight w:val="none"/>
                <w:lang w:val="en-US" w:eastAsia="zh-CN"/>
              </w:rPr>
            </w:pPr>
          </w:p>
        </w:tc>
        <w:tc>
          <w:tcPr>
            <w:tcW w:w="2520" w:type="dxa"/>
            <w:noWrap w:val="0"/>
            <w:vAlign w:val="top"/>
          </w:tcPr>
          <w:p w14:paraId="19B90963">
            <w:pPr>
              <w:spacing w:line="480" w:lineRule="auto"/>
              <w:jc w:val="both"/>
              <w:rPr>
                <w:rFonts w:hint="eastAsia" w:ascii="宋体" w:hAnsi="宋体" w:eastAsia="宋体" w:cs="宋体"/>
                <w:color w:val="auto"/>
                <w:sz w:val="24"/>
                <w:szCs w:val="24"/>
                <w:highlight w:val="none"/>
                <w:lang w:val="en-US" w:eastAsia="zh-CN"/>
              </w:rPr>
            </w:pPr>
          </w:p>
        </w:tc>
      </w:tr>
    </w:tbl>
    <w:p w14:paraId="3497FB27">
      <w:pPr>
        <w:spacing w:line="48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以上单价开</w:t>
      </w:r>
      <w:r>
        <w:rPr>
          <w:rFonts w:hint="eastAsia" w:ascii="宋体" w:hAnsi="宋体" w:eastAsia="宋体" w:cs="宋体"/>
          <w:color w:val="auto"/>
          <w:sz w:val="24"/>
          <w:szCs w:val="24"/>
          <w:highlight w:val="none"/>
          <w:lang w:val="en-US" w:eastAsia="zh-CN"/>
        </w:rPr>
        <w:t>税率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的</w:t>
      </w:r>
      <w:r>
        <w:rPr>
          <w:rFonts w:hint="eastAsia" w:ascii="宋体" w:hAnsi="宋体" w:eastAsia="宋体" w:cs="宋体"/>
          <w:color w:val="auto"/>
          <w:sz w:val="24"/>
          <w:szCs w:val="24"/>
          <w:highlight w:val="none"/>
          <w:lang w:eastAsia="zh-CN"/>
        </w:rPr>
        <w:t>增值税专用</w:t>
      </w:r>
      <w:r>
        <w:rPr>
          <w:rFonts w:hint="eastAsia" w:ascii="宋体" w:hAnsi="宋体" w:eastAsia="宋体" w:cs="宋体"/>
          <w:color w:val="auto"/>
          <w:sz w:val="24"/>
          <w:szCs w:val="24"/>
          <w:highlight w:val="none"/>
        </w:rPr>
        <w:t>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以上调价为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项目，对应的合同为贵我双方签订的《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lang w:eastAsia="zh-CN"/>
        </w:rPr>
        <w:t>合同编号：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7B7D6A32">
      <w:pPr>
        <w:spacing w:line="480" w:lineRule="auto"/>
        <w:rPr>
          <w:rFonts w:hint="eastAsia" w:ascii="宋体" w:hAnsi="宋体" w:eastAsia="宋体" w:cs="宋体"/>
          <w:color w:val="auto"/>
          <w:sz w:val="24"/>
          <w:szCs w:val="24"/>
          <w:highlight w:val="none"/>
          <w:u w:val="single"/>
          <w:lang w:val="en-US" w:eastAsia="zh-CN"/>
        </w:rPr>
      </w:pPr>
    </w:p>
    <w:p w14:paraId="41D1A541">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顺祝商祺！</w:t>
      </w:r>
    </w:p>
    <w:p w14:paraId="72D59513">
      <w:pPr>
        <w:spacing w:line="480" w:lineRule="auto"/>
        <w:rPr>
          <w:rFonts w:hint="eastAsia" w:ascii="宋体" w:hAnsi="宋体" w:eastAsia="宋体" w:cs="宋体"/>
          <w:color w:val="auto"/>
          <w:sz w:val="24"/>
          <w:szCs w:val="24"/>
          <w:highlight w:val="none"/>
        </w:rPr>
      </w:pPr>
    </w:p>
    <w:p w14:paraId="4A387E97">
      <w:pPr>
        <w:spacing w:line="480" w:lineRule="auto"/>
        <w:rPr>
          <w:rFonts w:hint="eastAsia" w:ascii="宋体" w:hAnsi="宋体" w:eastAsia="宋体" w:cs="宋体"/>
          <w:color w:val="auto"/>
          <w:sz w:val="24"/>
          <w:szCs w:val="24"/>
          <w:highlight w:val="none"/>
        </w:rPr>
      </w:pPr>
    </w:p>
    <w:p w14:paraId="2AB2B700">
      <w:pPr>
        <w:spacing w:line="48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供方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需方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lang w:val="en-US" w:eastAsia="zh-CN"/>
        </w:rPr>
        <w:t>东莞市中泰建安工程有限公司</w:t>
      </w:r>
    </w:p>
    <w:p w14:paraId="3BB02326">
      <w:pPr>
        <w:spacing w:line="480" w:lineRule="auto"/>
        <w:rPr>
          <w:rFonts w:hint="eastAsia" w:ascii="宋体" w:hAnsi="宋体" w:eastAsia="宋体" w:cs="宋体"/>
          <w:color w:val="auto"/>
          <w:sz w:val="24"/>
          <w:szCs w:val="24"/>
          <w:highlight w:val="none"/>
          <w:u w:val="none"/>
          <w:lang w:val="en-US" w:eastAsia="zh-CN"/>
        </w:rPr>
      </w:pPr>
    </w:p>
    <w:p w14:paraId="79BC48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月   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月   日</w:t>
      </w:r>
      <w:r>
        <w:rPr>
          <w:rFonts w:hint="eastAsia" w:ascii="宋体" w:hAnsi="宋体" w:eastAsia="宋体" w:cs="宋体"/>
          <w:color w:val="auto"/>
          <w:sz w:val="24"/>
          <w:szCs w:val="24"/>
          <w:highlight w:val="none"/>
        </w:rPr>
        <w:t xml:space="preserve">    </w:t>
      </w:r>
    </w:p>
    <w:p w14:paraId="698E9B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0E9141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51C393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6ED051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31FE43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57015A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406971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7FD265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775B56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p w14:paraId="63001C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sectPr>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6782A02A">
      <w:pPr>
        <w:spacing w:before="26"/>
        <w:jc w:val="right"/>
        <w:rPr>
          <w:sz w:val="36"/>
          <w:szCs w:val="36"/>
        </w:rPr>
      </w:pPr>
      <w:r>
        <w:rPr>
          <w:rFonts w:hint="eastAsia" w:ascii="仿宋" w:hAnsi="仿宋" w:eastAsia="仿宋" w:cs="仿宋"/>
          <w:b/>
          <w:bCs/>
          <w:sz w:val="36"/>
          <w:szCs w:val="36"/>
          <w:lang w:eastAsia="zh-CN"/>
        </w:rPr>
        <w:t>附件九</w:t>
      </w:r>
    </w:p>
    <w:p w14:paraId="24415B2D">
      <w:pPr>
        <w:jc w:val="center"/>
        <w:rPr>
          <w:color w:val="auto"/>
        </w:rPr>
      </w:pPr>
      <w:r>
        <w:rPr>
          <w:color w:val="auto"/>
          <w:sz w:val="44"/>
        </w:rPr>
        <mc:AlternateContent>
          <mc:Choice Requires="wps">
            <w:drawing>
              <wp:anchor distT="0" distB="0" distL="114300" distR="114300" simplePos="0" relativeHeight="251662336" behindDoc="0" locked="0" layoutInCell="1" allowOverlap="1">
                <wp:simplePos x="0" y="0"/>
                <wp:positionH relativeFrom="column">
                  <wp:posOffset>7846695</wp:posOffset>
                </wp:positionH>
                <wp:positionV relativeFrom="paragraph">
                  <wp:posOffset>790575</wp:posOffset>
                </wp:positionV>
                <wp:extent cx="1208405" cy="3968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6C71B71B">
                            <w:pPr>
                              <w:rPr>
                                <w:b/>
                                <w:bCs/>
                                <w:sz w:val="30"/>
                                <w:szCs w:val="30"/>
                              </w:rPr>
                            </w:pPr>
                            <w:r>
                              <w:rPr>
                                <w:rFonts w:hint="eastAsia" w:ascii="宋体" w:hAnsi="宋体" w:eastAsia="宋体" w:cs="宋体"/>
                                <w:spacing w:val="-7"/>
                                <w:sz w:val="36"/>
                                <w:szCs w:val="36"/>
                                <w:lang w:val="en-US" w:eastAsia="zh-CN"/>
                              </w:rPr>
                              <w:t>No.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7.85pt;margin-top:62.25pt;height:31.25pt;width:95.15pt;z-index:251662336;mso-width-relative:page;mso-height-relative:page;" filled="f" stroked="f" coordsize="21600,21600" o:gfxdata="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YxyFjbAAAADQEAAA8AAAAAAAAAAQAgAAAA&#10;IgAAAGRycy9kb3ducmV2LnhtbFBLAQIUABQAAAAIAIdO4kAXNN7NQQIAAHQEAAAOAAAAAAAAAAEA&#10;IAAAACoBAABkcnMvZTJvRG9jLnhtbFBLBQYAAAAABgAGAFkBAADdBQAAAAA=&#10;">
                <v:fill on="f" focussize="0,0"/>
                <v:stroke on="f" weight="0.5pt"/>
                <v:imagedata o:title=""/>
                <o:lock v:ext="edit" aspectratio="f"/>
                <v:textbox>
                  <w:txbxContent>
                    <w:p w14:paraId="6C71B71B">
                      <w:pPr>
                        <w:rPr>
                          <w:b/>
                          <w:bCs/>
                          <w:sz w:val="30"/>
                          <w:szCs w:val="30"/>
                        </w:rPr>
                      </w:pPr>
                      <w:r>
                        <w:rPr>
                          <w:rFonts w:hint="eastAsia" w:ascii="宋体" w:hAnsi="宋体" w:eastAsia="宋体" w:cs="宋体"/>
                          <w:spacing w:val="-7"/>
                          <w:sz w:val="36"/>
                          <w:szCs w:val="36"/>
                          <w:lang w:val="en-US" w:eastAsia="zh-CN"/>
                        </w:rPr>
                        <w:t>No.</w:t>
                      </w:r>
                    </w:p>
                  </w:txbxContent>
                </v:textbox>
              </v:shape>
            </w:pict>
          </mc:Fallback>
        </mc:AlternateContent>
      </w:r>
      <w:r>
        <w:rPr>
          <w:rFonts w:hint="eastAsia"/>
          <w:color w:val="auto"/>
          <w:sz w:val="44"/>
          <w:szCs w:val="44"/>
        </w:rPr>
        <w:drawing>
          <wp:inline distT="0" distB="0" distL="114300" distR="114300">
            <wp:extent cx="5977255" cy="673735"/>
            <wp:effectExtent l="0" t="0" r="4445" b="12065"/>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5977255" cy="673735"/>
                    </a:xfrm>
                    <a:prstGeom prst="rect">
                      <a:avLst/>
                    </a:prstGeom>
                    <a:noFill/>
                    <a:ln>
                      <a:noFill/>
                    </a:ln>
                  </pic:spPr>
                </pic:pic>
              </a:graphicData>
            </a:graphic>
          </wp:inline>
        </w:drawing>
      </w:r>
    </w:p>
    <w:p w14:paraId="3FE12A60">
      <w:pPr>
        <w:pStyle w:val="3"/>
        <w:keepNext w:val="0"/>
        <w:keepLines w:val="0"/>
        <w:pageBreakBefore w:val="0"/>
        <w:widowControl/>
        <w:kinsoku w:val="0"/>
        <w:wordWrap/>
        <w:overflowPunct/>
        <w:topLinePunct w:val="0"/>
        <w:autoSpaceDE w:val="0"/>
        <w:autoSpaceDN w:val="0"/>
        <w:bidi w:val="0"/>
        <w:adjustRightInd w:val="0"/>
        <w:snapToGrid w:val="0"/>
        <w:spacing w:before="194" w:line="360" w:lineRule="auto"/>
        <w:jc w:val="center"/>
        <w:textAlignment w:val="baseline"/>
        <w:outlineLvl w:val="0"/>
        <w:rPr>
          <w:rFonts w:hint="eastAsia" w:ascii="宋体" w:hAnsi="宋体" w:eastAsia="宋体" w:cs="宋体"/>
          <w:sz w:val="36"/>
          <w:szCs w:val="36"/>
        </w:rPr>
      </w:pPr>
      <w:r>
        <w:rPr>
          <w:rFonts w:hint="eastAsia" w:cs="宋体"/>
          <w:spacing w:val="-7"/>
          <w:sz w:val="36"/>
          <w:szCs w:val="36"/>
          <w:lang w:val="en-US" w:eastAsia="zh-CN"/>
        </w:rPr>
        <w:t xml:space="preserve">材 料 </w:t>
      </w:r>
      <w:r>
        <w:rPr>
          <w:rFonts w:hint="eastAsia" w:ascii="宋体" w:hAnsi="宋体" w:eastAsia="宋体" w:cs="宋体"/>
          <w:spacing w:val="-7"/>
          <w:sz w:val="36"/>
          <w:szCs w:val="36"/>
        </w:rPr>
        <w:t>签</w:t>
      </w:r>
      <w:r>
        <w:rPr>
          <w:rFonts w:hint="eastAsia" w:ascii="宋体" w:hAnsi="宋体" w:eastAsia="宋体" w:cs="宋体"/>
          <w:spacing w:val="82"/>
          <w:sz w:val="36"/>
          <w:szCs w:val="36"/>
        </w:rPr>
        <w:t xml:space="preserve"> </w:t>
      </w:r>
      <w:r>
        <w:rPr>
          <w:rFonts w:hint="eastAsia" w:ascii="宋体" w:hAnsi="宋体" w:eastAsia="宋体" w:cs="宋体"/>
          <w:spacing w:val="-7"/>
          <w:sz w:val="36"/>
          <w:szCs w:val="36"/>
        </w:rPr>
        <w:t>收</w:t>
      </w:r>
      <w:r>
        <w:rPr>
          <w:rFonts w:hint="eastAsia" w:ascii="宋体" w:hAnsi="宋体" w:eastAsia="宋体" w:cs="宋体"/>
          <w:spacing w:val="53"/>
          <w:sz w:val="36"/>
          <w:szCs w:val="36"/>
        </w:rPr>
        <w:t xml:space="preserve"> </w:t>
      </w:r>
      <w:r>
        <w:rPr>
          <w:rFonts w:hint="eastAsia" w:ascii="宋体" w:hAnsi="宋体" w:eastAsia="宋体" w:cs="宋体"/>
          <w:spacing w:val="-7"/>
          <w:sz w:val="36"/>
          <w:szCs w:val="36"/>
        </w:rPr>
        <w:t>单</w:t>
      </w:r>
    </w:p>
    <w:p w14:paraId="0D7A3D99">
      <w:pPr>
        <w:pStyle w:val="3"/>
        <w:keepNext w:val="0"/>
        <w:keepLines w:val="0"/>
        <w:pageBreakBefore w:val="0"/>
        <w:widowControl/>
        <w:kinsoku w:val="0"/>
        <w:wordWrap/>
        <w:overflowPunct/>
        <w:topLinePunct w:val="0"/>
        <w:autoSpaceDE w:val="0"/>
        <w:autoSpaceDN w:val="0"/>
        <w:bidi w:val="0"/>
        <w:adjustRightInd w:val="0"/>
        <w:snapToGrid w:val="0"/>
        <w:spacing w:before="7" w:line="360" w:lineRule="auto"/>
        <w:ind w:left="251"/>
        <w:textAlignment w:val="baseline"/>
        <w:rPr>
          <w:rFonts w:hint="eastAsia" w:ascii="宋体" w:hAnsi="宋体" w:eastAsia="宋体" w:cs="宋体"/>
        </w:rPr>
      </w:pPr>
      <w:r>
        <w:rPr>
          <w:rFonts w:hint="eastAsia" w:ascii="宋体" w:hAnsi="宋体" w:eastAsia="宋体" w:cs="宋体"/>
          <w:spacing w:val="1"/>
          <w:lang w:val="en-US" w:eastAsia="zh-CN"/>
        </w:rPr>
        <w:t>RM-17-A</w:t>
      </w:r>
      <w:r>
        <w:rPr>
          <w:rFonts w:hint="eastAsia" w:ascii="宋体" w:hAnsi="宋体" w:eastAsia="宋体" w:cs="宋体"/>
          <w:spacing w:val="1"/>
        </w:rPr>
        <w:t xml:space="preserve">                         </w:t>
      </w:r>
      <w:r>
        <w:rPr>
          <w:rFonts w:hint="eastAsia" w:ascii="宋体" w:hAnsi="宋体" w:eastAsia="宋体" w:cs="宋体"/>
        </w:rPr>
        <w:t xml:space="preserve">              </w:t>
      </w:r>
      <w:r>
        <w:rPr>
          <w:rFonts w:hint="eastAsia" w:cs="宋体"/>
          <w:lang w:val="en-US" w:eastAsia="zh-CN"/>
        </w:rPr>
        <w:t xml:space="preserve">                         日期：202  年    月   日</w:t>
      </w:r>
      <w:r>
        <w:rPr>
          <w:rFonts w:hint="eastAsia" w:ascii="宋体" w:hAnsi="宋体" w:eastAsia="宋体" w:cs="宋体"/>
        </w:rPr>
        <w:t xml:space="preserve">                              </w:t>
      </w:r>
    </w:p>
    <w:tbl>
      <w:tblPr>
        <w:tblStyle w:val="13"/>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275"/>
        <w:gridCol w:w="2554"/>
        <w:gridCol w:w="2066"/>
        <w:gridCol w:w="1857"/>
        <w:gridCol w:w="1363"/>
        <w:gridCol w:w="3025"/>
      </w:tblGrid>
      <w:tr w14:paraId="6591D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31317137">
            <w:pPr>
              <w:spacing w:before="263" w:line="220" w:lineRule="auto"/>
              <w:jc w:val="center"/>
              <w:rPr>
                <w:rFonts w:hint="eastAsia" w:ascii="宋体" w:hAnsi="宋体" w:eastAsia="宋体" w:cs="宋体"/>
                <w:sz w:val="24"/>
                <w:szCs w:val="24"/>
              </w:rPr>
            </w:pPr>
            <w:r>
              <w:rPr>
                <w:rFonts w:hint="eastAsia" w:ascii="宋体" w:hAnsi="宋体" w:eastAsia="宋体" w:cs="宋体"/>
                <w:spacing w:val="7"/>
                <w:sz w:val="24"/>
                <w:szCs w:val="24"/>
              </w:rPr>
              <w:t>工</w:t>
            </w:r>
            <w:r>
              <w:rPr>
                <w:rFonts w:hint="eastAsia" w:ascii="宋体" w:hAnsi="宋体" w:eastAsia="宋体" w:cs="宋体"/>
                <w:spacing w:val="7"/>
                <w:sz w:val="24"/>
                <w:szCs w:val="24"/>
                <w:lang w:val="en-US" w:eastAsia="zh-CN"/>
              </w:rPr>
              <w:t>地</w:t>
            </w:r>
            <w:r>
              <w:rPr>
                <w:rFonts w:hint="eastAsia" w:ascii="宋体" w:hAnsi="宋体" w:eastAsia="宋体" w:cs="宋体"/>
                <w:spacing w:val="7"/>
                <w:sz w:val="24"/>
                <w:szCs w:val="24"/>
              </w:rPr>
              <w:t>名称</w:t>
            </w:r>
          </w:p>
        </w:tc>
        <w:tc>
          <w:tcPr>
            <w:tcW w:w="843" w:type="pct"/>
            <w:vAlign w:val="top"/>
          </w:tcPr>
          <w:p w14:paraId="5809C1B3">
            <w:pPr>
              <w:spacing w:before="262" w:line="219" w:lineRule="auto"/>
              <w:jc w:val="center"/>
              <w:rPr>
                <w:rFonts w:hint="eastAsia" w:ascii="宋体" w:hAnsi="宋体" w:eastAsia="宋体" w:cs="宋体"/>
                <w:sz w:val="24"/>
                <w:szCs w:val="24"/>
              </w:rPr>
            </w:pPr>
            <w:r>
              <w:rPr>
                <w:rFonts w:hint="eastAsia" w:ascii="宋体" w:hAnsi="宋体" w:eastAsia="宋体" w:cs="宋体"/>
                <w:spacing w:val="7"/>
                <w:sz w:val="24"/>
                <w:szCs w:val="24"/>
              </w:rPr>
              <w:t>材料名称</w:t>
            </w:r>
          </w:p>
        </w:tc>
        <w:tc>
          <w:tcPr>
            <w:tcW w:w="682" w:type="pct"/>
            <w:vAlign w:val="top"/>
          </w:tcPr>
          <w:p w14:paraId="498219E3">
            <w:pPr>
              <w:spacing w:before="263" w:line="220" w:lineRule="auto"/>
              <w:jc w:val="center"/>
              <w:rPr>
                <w:rFonts w:hint="eastAsia" w:ascii="宋体" w:hAnsi="宋体" w:eastAsia="宋体" w:cs="宋体"/>
                <w:sz w:val="24"/>
                <w:szCs w:val="24"/>
              </w:rPr>
            </w:pPr>
            <w:r>
              <w:rPr>
                <w:rFonts w:hint="eastAsia" w:ascii="宋体" w:hAnsi="宋体" w:eastAsia="宋体" w:cs="宋体"/>
                <w:spacing w:val="1"/>
                <w:sz w:val="24"/>
                <w:szCs w:val="24"/>
              </w:rPr>
              <w:t>单位</w:t>
            </w:r>
          </w:p>
        </w:tc>
        <w:tc>
          <w:tcPr>
            <w:tcW w:w="613" w:type="pct"/>
            <w:vAlign w:val="top"/>
          </w:tcPr>
          <w:p w14:paraId="3ED160D3">
            <w:pPr>
              <w:spacing w:before="263" w:line="219" w:lineRule="auto"/>
              <w:jc w:val="center"/>
              <w:rPr>
                <w:rFonts w:hint="eastAsia" w:ascii="宋体" w:hAnsi="宋体" w:eastAsia="宋体" w:cs="宋体"/>
                <w:sz w:val="24"/>
                <w:szCs w:val="24"/>
              </w:rPr>
            </w:pPr>
            <w:r>
              <w:rPr>
                <w:rFonts w:hint="eastAsia" w:ascii="宋体" w:hAnsi="宋体" w:eastAsia="宋体" w:cs="宋体"/>
                <w:spacing w:val="1"/>
                <w:sz w:val="24"/>
                <w:szCs w:val="24"/>
              </w:rPr>
              <w:t>数量</w:t>
            </w:r>
          </w:p>
        </w:tc>
        <w:tc>
          <w:tcPr>
            <w:tcW w:w="450" w:type="pct"/>
            <w:vAlign w:val="top"/>
          </w:tcPr>
          <w:p w14:paraId="33759E71">
            <w:pPr>
              <w:spacing w:before="263" w:line="218" w:lineRule="auto"/>
              <w:ind w:left="413"/>
              <w:rPr>
                <w:rFonts w:hint="eastAsia" w:ascii="宋体" w:hAnsi="宋体" w:eastAsia="宋体" w:cs="宋体"/>
                <w:sz w:val="24"/>
                <w:szCs w:val="24"/>
              </w:rPr>
            </w:pPr>
            <w:r>
              <w:rPr>
                <w:rFonts w:hint="eastAsia" w:ascii="宋体" w:hAnsi="宋体" w:eastAsia="宋体" w:cs="宋体"/>
                <w:spacing w:val="1"/>
                <w:sz w:val="24"/>
                <w:szCs w:val="24"/>
              </w:rPr>
              <w:t>单价</w:t>
            </w:r>
          </w:p>
        </w:tc>
        <w:tc>
          <w:tcPr>
            <w:tcW w:w="998" w:type="pct"/>
            <w:vAlign w:val="top"/>
          </w:tcPr>
          <w:p w14:paraId="34D07623">
            <w:pPr>
              <w:spacing w:before="262" w:line="221" w:lineRule="auto"/>
              <w:ind w:left="1209"/>
              <w:rPr>
                <w:rFonts w:hint="eastAsia" w:ascii="宋体" w:hAnsi="宋体" w:eastAsia="宋体" w:cs="宋体"/>
                <w:sz w:val="24"/>
                <w:szCs w:val="24"/>
              </w:rPr>
            </w:pPr>
            <w:r>
              <w:rPr>
                <w:rFonts w:hint="eastAsia" w:ascii="宋体" w:hAnsi="宋体" w:eastAsia="宋体" w:cs="宋体"/>
                <w:spacing w:val="1"/>
                <w:sz w:val="24"/>
                <w:szCs w:val="24"/>
              </w:rPr>
              <w:t>备注</w:t>
            </w:r>
          </w:p>
        </w:tc>
      </w:tr>
      <w:tr w14:paraId="7E756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65FB850A">
            <w:pPr>
              <w:pStyle w:val="14"/>
              <w:rPr>
                <w:rFonts w:hint="eastAsia" w:ascii="宋体" w:hAnsi="宋体" w:eastAsia="宋体" w:cs="宋体"/>
              </w:rPr>
            </w:pPr>
          </w:p>
        </w:tc>
        <w:tc>
          <w:tcPr>
            <w:tcW w:w="843" w:type="pct"/>
            <w:vAlign w:val="top"/>
          </w:tcPr>
          <w:p w14:paraId="55626D01">
            <w:pPr>
              <w:pStyle w:val="14"/>
              <w:rPr>
                <w:rFonts w:hint="eastAsia" w:ascii="宋体" w:hAnsi="宋体" w:eastAsia="宋体" w:cs="宋体"/>
              </w:rPr>
            </w:pPr>
          </w:p>
        </w:tc>
        <w:tc>
          <w:tcPr>
            <w:tcW w:w="682" w:type="pct"/>
            <w:vAlign w:val="top"/>
          </w:tcPr>
          <w:p w14:paraId="4FC0BAFC">
            <w:pPr>
              <w:pStyle w:val="14"/>
              <w:rPr>
                <w:rFonts w:hint="eastAsia" w:ascii="宋体" w:hAnsi="宋体" w:eastAsia="宋体" w:cs="宋体"/>
              </w:rPr>
            </w:pPr>
          </w:p>
        </w:tc>
        <w:tc>
          <w:tcPr>
            <w:tcW w:w="613" w:type="pct"/>
            <w:vAlign w:val="top"/>
          </w:tcPr>
          <w:p w14:paraId="706049A3">
            <w:pPr>
              <w:pStyle w:val="14"/>
              <w:rPr>
                <w:rFonts w:hint="eastAsia" w:ascii="宋体" w:hAnsi="宋体" w:eastAsia="宋体" w:cs="宋体"/>
              </w:rPr>
            </w:pPr>
          </w:p>
        </w:tc>
        <w:tc>
          <w:tcPr>
            <w:tcW w:w="450" w:type="pct"/>
            <w:vAlign w:val="top"/>
          </w:tcPr>
          <w:p w14:paraId="36E81325">
            <w:pPr>
              <w:pStyle w:val="14"/>
              <w:rPr>
                <w:rFonts w:hint="eastAsia" w:ascii="宋体" w:hAnsi="宋体" w:eastAsia="宋体" w:cs="宋体"/>
              </w:rPr>
            </w:pPr>
          </w:p>
        </w:tc>
        <w:tc>
          <w:tcPr>
            <w:tcW w:w="998" w:type="pct"/>
            <w:vAlign w:val="top"/>
          </w:tcPr>
          <w:p w14:paraId="34B7B29D">
            <w:pPr>
              <w:pStyle w:val="14"/>
              <w:rPr>
                <w:rFonts w:hint="eastAsia" w:ascii="宋体" w:hAnsi="宋体" w:eastAsia="宋体" w:cs="宋体"/>
              </w:rPr>
            </w:pPr>
          </w:p>
        </w:tc>
      </w:tr>
      <w:tr w14:paraId="702C0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4DED26EE">
            <w:pPr>
              <w:pStyle w:val="14"/>
              <w:rPr>
                <w:rFonts w:hint="eastAsia" w:ascii="宋体" w:hAnsi="宋体" w:eastAsia="宋体" w:cs="宋体"/>
              </w:rPr>
            </w:pPr>
          </w:p>
        </w:tc>
        <w:tc>
          <w:tcPr>
            <w:tcW w:w="843" w:type="pct"/>
            <w:vAlign w:val="top"/>
          </w:tcPr>
          <w:p w14:paraId="146D60EF">
            <w:pPr>
              <w:pStyle w:val="14"/>
              <w:rPr>
                <w:rFonts w:hint="eastAsia" w:ascii="宋体" w:hAnsi="宋体" w:eastAsia="宋体" w:cs="宋体"/>
              </w:rPr>
            </w:pPr>
          </w:p>
        </w:tc>
        <w:tc>
          <w:tcPr>
            <w:tcW w:w="682" w:type="pct"/>
            <w:vAlign w:val="top"/>
          </w:tcPr>
          <w:p w14:paraId="14591ED4">
            <w:pPr>
              <w:pStyle w:val="14"/>
              <w:rPr>
                <w:rFonts w:hint="eastAsia" w:ascii="宋体" w:hAnsi="宋体" w:eastAsia="宋体" w:cs="宋体"/>
              </w:rPr>
            </w:pPr>
          </w:p>
        </w:tc>
        <w:tc>
          <w:tcPr>
            <w:tcW w:w="613" w:type="pct"/>
            <w:vAlign w:val="top"/>
          </w:tcPr>
          <w:p w14:paraId="7CDB5B47">
            <w:pPr>
              <w:pStyle w:val="14"/>
              <w:rPr>
                <w:rFonts w:hint="eastAsia" w:ascii="宋体" w:hAnsi="宋体" w:eastAsia="宋体" w:cs="宋体"/>
              </w:rPr>
            </w:pPr>
          </w:p>
        </w:tc>
        <w:tc>
          <w:tcPr>
            <w:tcW w:w="450" w:type="pct"/>
            <w:vAlign w:val="top"/>
          </w:tcPr>
          <w:p w14:paraId="5AA41E04">
            <w:pPr>
              <w:pStyle w:val="14"/>
              <w:rPr>
                <w:rFonts w:hint="eastAsia" w:ascii="宋体" w:hAnsi="宋体" w:eastAsia="宋体" w:cs="宋体"/>
              </w:rPr>
            </w:pPr>
          </w:p>
        </w:tc>
        <w:tc>
          <w:tcPr>
            <w:tcW w:w="998" w:type="pct"/>
            <w:vAlign w:val="top"/>
          </w:tcPr>
          <w:p w14:paraId="009EB5CC">
            <w:pPr>
              <w:pStyle w:val="14"/>
              <w:rPr>
                <w:rFonts w:hint="eastAsia" w:ascii="宋体" w:hAnsi="宋体" w:eastAsia="宋体" w:cs="宋体"/>
              </w:rPr>
            </w:pPr>
          </w:p>
        </w:tc>
      </w:tr>
      <w:tr w14:paraId="7E231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1B875679">
            <w:pPr>
              <w:pStyle w:val="14"/>
              <w:rPr>
                <w:rFonts w:hint="eastAsia" w:ascii="宋体" w:hAnsi="宋体" w:eastAsia="宋体" w:cs="宋体"/>
              </w:rPr>
            </w:pPr>
          </w:p>
        </w:tc>
        <w:tc>
          <w:tcPr>
            <w:tcW w:w="843" w:type="pct"/>
            <w:vAlign w:val="top"/>
          </w:tcPr>
          <w:p w14:paraId="1AFCACF8">
            <w:pPr>
              <w:pStyle w:val="14"/>
              <w:rPr>
                <w:rFonts w:hint="eastAsia" w:ascii="宋体" w:hAnsi="宋体" w:eastAsia="宋体" w:cs="宋体"/>
              </w:rPr>
            </w:pPr>
          </w:p>
        </w:tc>
        <w:tc>
          <w:tcPr>
            <w:tcW w:w="682" w:type="pct"/>
            <w:vAlign w:val="top"/>
          </w:tcPr>
          <w:p w14:paraId="4C32193A">
            <w:pPr>
              <w:pStyle w:val="14"/>
              <w:rPr>
                <w:rFonts w:hint="eastAsia" w:ascii="宋体" w:hAnsi="宋体" w:eastAsia="宋体" w:cs="宋体"/>
              </w:rPr>
            </w:pPr>
          </w:p>
        </w:tc>
        <w:tc>
          <w:tcPr>
            <w:tcW w:w="613" w:type="pct"/>
            <w:vAlign w:val="top"/>
          </w:tcPr>
          <w:p w14:paraId="2F806746">
            <w:pPr>
              <w:pStyle w:val="14"/>
              <w:rPr>
                <w:rFonts w:hint="eastAsia" w:ascii="宋体" w:hAnsi="宋体" w:eastAsia="宋体" w:cs="宋体"/>
              </w:rPr>
            </w:pPr>
          </w:p>
        </w:tc>
        <w:tc>
          <w:tcPr>
            <w:tcW w:w="450" w:type="pct"/>
            <w:vAlign w:val="top"/>
          </w:tcPr>
          <w:p w14:paraId="49D698D6">
            <w:pPr>
              <w:pStyle w:val="14"/>
              <w:rPr>
                <w:rFonts w:hint="eastAsia" w:ascii="宋体" w:hAnsi="宋体" w:eastAsia="宋体" w:cs="宋体"/>
              </w:rPr>
            </w:pPr>
          </w:p>
        </w:tc>
        <w:tc>
          <w:tcPr>
            <w:tcW w:w="998" w:type="pct"/>
            <w:vAlign w:val="top"/>
          </w:tcPr>
          <w:p w14:paraId="164725D9">
            <w:pPr>
              <w:pStyle w:val="14"/>
              <w:rPr>
                <w:rFonts w:hint="eastAsia" w:ascii="宋体" w:hAnsi="宋体" w:eastAsia="宋体" w:cs="宋体"/>
              </w:rPr>
            </w:pPr>
          </w:p>
        </w:tc>
      </w:tr>
      <w:tr w14:paraId="7158D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0AAB99D8">
            <w:pPr>
              <w:pStyle w:val="14"/>
              <w:rPr>
                <w:rFonts w:hint="eastAsia" w:ascii="宋体" w:hAnsi="宋体" w:eastAsia="宋体" w:cs="宋体"/>
              </w:rPr>
            </w:pPr>
          </w:p>
        </w:tc>
        <w:tc>
          <w:tcPr>
            <w:tcW w:w="843" w:type="pct"/>
            <w:vAlign w:val="top"/>
          </w:tcPr>
          <w:p w14:paraId="0B0152B6">
            <w:pPr>
              <w:pStyle w:val="14"/>
              <w:rPr>
                <w:rFonts w:hint="eastAsia" w:ascii="宋体" w:hAnsi="宋体" w:eastAsia="宋体" w:cs="宋体"/>
              </w:rPr>
            </w:pPr>
          </w:p>
        </w:tc>
        <w:tc>
          <w:tcPr>
            <w:tcW w:w="682" w:type="pct"/>
            <w:vAlign w:val="top"/>
          </w:tcPr>
          <w:p w14:paraId="21EE3FA4">
            <w:pPr>
              <w:pStyle w:val="14"/>
              <w:rPr>
                <w:rFonts w:hint="eastAsia" w:ascii="宋体" w:hAnsi="宋体" w:eastAsia="宋体" w:cs="宋体"/>
              </w:rPr>
            </w:pPr>
          </w:p>
        </w:tc>
        <w:tc>
          <w:tcPr>
            <w:tcW w:w="613" w:type="pct"/>
            <w:vAlign w:val="top"/>
          </w:tcPr>
          <w:p w14:paraId="0E38B8EC">
            <w:pPr>
              <w:pStyle w:val="14"/>
              <w:rPr>
                <w:rFonts w:hint="eastAsia" w:ascii="宋体" w:hAnsi="宋体" w:eastAsia="宋体" w:cs="宋体"/>
              </w:rPr>
            </w:pPr>
          </w:p>
        </w:tc>
        <w:tc>
          <w:tcPr>
            <w:tcW w:w="450" w:type="pct"/>
            <w:vAlign w:val="top"/>
          </w:tcPr>
          <w:p w14:paraId="38008026">
            <w:pPr>
              <w:pStyle w:val="14"/>
              <w:rPr>
                <w:rFonts w:hint="eastAsia" w:ascii="宋体" w:hAnsi="宋体" w:eastAsia="宋体" w:cs="宋体"/>
              </w:rPr>
            </w:pPr>
          </w:p>
        </w:tc>
        <w:tc>
          <w:tcPr>
            <w:tcW w:w="998" w:type="pct"/>
            <w:vAlign w:val="top"/>
          </w:tcPr>
          <w:p w14:paraId="736AC502">
            <w:pPr>
              <w:pStyle w:val="14"/>
              <w:rPr>
                <w:rFonts w:hint="eastAsia" w:ascii="宋体" w:hAnsi="宋体" w:eastAsia="宋体" w:cs="宋体"/>
              </w:rPr>
            </w:pPr>
          </w:p>
        </w:tc>
      </w:tr>
      <w:tr w14:paraId="5503F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1411" w:type="pct"/>
            <w:vAlign w:val="top"/>
          </w:tcPr>
          <w:p w14:paraId="38EC6136">
            <w:pPr>
              <w:pStyle w:val="14"/>
              <w:rPr>
                <w:rFonts w:hint="eastAsia" w:ascii="宋体" w:hAnsi="宋体" w:eastAsia="宋体" w:cs="宋体"/>
              </w:rPr>
            </w:pPr>
          </w:p>
        </w:tc>
        <w:tc>
          <w:tcPr>
            <w:tcW w:w="843" w:type="pct"/>
            <w:vAlign w:val="top"/>
          </w:tcPr>
          <w:p w14:paraId="331B3EDB">
            <w:pPr>
              <w:pStyle w:val="14"/>
              <w:rPr>
                <w:rFonts w:hint="eastAsia" w:ascii="宋体" w:hAnsi="宋体" w:eastAsia="宋体" w:cs="宋体"/>
              </w:rPr>
            </w:pPr>
          </w:p>
        </w:tc>
        <w:tc>
          <w:tcPr>
            <w:tcW w:w="682" w:type="pct"/>
            <w:vAlign w:val="top"/>
          </w:tcPr>
          <w:p w14:paraId="4BCE59B1">
            <w:pPr>
              <w:pStyle w:val="14"/>
              <w:rPr>
                <w:rFonts w:hint="eastAsia" w:ascii="宋体" w:hAnsi="宋体" w:eastAsia="宋体" w:cs="宋体"/>
              </w:rPr>
            </w:pPr>
          </w:p>
        </w:tc>
        <w:tc>
          <w:tcPr>
            <w:tcW w:w="613" w:type="pct"/>
            <w:vAlign w:val="top"/>
          </w:tcPr>
          <w:p w14:paraId="25E954B6">
            <w:pPr>
              <w:pStyle w:val="14"/>
              <w:rPr>
                <w:rFonts w:hint="eastAsia" w:ascii="宋体" w:hAnsi="宋体" w:eastAsia="宋体" w:cs="宋体"/>
              </w:rPr>
            </w:pPr>
          </w:p>
        </w:tc>
        <w:tc>
          <w:tcPr>
            <w:tcW w:w="450" w:type="pct"/>
            <w:vAlign w:val="top"/>
          </w:tcPr>
          <w:p w14:paraId="60C98F6A">
            <w:pPr>
              <w:pStyle w:val="14"/>
              <w:rPr>
                <w:rFonts w:hint="eastAsia" w:ascii="宋体" w:hAnsi="宋体" w:eastAsia="宋体" w:cs="宋体"/>
              </w:rPr>
            </w:pPr>
          </w:p>
        </w:tc>
        <w:tc>
          <w:tcPr>
            <w:tcW w:w="998" w:type="pct"/>
            <w:vAlign w:val="top"/>
          </w:tcPr>
          <w:p w14:paraId="5C536AF8">
            <w:pPr>
              <w:pStyle w:val="14"/>
              <w:rPr>
                <w:rFonts w:hint="eastAsia" w:ascii="宋体" w:hAnsi="宋体" w:eastAsia="宋体" w:cs="宋体"/>
              </w:rPr>
            </w:pPr>
          </w:p>
        </w:tc>
      </w:tr>
    </w:tbl>
    <w:p w14:paraId="73341CFA">
      <w:pPr>
        <w:spacing w:line="371" w:lineRule="auto"/>
        <w:rPr>
          <w:rFonts w:hint="eastAsia" w:ascii="宋体" w:hAnsi="宋体" w:eastAsia="宋体" w:cs="宋体"/>
          <w:sz w:val="21"/>
        </w:rPr>
      </w:pPr>
    </w:p>
    <w:p w14:paraId="102800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pacing w:val="9"/>
          <w:sz w:val="24"/>
          <w:szCs w:val="24"/>
        </w:rPr>
        <w:t>工地负责人：</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pacing w:val="9"/>
          <w:sz w:val="24"/>
          <w:szCs w:val="24"/>
        </w:rPr>
        <w:t>签收人：</w:t>
      </w:r>
      <w:r>
        <w:rPr>
          <w:rFonts w:hint="eastAsia" w:ascii="宋体" w:hAnsi="宋体" w:eastAsia="宋体" w:cs="宋体"/>
          <w:spacing w:val="2"/>
          <w:sz w:val="24"/>
          <w:szCs w:val="24"/>
        </w:rPr>
        <w:t xml:space="preserve">               </w:t>
      </w:r>
      <w:r>
        <w:rPr>
          <w:rFonts w:hint="eastAsia" w:ascii="宋体" w:hAnsi="宋体" w:cs="宋体"/>
          <w:spacing w:val="2"/>
          <w:sz w:val="24"/>
          <w:szCs w:val="24"/>
          <w:lang w:val="en-US" w:eastAsia="zh-CN"/>
        </w:rPr>
        <w:t xml:space="preserve">      </w:t>
      </w:r>
      <w:r>
        <w:rPr>
          <w:rFonts w:hint="eastAsia" w:ascii="宋体" w:hAnsi="宋体" w:eastAsia="宋体" w:cs="宋体"/>
          <w:spacing w:val="2"/>
          <w:sz w:val="24"/>
          <w:szCs w:val="24"/>
        </w:rPr>
        <w:t xml:space="preserve">    </w:t>
      </w:r>
      <w:r>
        <w:rPr>
          <w:rFonts w:hint="eastAsia" w:ascii="宋体" w:hAnsi="宋体" w:eastAsia="宋体" w:cs="宋体"/>
          <w:spacing w:val="1"/>
          <w:sz w:val="24"/>
          <w:szCs w:val="24"/>
        </w:rPr>
        <w:t xml:space="preserve">    </w:t>
      </w:r>
      <w:r>
        <w:rPr>
          <w:rFonts w:hint="eastAsia" w:ascii="宋体" w:hAnsi="宋体" w:eastAsia="宋体" w:cs="宋体"/>
          <w:spacing w:val="9"/>
          <w:sz w:val="24"/>
          <w:szCs w:val="24"/>
        </w:rPr>
        <w:t>送货单位及经</w:t>
      </w:r>
      <w:r>
        <w:rPr>
          <w:rFonts w:hint="eastAsia" w:ascii="宋体" w:hAnsi="宋体" w:eastAsia="宋体" w:cs="宋体"/>
          <w:spacing w:val="9"/>
          <w:sz w:val="24"/>
          <w:szCs w:val="24"/>
          <w:lang w:val="en-US" w:eastAsia="zh-CN"/>
        </w:rPr>
        <w:t>手</w:t>
      </w:r>
      <w:r>
        <w:rPr>
          <w:rFonts w:hint="eastAsia" w:ascii="宋体" w:hAnsi="宋体" w:eastAsia="宋体" w:cs="宋体"/>
          <w:spacing w:val="9"/>
          <w:sz w:val="24"/>
          <w:szCs w:val="24"/>
        </w:rPr>
        <w:t>人</w:t>
      </w:r>
    </w:p>
    <w:sectPr>
      <w:pgSz w:w="16838" w:h="11906" w:orient="landscape"/>
      <w:pgMar w:top="850" w:right="1134" w:bottom="850" w:left="567"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1C5E6">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160B0">
    <w:pPr>
      <w:pStyle w:val="5"/>
      <w:jc w:val="center"/>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A3B17">
    <w:pPr>
      <w:pStyle w:val="5"/>
      <w:jc w:val="center"/>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2C3F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A2C3F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E6966">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DFE4"/>
    <w:multiLevelType w:val="multilevel"/>
    <w:tmpl w:val="9004DFE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0FB0C0B"/>
    <w:multiLevelType w:val="singleLevel"/>
    <w:tmpl w:val="00FB0C0B"/>
    <w:lvl w:ilvl="0" w:tentative="0">
      <w:start w:val="1"/>
      <w:numFmt w:val="chineseCounting"/>
      <w:suff w:val="nothing"/>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OTA2YTU2YTMyNWMxZDllOWFmNTY2NDdiZGVlOTgifQ=="/>
  </w:docVars>
  <w:rsids>
    <w:rsidRoot w:val="00000000"/>
    <w:rsid w:val="00133387"/>
    <w:rsid w:val="001D4206"/>
    <w:rsid w:val="0022181C"/>
    <w:rsid w:val="00240114"/>
    <w:rsid w:val="00247343"/>
    <w:rsid w:val="003F23CE"/>
    <w:rsid w:val="00494FFB"/>
    <w:rsid w:val="0055574E"/>
    <w:rsid w:val="006308AB"/>
    <w:rsid w:val="006911F9"/>
    <w:rsid w:val="00732078"/>
    <w:rsid w:val="007E18FF"/>
    <w:rsid w:val="00863B59"/>
    <w:rsid w:val="008878D1"/>
    <w:rsid w:val="00942D05"/>
    <w:rsid w:val="00A87DE8"/>
    <w:rsid w:val="00B0507A"/>
    <w:rsid w:val="00BC757B"/>
    <w:rsid w:val="00D72607"/>
    <w:rsid w:val="00DC2680"/>
    <w:rsid w:val="01037573"/>
    <w:rsid w:val="01286562"/>
    <w:rsid w:val="012F2443"/>
    <w:rsid w:val="012F2B13"/>
    <w:rsid w:val="01305439"/>
    <w:rsid w:val="01325A8F"/>
    <w:rsid w:val="01326F3B"/>
    <w:rsid w:val="01351803"/>
    <w:rsid w:val="0156177E"/>
    <w:rsid w:val="015D207C"/>
    <w:rsid w:val="016814B1"/>
    <w:rsid w:val="01791910"/>
    <w:rsid w:val="017B7436"/>
    <w:rsid w:val="019978BC"/>
    <w:rsid w:val="01A71FD9"/>
    <w:rsid w:val="01AD3795"/>
    <w:rsid w:val="0210376E"/>
    <w:rsid w:val="02217FDE"/>
    <w:rsid w:val="02471A55"/>
    <w:rsid w:val="024E06A7"/>
    <w:rsid w:val="02895B83"/>
    <w:rsid w:val="0290648C"/>
    <w:rsid w:val="02A52D67"/>
    <w:rsid w:val="02C62D13"/>
    <w:rsid w:val="03024286"/>
    <w:rsid w:val="03061542"/>
    <w:rsid w:val="031418F0"/>
    <w:rsid w:val="03416159"/>
    <w:rsid w:val="03495361"/>
    <w:rsid w:val="03562E11"/>
    <w:rsid w:val="035F2640"/>
    <w:rsid w:val="036C617D"/>
    <w:rsid w:val="038C76D9"/>
    <w:rsid w:val="03A323C4"/>
    <w:rsid w:val="03AF2714"/>
    <w:rsid w:val="03AF33C7"/>
    <w:rsid w:val="03C86237"/>
    <w:rsid w:val="03D130C9"/>
    <w:rsid w:val="03D23A10"/>
    <w:rsid w:val="03EF5DB2"/>
    <w:rsid w:val="03FD05D6"/>
    <w:rsid w:val="04194CE4"/>
    <w:rsid w:val="041C3581"/>
    <w:rsid w:val="04206073"/>
    <w:rsid w:val="042711AF"/>
    <w:rsid w:val="045301F6"/>
    <w:rsid w:val="047F2F94"/>
    <w:rsid w:val="04C9670A"/>
    <w:rsid w:val="04D05CEB"/>
    <w:rsid w:val="0515604A"/>
    <w:rsid w:val="05235E1B"/>
    <w:rsid w:val="05241B93"/>
    <w:rsid w:val="05571F68"/>
    <w:rsid w:val="055E32F7"/>
    <w:rsid w:val="055E648D"/>
    <w:rsid w:val="0563090D"/>
    <w:rsid w:val="058F1702"/>
    <w:rsid w:val="05B00870"/>
    <w:rsid w:val="05B94582"/>
    <w:rsid w:val="05CF7D50"/>
    <w:rsid w:val="05DC29A4"/>
    <w:rsid w:val="05E7046B"/>
    <w:rsid w:val="05E75C40"/>
    <w:rsid w:val="062A142B"/>
    <w:rsid w:val="062A31D9"/>
    <w:rsid w:val="06456265"/>
    <w:rsid w:val="064C13A1"/>
    <w:rsid w:val="065F1493"/>
    <w:rsid w:val="066A43D4"/>
    <w:rsid w:val="06994288"/>
    <w:rsid w:val="069A3EBB"/>
    <w:rsid w:val="069D0714"/>
    <w:rsid w:val="06B3319E"/>
    <w:rsid w:val="06B524FE"/>
    <w:rsid w:val="06BA27AF"/>
    <w:rsid w:val="06CB49BC"/>
    <w:rsid w:val="06DB3895"/>
    <w:rsid w:val="06DC0977"/>
    <w:rsid w:val="070B4DB8"/>
    <w:rsid w:val="071325DD"/>
    <w:rsid w:val="071E2D3E"/>
    <w:rsid w:val="071F6AB6"/>
    <w:rsid w:val="07222102"/>
    <w:rsid w:val="072916E2"/>
    <w:rsid w:val="07351E35"/>
    <w:rsid w:val="074D44A4"/>
    <w:rsid w:val="076444C8"/>
    <w:rsid w:val="078F7797"/>
    <w:rsid w:val="079B2A89"/>
    <w:rsid w:val="079C1EB4"/>
    <w:rsid w:val="07E838FA"/>
    <w:rsid w:val="08005A40"/>
    <w:rsid w:val="084762C4"/>
    <w:rsid w:val="08564322"/>
    <w:rsid w:val="085D5AE7"/>
    <w:rsid w:val="087A1BF2"/>
    <w:rsid w:val="088C6DAF"/>
    <w:rsid w:val="08E04023"/>
    <w:rsid w:val="08EE7CFD"/>
    <w:rsid w:val="08EF01D5"/>
    <w:rsid w:val="08F77CB9"/>
    <w:rsid w:val="08FD1E97"/>
    <w:rsid w:val="09261E03"/>
    <w:rsid w:val="094B5940"/>
    <w:rsid w:val="0960032A"/>
    <w:rsid w:val="09615163"/>
    <w:rsid w:val="096D58B6"/>
    <w:rsid w:val="097F1A8E"/>
    <w:rsid w:val="09886B94"/>
    <w:rsid w:val="09A56D66"/>
    <w:rsid w:val="09BA4874"/>
    <w:rsid w:val="09BE1D9D"/>
    <w:rsid w:val="09C5399F"/>
    <w:rsid w:val="09D73678"/>
    <w:rsid w:val="09DF42DA"/>
    <w:rsid w:val="09FA34EB"/>
    <w:rsid w:val="0A026946"/>
    <w:rsid w:val="0A200B7B"/>
    <w:rsid w:val="0A5A3762"/>
    <w:rsid w:val="0A624FB9"/>
    <w:rsid w:val="0A692F6B"/>
    <w:rsid w:val="0A7635CA"/>
    <w:rsid w:val="0AA30A0F"/>
    <w:rsid w:val="0AA95014"/>
    <w:rsid w:val="0AB72067"/>
    <w:rsid w:val="0ABF20F1"/>
    <w:rsid w:val="0ACC485F"/>
    <w:rsid w:val="0AD11E75"/>
    <w:rsid w:val="0AE127A9"/>
    <w:rsid w:val="0AFA761E"/>
    <w:rsid w:val="0B2E0F81"/>
    <w:rsid w:val="0B602DC9"/>
    <w:rsid w:val="0B61144B"/>
    <w:rsid w:val="0B732F2C"/>
    <w:rsid w:val="0B865355"/>
    <w:rsid w:val="0BC4514F"/>
    <w:rsid w:val="0BCB2D68"/>
    <w:rsid w:val="0BDB744F"/>
    <w:rsid w:val="0BFF07E0"/>
    <w:rsid w:val="0C0128E1"/>
    <w:rsid w:val="0C0206EE"/>
    <w:rsid w:val="0C14470F"/>
    <w:rsid w:val="0C1E558E"/>
    <w:rsid w:val="0C2010AC"/>
    <w:rsid w:val="0C62191E"/>
    <w:rsid w:val="0C8C3BC0"/>
    <w:rsid w:val="0CB90E13"/>
    <w:rsid w:val="0CC25F19"/>
    <w:rsid w:val="0CD2303E"/>
    <w:rsid w:val="0CDF02E8"/>
    <w:rsid w:val="0CF2453E"/>
    <w:rsid w:val="0D042E1A"/>
    <w:rsid w:val="0D4913C1"/>
    <w:rsid w:val="0D660F9A"/>
    <w:rsid w:val="0D6945E7"/>
    <w:rsid w:val="0D962F4D"/>
    <w:rsid w:val="0DBC6E0C"/>
    <w:rsid w:val="0DF77E44"/>
    <w:rsid w:val="0E1518A1"/>
    <w:rsid w:val="0E2350DD"/>
    <w:rsid w:val="0E262ED1"/>
    <w:rsid w:val="0E2714DC"/>
    <w:rsid w:val="0E4928DC"/>
    <w:rsid w:val="0E754C08"/>
    <w:rsid w:val="0E84109E"/>
    <w:rsid w:val="0E8B4260"/>
    <w:rsid w:val="0EBC4BEA"/>
    <w:rsid w:val="0EC72E36"/>
    <w:rsid w:val="0ED85EC8"/>
    <w:rsid w:val="0EDA7072"/>
    <w:rsid w:val="0EDC11FC"/>
    <w:rsid w:val="0EE26D46"/>
    <w:rsid w:val="0EF12AE6"/>
    <w:rsid w:val="0F0C4A59"/>
    <w:rsid w:val="0F112C3E"/>
    <w:rsid w:val="0F1862C4"/>
    <w:rsid w:val="0F225395"/>
    <w:rsid w:val="0F24110D"/>
    <w:rsid w:val="0F2B249C"/>
    <w:rsid w:val="0F2C6214"/>
    <w:rsid w:val="0F2E5AE8"/>
    <w:rsid w:val="0F5D0A2F"/>
    <w:rsid w:val="0F607C6B"/>
    <w:rsid w:val="0F706100"/>
    <w:rsid w:val="0F784FB5"/>
    <w:rsid w:val="0F8A6A96"/>
    <w:rsid w:val="0F8C08E3"/>
    <w:rsid w:val="0F8D06EA"/>
    <w:rsid w:val="0FA53BB8"/>
    <w:rsid w:val="0FC149A6"/>
    <w:rsid w:val="0FC1695C"/>
    <w:rsid w:val="0FDF4E93"/>
    <w:rsid w:val="0FE03B0E"/>
    <w:rsid w:val="0FE4089C"/>
    <w:rsid w:val="0FEE34C9"/>
    <w:rsid w:val="0FF90784"/>
    <w:rsid w:val="10093E5F"/>
    <w:rsid w:val="100D7DF3"/>
    <w:rsid w:val="1054157E"/>
    <w:rsid w:val="105651B6"/>
    <w:rsid w:val="106A6FF4"/>
    <w:rsid w:val="10787323"/>
    <w:rsid w:val="10836E18"/>
    <w:rsid w:val="109C2F25"/>
    <w:rsid w:val="10AB142F"/>
    <w:rsid w:val="10AB4F16"/>
    <w:rsid w:val="10C06C14"/>
    <w:rsid w:val="10C36704"/>
    <w:rsid w:val="10CB4AD3"/>
    <w:rsid w:val="10E613C1"/>
    <w:rsid w:val="10EE19D3"/>
    <w:rsid w:val="11041F12"/>
    <w:rsid w:val="110636AF"/>
    <w:rsid w:val="11095C2A"/>
    <w:rsid w:val="1154735C"/>
    <w:rsid w:val="1158509E"/>
    <w:rsid w:val="115A0AD0"/>
    <w:rsid w:val="11763776"/>
    <w:rsid w:val="117A14B8"/>
    <w:rsid w:val="118D7848"/>
    <w:rsid w:val="11A007F3"/>
    <w:rsid w:val="11AE31E0"/>
    <w:rsid w:val="11AE5258"/>
    <w:rsid w:val="11B147AE"/>
    <w:rsid w:val="11C646FD"/>
    <w:rsid w:val="11C9487C"/>
    <w:rsid w:val="11E95B94"/>
    <w:rsid w:val="11F56D91"/>
    <w:rsid w:val="12266F4A"/>
    <w:rsid w:val="12340406"/>
    <w:rsid w:val="123A0C48"/>
    <w:rsid w:val="124341AB"/>
    <w:rsid w:val="12521AED"/>
    <w:rsid w:val="12633CFA"/>
    <w:rsid w:val="12692EF2"/>
    <w:rsid w:val="12786986"/>
    <w:rsid w:val="12922832"/>
    <w:rsid w:val="12A165D1"/>
    <w:rsid w:val="12A3059B"/>
    <w:rsid w:val="12BD293A"/>
    <w:rsid w:val="12C62F92"/>
    <w:rsid w:val="12EF37E0"/>
    <w:rsid w:val="12F17558"/>
    <w:rsid w:val="12F2507E"/>
    <w:rsid w:val="12F46273"/>
    <w:rsid w:val="1301693A"/>
    <w:rsid w:val="1308124D"/>
    <w:rsid w:val="132C0590"/>
    <w:rsid w:val="133236CD"/>
    <w:rsid w:val="13370CE3"/>
    <w:rsid w:val="13386F35"/>
    <w:rsid w:val="13394A5B"/>
    <w:rsid w:val="134A56E4"/>
    <w:rsid w:val="13651CF4"/>
    <w:rsid w:val="137E65CE"/>
    <w:rsid w:val="13A9398F"/>
    <w:rsid w:val="13B3480E"/>
    <w:rsid w:val="13BD568C"/>
    <w:rsid w:val="13E44DAF"/>
    <w:rsid w:val="13FB325E"/>
    <w:rsid w:val="142D6F73"/>
    <w:rsid w:val="1470712F"/>
    <w:rsid w:val="14AF76CB"/>
    <w:rsid w:val="14B22D17"/>
    <w:rsid w:val="14B7032D"/>
    <w:rsid w:val="14BC1DE8"/>
    <w:rsid w:val="14C10EE2"/>
    <w:rsid w:val="14C201BA"/>
    <w:rsid w:val="14E31122"/>
    <w:rsid w:val="15036F45"/>
    <w:rsid w:val="152621F6"/>
    <w:rsid w:val="1529148F"/>
    <w:rsid w:val="1542409B"/>
    <w:rsid w:val="155301D7"/>
    <w:rsid w:val="1557566D"/>
    <w:rsid w:val="15610299"/>
    <w:rsid w:val="15671D54"/>
    <w:rsid w:val="15724254"/>
    <w:rsid w:val="157F7CAB"/>
    <w:rsid w:val="158C3568"/>
    <w:rsid w:val="158F270C"/>
    <w:rsid w:val="15A80DBB"/>
    <w:rsid w:val="15B36931"/>
    <w:rsid w:val="15CF16A7"/>
    <w:rsid w:val="16093666"/>
    <w:rsid w:val="16197E6B"/>
    <w:rsid w:val="16281F12"/>
    <w:rsid w:val="16302145"/>
    <w:rsid w:val="16351E52"/>
    <w:rsid w:val="167043DB"/>
    <w:rsid w:val="16717081"/>
    <w:rsid w:val="167209B0"/>
    <w:rsid w:val="16750D36"/>
    <w:rsid w:val="167D36BA"/>
    <w:rsid w:val="16B014D8"/>
    <w:rsid w:val="16C17241"/>
    <w:rsid w:val="170B3EB5"/>
    <w:rsid w:val="171952CF"/>
    <w:rsid w:val="1719707D"/>
    <w:rsid w:val="171D2EE0"/>
    <w:rsid w:val="1730504B"/>
    <w:rsid w:val="17361868"/>
    <w:rsid w:val="17515EC2"/>
    <w:rsid w:val="175C420C"/>
    <w:rsid w:val="17740758"/>
    <w:rsid w:val="179D2E56"/>
    <w:rsid w:val="17A6044E"/>
    <w:rsid w:val="17BA0860"/>
    <w:rsid w:val="17BD20FF"/>
    <w:rsid w:val="17E44BFC"/>
    <w:rsid w:val="17E53404"/>
    <w:rsid w:val="17EF06F4"/>
    <w:rsid w:val="180A4C18"/>
    <w:rsid w:val="180D50C3"/>
    <w:rsid w:val="180D79FC"/>
    <w:rsid w:val="18310418"/>
    <w:rsid w:val="1864558B"/>
    <w:rsid w:val="187B6274"/>
    <w:rsid w:val="189D783A"/>
    <w:rsid w:val="18B2778A"/>
    <w:rsid w:val="18B904BA"/>
    <w:rsid w:val="18C03544"/>
    <w:rsid w:val="18EB67F8"/>
    <w:rsid w:val="18F90F15"/>
    <w:rsid w:val="19063790"/>
    <w:rsid w:val="19120228"/>
    <w:rsid w:val="191F6BF2"/>
    <w:rsid w:val="195720DF"/>
    <w:rsid w:val="19654B16"/>
    <w:rsid w:val="197E766C"/>
    <w:rsid w:val="1988190B"/>
    <w:rsid w:val="198A6011"/>
    <w:rsid w:val="198F1879"/>
    <w:rsid w:val="19A5109C"/>
    <w:rsid w:val="19B32869"/>
    <w:rsid w:val="19B74EE4"/>
    <w:rsid w:val="19C74A3D"/>
    <w:rsid w:val="19CA3A1A"/>
    <w:rsid w:val="19D11E91"/>
    <w:rsid w:val="19EC6CCB"/>
    <w:rsid w:val="19EE2A43"/>
    <w:rsid w:val="19F07734"/>
    <w:rsid w:val="1A0C186A"/>
    <w:rsid w:val="1A2A3350"/>
    <w:rsid w:val="1A2C356C"/>
    <w:rsid w:val="1A3348FA"/>
    <w:rsid w:val="1A3D3083"/>
    <w:rsid w:val="1A520872"/>
    <w:rsid w:val="1A9F78F8"/>
    <w:rsid w:val="1AA66E7A"/>
    <w:rsid w:val="1ABC48F0"/>
    <w:rsid w:val="1AC11F06"/>
    <w:rsid w:val="1AC61965"/>
    <w:rsid w:val="1AE7638C"/>
    <w:rsid w:val="1AF65494"/>
    <w:rsid w:val="1AF75928"/>
    <w:rsid w:val="1AFC1190"/>
    <w:rsid w:val="1B101184"/>
    <w:rsid w:val="1B16525A"/>
    <w:rsid w:val="1B1A1616"/>
    <w:rsid w:val="1B1D74DF"/>
    <w:rsid w:val="1B210BF7"/>
    <w:rsid w:val="1B2B45EC"/>
    <w:rsid w:val="1B512979"/>
    <w:rsid w:val="1B59213E"/>
    <w:rsid w:val="1B666609"/>
    <w:rsid w:val="1B724FAE"/>
    <w:rsid w:val="1B7A7441"/>
    <w:rsid w:val="1B83540D"/>
    <w:rsid w:val="1B8A78B2"/>
    <w:rsid w:val="1B9C202B"/>
    <w:rsid w:val="1BEA0FE8"/>
    <w:rsid w:val="1BEC2FB3"/>
    <w:rsid w:val="1C237506"/>
    <w:rsid w:val="1C2465A3"/>
    <w:rsid w:val="1C3B7A96"/>
    <w:rsid w:val="1C4F52EF"/>
    <w:rsid w:val="1C67088B"/>
    <w:rsid w:val="1C831261"/>
    <w:rsid w:val="1C8B27CB"/>
    <w:rsid w:val="1C9571A6"/>
    <w:rsid w:val="1CD66BB0"/>
    <w:rsid w:val="1CF928A3"/>
    <w:rsid w:val="1D042F3D"/>
    <w:rsid w:val="1D1C78C7"/>
    <w:rsid w:val="1D385E44"/>
    <w:rsid w:val="1D5A219E"/>
    <w:rsid w:val="1D6923E1"/>
    <w:rsid w:val="1D762D4C"/>
    <w:rsid w:val="1DB01F75"/>
    <w:rsid w:val="1DC92705"/>
    <w:rsid w:val="1DD51824"/>
    <w:rsid w:val="1DDA6E3B"/>
    <w:rsid w:val="1DDF12F2"/>
    <w:rsid w:val="1E0A5972"/>
    <w:rsid w:val="1E0A7720"/>
    <w:rsid w:val="1E0F4D36"/>
    <w:rsid w:val="1E291486"/>
    <w:rsid w:val="1E3824DF"/>
    <w:rsid w:val="1E4744D0"/>
    <w:rsid w:val="1E4C5F8A"/>
    <w:rsid w:val="1E596F15"/>
    <w:rsid w:val="1E5D7DE9"/>
    <w:rsid w:val="1E6E5AF7"/>
    <w:rsid w:val="1E6E6048"/>
    <w:rsid w:val="1E8A260F"/>
    <w:rsid w:val="1E952C15"/>
    <w:rsid w:val="1E967206"/>
    <w:rsid w:val="1E9B2EAC"/>
    <w:rsid w:val="1EAA33EB"/>
    <w:rsid w:val="1EAE6AE9"/>
    <w:rsid w:val="1EB55AAE"/>
    <w:rsid w:val="1EDE6925"/>
    <w:rsid w:val="1F066139"/>
    <w:rsid w:val="1F130856"/>
    <w:rsid w:val="1F2C36C6"/>
    <w:rsid w:val="1F2E743E"/>
    <w:rsid w:val="1F416D3C"/>
    <w:rsid w:val="1F4E71EE"/>
    <w:rsid w:val="1F52552B"/>
    <w:rsid w:val="1F576995"/>
    <w:rsid w:val="1F5F550C"/>
    <w:rsid w:val="1F63358C"/>
    <w:rsid w:val="1F6D61B8"/>
    <w:rsid w:val="1F6E66E3"/>
    <w:rsid w:val="1F871243"/>
    <w:rsid w:val="1F9F033C"/>
    <w:rsid w:val="1FBD2E59"/>
    <w:rsid w:val="1FBF278C"/>
    <w:rsid w:val="1FFE5062"/>
    <w:rsid w:val="2006231E"/>
    <w:rsid w:val="2007660D"/>
    <w:rsid w:val="200C6649"/>
    <w:rsid w:val="20124FB2"/>
    <w:rsid w:val="20191E9C"/>
    <w:rsid w:val="204A02A8"/>
    <w:rsid w:val="20692753"/>
    <w:rsid w:val="206C1BB2"/>
    <w:rsid w:val="2080016D"/>
    <w:rsid w:val="208E288A"/>
    <w:rsid w:val="20B6369B"/>
    <w:rsid w:val="20B91C80"/>
    <w:rsid w:val="20D34741"/>
    <w:rsid w:val="20D9162C"/>
    <w:rsid w:val="20E63F9F"/>
    <w:rsid w:val="21042B4C"/>
    <w:rsid w:val="21271BF9"/>
    <w:rsid w:val="212E1977"/>
    <w:rsid w:val="212E3725"/>
    <w:rsid w:val="212F618E"/>
    <w:rsid w:val="21425423"/>
    <w:rsid w:val="21645399"/>
    <w:rsid w:val="21696E53"/>
    <w:rsid w:val="21920158"/>
    <w:rsid w:val="21927F47"/>
    <w:rsid w:val="21A64783"/>
    <w:rsid w:val="21AD23A2"/>
    <w:rsid w:val="21B87493"/>
    <w:rsid w:val="21CF315A"/>
    <w:rsid w:val="21DE514B"/>
    <w:rsid w:val="21E07116"/>
    <w:rsid w:val="21EF55AB"/>
    <w:rsid w:val="21EF63FF"/>
    <w:rsid w:val="21F20BF7"/>
    <w:rsid w:val="2217065D"/>
    <w:rsid w:val="22293AE7"/>
    <w:rsid w:val="222C1418"/>
    <w:rsid w:val="22317971"/>
    <w:rsid w:val="223615FD"/>
    <w:rsid w:val="226E1396"/>
    <w:rsid w:val="22793056"/>
    <w:rsid w:val="22832569"/>
    <w:rsid w:val="22835CF3"/>
    <w:rsid w:val="22971AE5"/>
    <w:rsid w:val="22D86ECF"/>
    <w:rsid w:val="22DE026A"/>
    <w:rsid w:val="22E177D9"/>
    <w:rsid w:val="22E42C35"/>
    <w:rsid w:val="22EF3388"/>
    <w:rsid w:val="22F05754"/>
    <w:rsid w:val="22F46F43"/>
    <w:rsid w:val="23166844"/>
    <w:rsid w:val="232E1AC6"/>
    <w:rsid w:val="232F786B"/>
    <w:rsid w:val="23384D2F"/>
    <w:rsid w:val="234C768D"/>
    <w:rsid w:val="23671171"/>
    <w:rsid w:val="2369138D"/>
    <w:rsid w:val="236A568F"/>
    <w:rsid w:val="23812232"/>
    <w:rsid w:val="2387457D"/>
    <w:rsid w:val="23C34616"/>
    <w:rsid w:val="23C46955"/>
    <w:rsid w:val="23D20CE0"/>
    <w:rsid w:val="23D507D0"/>
    <w:rsid w:val="23DC56BB"/>
    <w:rsid w:val="23F5677C"/>
    <w:rsid w:val="23F63C20"/>
    <w:rsid w:val="240115C5"/>
    <w:rsid w:val="241C63FF"/>
    <w:rsid w:val="24226F43"/>
    <w:rsid w:val="24247062"/>
    <w:rsid w:val="2435126F"/>
    <w:rsid w:val="243A6885"/>
    <w:rsid w:val="2479115B"/>
    <w:rsid w:val="247B4ED4"/>
    <w:rsid w:val="24853FA4"/>
    <w:rsid w:val="24A2174F"/>
    <w:rsid w:val="24AA1A26"/>
    <w:rsid w:val="24C513B8"/>
    <w:rsid w:val="24F80254"/>
    <w:rsid w:val="25070E5D"/>
    <w:rsid w:val="250A6257"/>
    <w:rsid w:val="250E5D48"/>
    <w:rsid w:val="25165925"/>
    <w:rsid w:val="25294857"/>
    <w:rsid w:val="252F3F10"/>
    <w:rsid w:val="25382DC5"/>
    <w:rsid w:val="255614AE"/>
    <w:rsid w:val="255676EF"/>
    <w:rsid w:val="255823FA"/>
    <w:rsid w:val="255A71DF"/>
    <w:rsid w:val="255D0A7D"/>
    <w:rsid w:val="25735262"/>
    <w:rsid w:val="259B2F08"/>
    <w:rsid w:val="25AB2680"/>
    <w:rsid w:val="25AC3A6A"/>
    <w:rsid w:val="25D074A1"/>
    <w:rsid w:val="25D96C39"/>
    <w:rsid w:val="25ED0053"/>
    <w:rsid w:val="25FA451E"/>
    <w:rsid w:val="261964FD"/>
    <w:rsid w:val="262C38E5"/>
    <w:rsid w:val="263F14EC"/>
    <w:rsid w:val="264B7D30"/>
    <w:rsid w:val="264D0AF2"/>
    <w:rsid w:val="265C5712"/>
    <w:rsid w:val="265D05FD"/>
    <w:rsid w:val="26622EB6"/>
    <w:rsid w:val="26651F76"/>
    <w:rsid w:val="268A3AF4"/>
    <w:rsid w:val="26A10E3D"/>
    <w:rsid w:val="26A30712"/>
    <w:rsid w:val="26A51FB7"/>
    <w:rsid w:val="26A56238"/>
    <w:rsid w:val="26B5104E"/>
    <w:rsid w:val="26BA675A"/>
    <w:rsid w:val="26C55046"/>
    <w:rsid w:val="26C62A86"/>
    <w:rsid w:val="26ED5E31"/>
    <w:rsid w:val="26F47B11"/>
    <w:rsid w:val="26F61189"/>
    <w:rsid w:val="26F70A5D"/>
    <w:rsid w:val="270C62B7"/>
    <w:rsid w:val="27135897"/>
    <w:rsid w:val="2714160F"/>
    <w:rsid w:val="27174C5C"/>
    <w:rsid w:val="271B6D61"/>
    <w:rsid w:val="2728280B"/>
    <w:rsid w:val="272E26D1"/>
    <w:rsid w:val="272F1FA5"/>
    <w:rsid w:val="27363334"/>
    <w:rsid w:val="27392C84"/>
    <w:rsid w:val="27467B25"/>
    <w:rsid w:val="27475541"/>
    <w:rsid w:val="276C144B"/>
    <w:rsid w:val="27716A62"/>
    <w:rsid w:val="277976C4"/>
    <w:rsid w:val="277F098D"/>
    <w:rsid w:val="278170DB"/>
    <w:rsid w:val="27930786"/>
    <w:rsid w:val="279D4D50"/>
    <w:rsid w:val="279D6B4B"/>
    <w:rsid w:val="27AB3D22"/>
    <w:rsid w:val="27D05536"/>
    <w:rsid w:val="28292E99"/>
    <w:rsid w:val="283005FE"/>
    <w:rsid w:val="28327F9F"/>
    <w:rsid w:val="28331A56"/>
    <w:rsid w:val="28434849"/>
    <w:rsid w:val="28456613"/>
    <w:rsid w:val="286D202F"/>
    <w:rsid w:val="28956780"/>
    <w:rsid w:val="28C52BC1"/>
    <w:rsid w:val="28C606E7"/>
    <w:rsid w:val="28CC69C1"/>
    <w:rsid w:val="29085DCB"/>
    <w:rsid w:val="290D6316"/>
    <w:rsid w:val="291807B8"/>
    <w:rsid w:val="29352E3A"/>
    <w:rsid w:val="293F15D2"/>
    <w:rsid w:val="294A756A"/>
    <w:rsid w:val="295B01BA"/>
    <w:rsid w:val="295B1778"/>
    <w:rsid w:val="296E7D76"/>
    <w:rsid w:val="29803AAF"/>
    <w:rsid w:val="298F31CF"/>
    <w:rsid w:val="29B260BA"/>
    <w:rsid w:val="29C6285B"/>
    <w:rsid w:val="29D37560"/>
    <w:rsid w:val="29DD3F3B"/>
    <w:rsid w:val="29EF6C8F"/>
    <w:rsid w:val="29F97E4E"/>
    <w:rsid w:val="2A04596B"/>
    <w:rsid w:val="2A261D85"/>
    <w:rsid w:val="2A266C45"/>
    <w:rsid w:val="2A2B739C"/>
    <w:rsid w:val="2A3505EE"/>
    <w:rsid w:val="2A383867"/>
    <w:rsid w:val="2A467D32"/>
    <w:rsid w:val="2A4949BA"/>
    <w:rsid w:val="2A53244F"/>
    <w:rsid w:val="2A5744DB"/>
    <w:rsid w:val="2A5B72A5"/>
    <w:rsid w:val="2A5F7045"/>
    <w:rsid w:val="2A76764D"/>
    <w:rsid w:val="2AA42CAA"/>
    <w:rsid w:val="2AA97980"/>
    <w:rsid w:val="2ABD3BC6"/>
    <w:rsid w:val="2ACD2201"/>
    <w:rsid w:val="2AE337D3"/>
    <w:rsid w:val="2AF7727E"/>
    <w:rsid w:val="2B04158B"/>
    <w:rsid w:val="2B150495"/>
    <w:rsid w:val="2B177920"/>
    <w:rsid w:val="2B312C19"/>
    <w:rsid w:val="2B5A1960"/>
    <w:rsid w:val="2B637489"/>
    <w:rsid w:val="2B6C01DB"/>
    <w:rsid w:val="2B726905"/>
    <w:rsid w:val="2B8209DE"/>
    <w:rsid w:val="2B8D272F"/>
    <w:rsid w:val="2BA72A52"/>
    <w:rsid w:val="2BD27F42"/>
    <w:rsid w:val="2BE94E19"/>
    <w:rsid w:val="2BE96E2D"/>
    <w:rsid w:val="2C3A38C6"/>
    <w:rsid w:val="2C4C16FF"/>
    <w:rsid w:val="2C6721E1"/>
    <w:rsid w:val="2C8608B9"/>
    <w:rsid w:val="2C9E20A7"/>
    <w:rsid w:val="2C9F63A9"/>
    <w:rsid w:val="2CBE62A5"/>
    <w:rsid w:val="2CC80A91"/>
    <w:rsid w:val="2CCE2260"/>
    <w:rsid w:val="2CDE06F5"/>
    <w:rsid w:val="2CE45CBD"/>
    <w:rsid w:val="2CE81574"/>
    <w:rsid w:val="2CF37F79"/>
    <w:rsid w:val="2D095551"/>
    <w:rsid w:val="2D216834"/>
    <w:rsid w:val="2D3C541C"/>
    <w:rsid w:val="2D3C7997"/>
    <w:rsid w:val="2D480265"/>
    <w:rsid w:val="2D617625"/>
    <w:rsid w:val="2D7D6B19"/>
    <w:rsid w:val="2D9172A0"/>
    <w:rsid w:val="2DAA682A"/>
    <w:rsid w:val="2DAF2092"/>
    <w:rsid w:val="2DB5581A"/>
    <w:rsid w:val="2DB94CBF"/>
    <w:rsid w:val="2DC07527"/>
    <w:rsid w:val="2DCC2C44"/>
    <w:rsid w:val="2DD37B2E"/>
    <w:rsid w:val="2DE34362"/>
    <w:rsid w:val="2DE51610"/>
    <w:rsid w:val="2DEF20D7"/>
    <w:rsid w:val="2E261FD3"/>
    <w:rsid w:val="2E2A1718"/>
    <w:rsid w:val="2E3422F8"/>
    <w:rsid w:val="2E382ECE"/>
    <w:rsid w:val="2E487E9A"/>
    <w:rsid w:val="2E5A120D"/>
    <w:rsid w:val="2E5E7CC5"/>
    <w:rsid w:val="2E6609A2"/>
    <w:rsid w:val="2E89343E"/>
    <w:rsid w:val="2E9A4AF0"/>
    <w:rsid w:val="2EA75C11"/>
    <w:rsid w:val="2EAE017D"/>
    <w:rsid w:val="2EB01C1E"/>
    <w:rsid w:val="2EB13C87"/>
    <w:rsid w:val="2EC67693"/>
    <w:rsid w:val="2ECE6063"/>
    <w:rsid w:val="2ED753FC"/>
    <w:rsid w:val="2EE70552"/>
    <w:rsid w:val="2EE8585B"/>
    <w:rsid w:val="2EF064BE"/>
    <w:rsid w:val="2EF20488"/>
    <w:rsid w:val="2F0119DF"/>
    <w:rsid w:val="2F2717B8"/>
    <w:rsid w:val="2F3A39D1"/>
    <w:rsid w:val="2F3A3BDD"/>
    <w:rsid w:val="2F452CAE"/>
    <w:rsid w:val="2F5051AF"/>
    <w:rsid w:val="2F5922B5"/>
    <w:rsid w:val="2F6F3887"/>
    <w:rsid w:val="2F8224C5"/>
    <w:rsid w:val="2FA06136"/>
    <w:rsid w:val="2FA32702"/>
    <w:rsid w:val="2FC8743B"/>
    <w:rsid w:val="2FCA31B3"/>
    <w:rsid w:val="2FD44032"/>
    <w:rsid w:val="30134B5A"/>
    <w:rsid w:val="302567CF"/>
    <w:rsid w:val="302723B3"/>
    <w:rsid w:val="303C40BD"/>
    <w:rsid w:val="3045283A"/>
    <w:rsid w:val="304E5B92"/>
    <w:rsid w:val="30590093"/>
    <w:rsid w:val="305F7D9F"/>
    <w:rsid w:val="307B625B"/>
    <w:rsid w:val="307D6477"/>
    <w:rsid w:val="309D08C8"/>
    <w:rsid w:val="30A13F14"/>
    <w:rsid w:val="30AD28D7"/>
    <w:rsid w:val="30B30980"/>
    <w:rsid w:val="30E6401D"/>
    <w:rsid w:val="310C55BA"/>
    <w:rsid w:val="31224929"/>
    <w:rsid w:val="31376626"/>
    <w:rsid w:val="315224D4"/>
    <w:rsid w:val="31717D8A"/>
    <w:rsid w:val="3176279D"/>
    <w:rsid w:val="319770C5"/>
    <w:rsid w:val="31A11CF2"/>
    <w:rsid w:val="31B55BDA"/>
    <w:rsid w:val="31C37EBA"/>
    <w:rsid w:val="31D245A1"/>
    <w:rsid w:val="31D9148B"/>
    <w:rsid w:val="31E47BCC"/>
    <w:rsid w:val="320D6B1C"/>
    <w:rsid w:val="321109A1"/>
    <w:rsid w:val="321270E3"/>
    <w:rsid w:val="321E1594"/>
    <w:rsid w:val="322841C1"/>
    <w:rsid w:val="323668DE"/>
    <w:rsid w:val="32367B39"/>
    <w:rsid w:val="323808A8"/>
    <w:rsid w:val="323B0093"/>
    <w:rsid w:val="323C7F64"/>
    <w:rsid w:val="323E39E4"/>
    <w:rsid w:val="32466E61"/>
    <w:rsid w:val="324A2760"/>
    <w:rsid w:val="32503556"/>
    <w:rsid w:val="325A081E"/>
    <w:rsid w:val="326649B8"/>
    <w:rsid w:val="326E7122"/>
    <w:rsid w:val="3278743C"/>
    <w:rsid w:val="32827D75"/>
    <w:rsid w:val="328E0C7D"/>
    <w:rsid w:val="32911D66"/>
    <w:rsid w:val="329C4F37"/>
    <w:rsid w:val="32AB02BD"/>
    <w:rsid w:val="32C83D55"/>
    <w:rsid w:val="32DA184C"/>
    <w:rsid w:val="32E26A66"/>
    <w:rsid w:val="32E620B2"/>
    <w:rsid w:val="32F95CB7"/>
    <w:rsid w:val="33010C9A"/>
    <w:rsid w:val="33244988"/>
    <w:rsid w:val="334E5EA9"/>
    <w:rsid w:val="3356384F"/>
    <w:rsid w:val="33582236"/>
    <w:rsid w:val="33997124"/>
    <w:rsid w:val="33A65CE5"/>
    <w:rsid w:val="33AD7074"/>
    <w:rsid w:val="33B64277"/>
    <w:rsid w:val="33C76378"/>
    <w:rsid w:val="33D17B22"/>
    <w:rsid w:val="33D26ADA"/>
    <w:rsid w:val="33D62126"/>
    <w:rsid w:val="33DE722D"/>
    <w:rsid w:val="33E41C73"/>
    <w:rsid w:val="33F7717D"/>
    <w:rsid w:val="340C3D9A"/>
    <w:rsid w:val="34190265"/>
    <w:rsid w:val="342A6B27"/>
    <w:rsid w:val="34360E17"/>
    <w:rsid w:val="344D7F0F"/>
    <w:rsid w:val="3469049A"/>
    <w:rsid w:val="346E6B7F"/>
    <w:rsid w:val="34766B9C"/>
    <w:rsid w:val="349F41F7"/>
    <w:rsid w:val="350022EF"/>
    <w:rsid w:val="35020CF9"/>
    <w:rsid w:val="35074561"/>
    <w:rsid w:val="35132F06"/>
    <w:rsid w:val="35142C7A"/>
    <w:rsid w:val="3522139B"/>
    <w:rsid w:val="352B0250"/>
    <w:rsid w:val="352E1AEE"/>
    <w:rsid w:val="35325A82"/>
    <w:rsid w:val="35411821"/>
    <w:rsid w:val="3558300F"/>
    <w:rsid w:val="3566572C"/>
    <w:rsid w:val="3583585A"/>
    <w:rsid w:val="35904557"/>
    <w:rsid w:val="35935DF5"/>
    <w:rsid w:val="35987004"/>
    <w:rsid w:val="359C73A0"/>
    <w:rsid w:val="35B75970"/>
    <w:rsid w:val="35C8513F"/>
    <w:rsid w:val="35D040D0"/>
    <w:rsid w:val="35D11499"/>
    <w:rsid w:val="35E03756"/>
    <w:rsid w:val="3607320C"/>
    <w:rsid w:val="360E0992"/>
    <w:rsid w:val="361707D4"/>
    <w:rsid w:val="361E1B63"/>
    <w:rsid w:val="36271315"/>
    <w:rsid w:val="36296D8F"/>
    <w:rsid w:val="36394BEF"/>
    <w:rsid w:val="36454EF4"/>
    <w:rsid w:val="36480ED6"/>
    <w:rsid w:val="3667784E"/>
    <w:rsid w:val="366E687E"/>
    <w:rsid w:val="368049F0"/>
    <w:rsid w:val="36897924"/>
    <w:rsid w:val="369B1405"/>
    <w:rsid w:val="36C46BAE"/>
    <w:rsid w:val="36C56482"/>
    <w:rsid w:val="36F9612C"/>
    <w:rsid w:val="372C02AF"/>
    <w:rsid w:val="37427DCD"/>
    <w:rsid w:val="374D6BA3"/>
    <w:rsid w:val="376161AB"/>
    <w:rsid w:val="376E062B"/>
    <w:rsid w:val="378B3A6C"/>
    <w:rsid w:val="3793032E"/>
    <w:rsid w:val="37AB17B4"/>
    <w:rsid w:val="37C14E9C"/>
    <w:rsid w:val="37DB5A6F"/>
    <w:rsid w:val="38003C16"/>
    <w:rsid w:val="38037262"/>
    <w:rsid w:val="38211DDE"/>
    <w:rsid w:val="385B0E4C"/>
    <w:rsid w:val="386717C0"/>
    <w:rsid w:val="38723425"/>
    <w:rsid w:val="38974AF0"/>
    <w:rsid w:val="38C34C43"/>
    <w:rsid w:val="38C95885"/>
    <w:rsid w:val="390019F4"/>
    <w:rsid w:val="391F631E"/>
    <w:rsid w:val="39202096"/>
    <w:rsid w:val="393F5676"/>
    <w:rsid w:val="39422DEA"/>
    <w:rsid w:val="395D29A2"/>
    <w:rsid w:val="39CE1AF2"/>
    <w:rsid w:val="39E676B1"/>
    <w:rsid w:val="39F257E0"/>
    <w:rsid w:val="39F96B6F"/>
    <w:rsid w:val="3A030AC5"/>
    <w:rsid w:val="3A06128C"/>
    <w:rsid w:val="3A3E7A83"/>
    <w:rsid w:val="3A476A7B"/>
    <w:rsid w:val="3A542215"/>
    <w:rsid w:val="3A8A5A19"/>
    <w:rsid w:val="3AA82343"/>
    <w:rsid w:val="3AD924FC"/>
    <w:rsid w:val="3ADF1DF8"/>
    <w:rsid w:val="3AE315CD"/>
    <w:rsid w:val="3AEF1D20"/>
    <w:rsid w:val="3B29323F"/>
    <w:rsid w:val="3B2C6AD0"/>
    <w:rsid w:val="3B4E3D82"/>
    <w:rsid w:val="3B8033E1"/>
    <w:rsid w:val="3BA269FD"/>
    <w:rsid w:val="3BAB20EB"/>
    <w:rsid w:val="3BB13099"/>
    <w:rsid w:val="3BB379B1"/>
    <w:rsid w:val="3BBD3BCC"/>
    <w:rsid w:val="3BD11425"/>
    <w:rsid w:val="3BD6013A"/>
    <w:rsid w:val="3BF13876"/>
    <w:rsid w:val="3BFF2436"/>
    <w:rsid w:val="3C08753D"/>
    <w:rsid w:val="3C2C6246"/>
    <w:rsid w:val="3C6A3D54"/>
    <w:rsid w:val="3C9E1C4F"/>
    <w:rsid w:val="3CCF40AD"/>
    <w:rsid w:val="3CE05AB2"/>
    <w:rsid w:val="3D1B504E"/>
    <w:rsid w:val="3D22018A"/>
    <w:rsid w:val="3D295E51"/>
    <w:rsid w:val="3D3B124C"/>
    <w:rsid w:val="3D3B2FFA"/>
    <w:rsid w:val="3D485717"/>
    <w:rsid w:val="3D5B24BE"/>
    <w:rsid w:val="3D657A24"/>
    <w:rsid w:val="3D6B7484"/>
    <w:rsid w:val="3D791D75"/>
    <w:rsid w:val="3D7D76FE"/>
    <w:rsid w:val="3D900F90"/>
    <w:rsid w:val="3D967432"/>
    <w:rsid w:val="3DA17C5A"/>
    <w:rsid w:val="3DA94408"/>
    <w:rsid w:val="3DD82F3F"/>
    <w:rsid w:val="3DE6565C"/>
    <w:rsid w:val="3DE6740A"/>
    <w:rsid w:val="3DE93FE1"/>
    <w:rsid w:val="3DEF2039"/>
    <w:rsid w:val="3E38014F"/>
    <w:rsid w:val="3E483C21"/>
    <w:rsid w:val="3E5726C4"/>
    <w:rsid w:val="3E5C147A"/>
    <w:rsid w:val="3E66477A"/>
    <w:rsid w:val="3E6B5B61"/>
    <w:rsid w:val="3E7F160D"/>
    <w:rsid w:val="3EAA6689"/>
    <w:rsid w:val="3F0E2A92"/>
    <w:rsid w:val="3F0F2990"/>
    <w:rsid w:val="3F253F62"/>
    <w:rsid w:val="3F2921E6"/>
    <w:rsid w:val="3F5356B7"/>
    <w:rsid w:val="3F5F6009"/>
    <w:rsid w:val="3F7857D1"/>
    <w:rsid w:val="3F7D5A4F"/>
    <w:rsid w:val="3F90096E"/>
    <w:rsid w:val="3F9A21C7"/>
    <w:rsid w:val="3FB13A48"/>
    <w:rsid w:val="3FB41B8F"/>
    <w:rsid w:val="3FBF43B6"/>
    <w:rsid w:val="3FCA68B7"/>
    <w:rsid w:val="3FD37E62"/>
    <w:rsid w:val="402D0145"/>
    <w:rsid w:val="403C77B5"/>
    <w:rsid w:val="407D1B7C"/>
    <w:rsid w:val="40884444"/>
    <w:rsid w:val="40A3112D"/>
    <w:rsid w:val="40A35A86"/>
    <w:rsid w:val="40A73B61"/>
    <w:rsid w:val="40B76D6A"/>
    <w:rsid w:val="40BF3F42"/>
    <w:rsid w:val="40D03769"/>
    <w:rsid w:val="40D53EF1"/>
    <w:rsid w:val="40EB2BF0"/>
    <w:rsid w:val="40FB141E"/>
    <w:rsid w:val="411B561D"/>
    <w:rsid w:val="412E12E8"/>
    <w:rsid w:val="4153338C"/>
    <w:rsid w:val="41581D4D"/>
    <w:rsid w:val="41656898"/>
    <w:rsid w:val="417D2983"/>
    <w:rsid w:val="418D4040"/>
    <w:rsid w:val="41D028AB"/>
    <w:rsid w:val="41F95D14"/>
    <w:rsid w:val="42072045"/>
    <w:rsid w:val="42295B17"/>
    <w:rsid w:val="42336996"/>
    <w:rsid w:val="42410643"/>
    <w:rsid w:val="42447849"/>
    <w:rsid w:val="426217EC"/>
    <w:rsid w:val="429D6505"/>
    <w:rsid w:val="42CC4BAF"/>
    <w:rsid w:val="42CE4911"/>
    <w:rsid w:val="42DC527F"/>
    <w:rsid w:val="42E171C0"/>
    <w:rsid w:val="42E2739A"/>
    <w:rsid w:val="42ED4D97"/>
    <w:rsid w:val="42F97BDF"/>
    <w:rsid w:val="432A5FEB"/>
    <w:rsid w:val="43452E25"/>
    <w:rsid w:val="43613324"/>
    <w:rsid w:val="4364553F"/>
    <w:rsid w:val="4374370A"/>
    <w:rsid w:val="43853221"/>
    <w:rsid w:val="43C81360"/>
    <w:rsid w:val="43F07682"/>
    <w:rsid w:val="4416031D"/>
    <w:rsid w:val="44167F08"/>
    <w:rsid w:val="44175E76"/>
    <w:rsid w:val="44231A85"/>
    <w:rsid w:val="442A3DC9"/>
    <w:rsid w:val="443973A6"/>
    <w:rsid w:val="445E6A7B"/>
    <w:rsid w:val="44703ED1"/>
    <w:rsid w:val="447A4D50"/>
    <w:rsid w:val="448230D6"/>
    <w:rsid w:val="449C4CC6"/>
    <w:rsid w:val="449F6565"/>
    <w:rsid w:val="44C304A5"/>
    <w:rsid w:val="44C85ABB"/>
    <w:rsid w:val="44CD1324"/>
    <w:rsid w:val="45187B20"/>
    <w:rsid w:val="451C5E07"/>
    <w:rsid w:val="45237196"/>
    <w:rsid w:val="45275A63"/>
    <w:rsid w:val="4538249B"/>
    <w:rsid w:val="453942C3"/>
    <w:rsid w:val="453C0257"/>
    <w:rsid w:val="453E3FCF"/>
    <w:rsid w:val="45513D03"/>
    <w:rsid w:val="4565673D"/>
    <w:rsid w:val="4574077E"/>
    <w:rsid w:val="45765517"/>
    <w:rsid w:val="45795008"/>
    <w:rsid w:val="457E4C06"/>
    <w:rsid w:val="459E4A6E"/>
    <w:rsid w:val="45AA241A"/>
    <w:rsid w:val="45BE0C6C"/>
    <w:rsid w:val="45C30031"/>
    <w:rsid w:val="46192347"/>
    <w:rsid w:val="462C1924"/>
    <w:rsid w:val="464F6181"/>
    <w:rsid w:val="46671304"/>
    <w:rsid w:val="467342B8"/>
    <w:rsid w:val="46963997"/>
    <w:rsid w:val="46B02CAB"/>
    <w:rsid w:val="46D36999"/>
    <w:rsid w:val="46DD3374"/>
    <w:rsid w:val="46E75FA1"/>
    <w:rsid w:val="46FD59F9"/>
    <w:rsid w:val="47095F17"/>
    <w:rsid w:val="470D1EAB"/>
    <w:rsid w:val="473B735A"/>
    <w:rsid w:val="47484C91"/>
    <w:rsid w:val="4749496A"/>
    <w:rsid w:val="474D04FA"/>
    <w:rsid w:val="475950F1"/>
    <w:rsid w:val="47633879"/>
    <w:rsid w:val="4766336A"/>
    <w:rsid w:val="47677A6F"/>
    <w:rsid w:val="47737D22"/>
    <w:rsid w:val="47942E2B"/>
    <w:rsid w:val="47C50090"/>
    <w:rsid w:val="47CB7671"/>
    <w:rsid w:val="47D41743"/>
    <w:rsid w:val="47E25E36"/>
    <w:rsid w:val="48172BDB"/>
    <w:rsid w:val="48223734"/>
    <w:rsid w:val="483B2A48"/>
    <w:rsid w:val="485960BF"/>
    <w:rsid w:val="486A50DB"/>
    <w:rsid w:val="486C71BD"/>
    <w:rsid w:val="4873378B"/>
    <w:rsid w:val="48877A3B"/>
    <w:rsid w:val="488A12DA"/>
    <w:rsid w:val="488E2B78"/>
    <w:rsid w:val="489A151D"/>
    <w:rsid w:val="48B40105"/>
    <w:rsid w:val="48B87BF5"/>
    <w:rsid w:val="48D72771"/>
    <w:rsid w:val="48E56510"/>
    <w:rsid w:val="48FD385A"/>
    <w:rsid w:val="493A4AAE"/>
    <w:rsid w:val="495C057F"/>
    <w:rsid w:val="496039B3"/>
    <w:rsid w:val="497004D0"/>
    <w:rsid w:val="497E0E3E"/>
    <w:rsid w:val="49836455"/>
    <w:rsid w:val="498668DA"/>
    <w:rsid w:val="49967DDF"/>
    <w:rsid w:val="49A10689"/>
    <w:rsid w:val="49A85EBB"/>
    <w:rsid w:val="49AB1508"/>
    <w:rsid w:val="49D77927"/>
    <w:rsid w:val="49EA0597"/>
    <w:rsid w:val="49F41101"/>
    <w:rsid w:val="4A0961E3"/>
    <w:rsid w:val="4A183041"/>
    <w:rsid w:val="4A205A52"/>
    <w:rsid w:val="4A5B4CDC"/>
    <w:rsid w:val="4A5E3F5D"/>
    <w:rsid w:val="4A6A1427"/>
    <w:rsid w:val="4A6B4C9A"/>
    <w:rsid w:val="4A730277"/>
    <w:rsid w:val="4A8C758B"/>
    <w:rsid w:val="4A965D14"/>
    <w:rsid w:val="4AE42F23"/>
    <w:rsid w:val="4AE83C54"/>
    <w:rsid w:val="4AF97A1B"/>
    <w:rsid w:val="4B06733D"/>
    <w:rsid w:val="4B0B6702"/>
    <w:rsid w:val="4B0C5FD6"/>
    <w:rsid w:val="4B1E0FA9"/>
    <w:rsid w:val="4B206D94"/>
    <w:rsid w:val="4B215F25"/>
    <w:rsid w:val="4B2C3CC2"/>
    <w:rsid w:val="4B321EE0"/>
    <w:rsid w:val="4B49722A"/>
    <w:rsid w:val="4B4C6376"/>
    <w:rsid w:val="4B6127C6"/>
    <w:rsid w:val="4B6776C2"/>
    <w:rsid w:val="4B751DCD"/>
    <w:rsid w:val="4B814C16"/>
    <w:rsid w:val="4B893ACB"/>
    <w:rsid w:val="4B9F32EE"/>
    <w:rsid w:val="4BAB3530"/>
    <w:rsid w:val="4BB548C0"/>
    <w:rsid w:val="4BC36D42"/>
    <w:rsid w:val="4BE40D01"/>
    <w:rsid w:val="4BEB6533"/>
    <w:rsid w:val="4BEC408D"/>
    <w:rsid w:val="4BF076A6"/>
    <w:rsid w:val="4C0A1121"/>
    <w:rsid w:val="4C161AF1"/>
    <w:rsid w:val="4C222B32"/>
    <w:rsid w:val="4C285091"/>
    <w:rsid w:val="4C416153"/>
    <w:rsid w:val="4C417B78"/>
    <w:rsid w:val="4C5365B2"/>
    <w:rsid w:val="4C924E2D"/>
    <w:rsid w:val="4C9D5A7F"/>
    <w:rsid w:val="4CE74F4D"/>
    <w:rsid w:val="4D111FCA"/>
    <w:rsid w:val="4D1B2F53"/>
    <w:rsid w:val="4D3B5CB0"/>
    <w:rsid w:val="4D4B54DB"/>
    <w:rsid w:val="4D565C2E"/>
    <w:rsid w:val="4D61085B"/>
    <w:rsid w:val="4D667004"/>
    <w:rsid w:val="4D6B0035"/>
    <w:rsid w:val="4D6D43F9"/>
    <w:rsid w:val="4D866514"/>
    <w:rsid w:val="4D930C30"/>
    <w:rsid w:val="4D9C7AE5"/>
    <w:rsid w:val="4DB210B7"/>
    <w:rsid w:val="4DC1754C"/>
    <w:rsid w:val="4DD54DA5"/>
    <w:rsid w:val="4DE33966"/>
    <w:rsid w:val="4DEB6377"/>
    <w:rsid w:val="4DF06083"/>
    <w:rsid w:val="4DFA2A5E"/>
    <w:rsid w:val="4DFA66E6"/>
    <w:rsid w:val="4E065CB6"/>
    <w:rsid w:val="4E200716"/>
    <w:rsid w:val="4E30022D"/>
    <w:rsid w:val="4E482208"/>
    <w:rsid w:val="4E4F2DA9"/>
    <w:rsid w:val="4E5401B4"/>
    <w:rsid w:val="4E5B57DC"/>
    <w:rsid w:val="4E6D5DEE"/>
    <w:rsid w:val="4E740A62"/>
    <w:rsid w:val="4E766588"/>
    <w:rsid w:val="4EA6788D"/>
    <w:rsid w:val="4EB470B0"/>
    <w:rsid w:val="4EC76DE4"/>
    <w:rsid w:val="4EFE6975"/>
    <w:rsid w:val="4F1815E2"/>
    <w:rsid w:val="4F183BE6"/>
    <w:rsid w:val="4F336227"/>
    <w:rsid w:val="4F4F73A1"/>
    <w:rsid w:val="4F6D3146"/>
    <w:rsid w:val="4F8E7901"/>
    <w:rsid w:val="4F9B059D"/>
    <w:rsid w:val="4FCE41A2"/>
    <w:rsid w:val="4FD866CB"/>
    <w:rsid w:val="4FDC68BF"/>
    <w:rsid w:val="4FE94B38"/>
    <w:rsid w:val="4FEA5EB5"/>
    <w:rsid w:val="4FEB04D3"/>
    <w:rsid w:val="4FF9121F"/>
    <w:rsid w:val="501740DB"/>
    <w:rsid w:val="505B3C87"/>
    <w:rsid w:val="505D7058"/>
    <w:rsid w:val="507A1C34"/>
    <w:rsid w:val="509C7DFC"/>
    <w:rsid w:val="50B43398"/>
    <w:rsid w:val="50B618F8"/>
    <w:rsid w:val="50BD2FA6"/>
    <w:rsid w:val="50C00528"/>
    <w:rsid w:val="50C11611"/>
    <w:rsid w:val="50C25AB5"/>
    <w:rsid w:val="50C35389"/>
    <w:rsid w:val="50D137D5"/>
    <w:rsid w:val="50F84F5E"/>
    <w:rsid w:val="51112598"/>
    <w:rsid w:val="51206ED5"/>
    <w:rsid w:val="51422684"/>
    <w:rsid w:val="514C35D0"/>
    <w:rsid w:val="51667392"/>
    <w:rsid w:val="51825244"/>
    <w:rsid w:val="51B01DB1"/>
    <w:rsid w:val="51BC4CC0"/>
    <w:rsid w:val="51DA6E2E"/>
    <w:rsid w:val="51FC0A11"/>
    <w:rsid w:val="521C7446"/>
    <w:rsid w:val="52417FCB"/>
    <w:rsid w:val="526606C2"/>
    <w:rsid w:val="528172AA"/>
    <w:rsid w:val="529C1904"/>
    <w:rsid w:val="529F12A2"/>
    <w:rsid w:val="52B753C1"/>
    <w:rsid w:val="530138E1"/>
    <w:rsid w:val="530F0D59"/>
    <w:rsid w:val="531613D5"/>
    <w:rsid w:val="5324020D"/>
    <w:rsid w:val="532A5B93"/>
    <w:rsid w:val="533267F6"/>
    <w:rsid w:val="534D6807"/>
    <w:rsid w:val="535E4700"/>
    <w:rsid w:val="536B2FE6"/>
    <w:rsid w:val="536E3CD2"/>
    <w:rsid w:val="5373753A"/>
    <w:rsid w:val="537D5CC3"/>
    <w:rsid w:val="538D5FB5"/>
    <w:rsid w:val="53BB4A3D"/>
    <w:rsid w:val="53E24C4B"/>
    <w:rsid w:val="53F37C05"/>
    <w:rsid w:val="540B7EB5"/>
    <w:rsid w:val="540E1011"/>
    <w:rsid w:val="54297BF9"/>
    <w:rsid w:val="5436445F"/>
    <w:rsid w:val="543F7869"/>
    <w:rsid w:val="544B5DC1"/>
    <w:rsid w:val="545033D7"/>
    <w:rsid w:val="54D20290"/>
    <w:rsid w:val="54D67D81"/>
    <w:rsid w:val="54E2482B"/>
    <w:rsid w:val="54E56216"/>
    <w:rsid w:val="54F47B28"/>
    <w:rsid w:val="550F6DEF"/>
    <w:rsid w:val="553B73E2"/>
    <w:rsid w:val="554051FA"/>
    <w:rsid w:val="55473338"/>
    <w:rsid w:val="55833339"/>
    <w:rsid w:val="559429E6"/>
    <w:rsid w:val="55FC07CB"/>
    <w:rsid w:val="560721BC"/>
    <w:rsid w:val="561F12B3"/>
    <w:rsid w:val="562B7C58"/>
    <w:rsid w:val="563D798B"/>
    <w:rsid w:val="56561738"/>
    <w:rsid w:val="56602B8B"/>
    <w:rsid w:val="56617B1E"/>
    <w:rsid w:val="56763E09"/>
    <w:rsid w:val="568071EB"/>
    <w:rsid w:val="568E3A93"/>
    <w:rsid w:val="56B52D87"/>
    <w:rsid w:val="56BB26A7"/>
    <w:rsid w:val="56C1680E"/>
    <w:rsid w:val="56CC00BF"/>
    <w:rsid w:val="56CE6835"/>
    <w:rsid w:val="56EF6ED8"/>
    <w:rsid w:val="570979E2"/>
    <w:rsid w:val="571C3A45"/>
    <w:rsid w:val="571C57F3"/>
    <w:rsid w:val="571D1826"/>
    <w:rsid w:val="57362D58"/>
    <w:rsid w:val="573C5E95"/>
    <w:rsid w:val="5743331B"/>
    <w:rsid w:val="57541431"/>
    <w:rsid w:val="575431DF"/>
    <w:rsid w:val="576462DE"/>
    <w:rsid w:val="576B0713"/>
    <w:rsid w:val="576E2DF4"/>
    <w:rsid w:val="57737EC4"/>
    <w:rsid w:val="5785783C"/>
    <w:rsid w:val="57947A7F"/>
    <w:rsid w:val="57A629F6"/>
    <w:rsid w:val="57A86BE1"/>
    <w:rsid w:val="57CB5B25"/>
    <w:rsid w:val="57E44562"/>
    <w:rsid w:val="57EB4490"/>
    <w:rsid w:val="57EC1669"/>
    <w:rsid w:val="580449F9"/>
    <w:rsid w:val="582C5F09"/>
    <w:rsid w:val="58311772"/>
    <w:rsid w:val="58337298"/>
    <w:rsid w:val="58873140"/>
    <w:rsid w:val="58935F89"/>
    <w:rsid w:val="58A63441"/>
    <w:rsid w:val="58BF28DA"/>
    <w:rsid w:val="58D00AF4"/>
    <w:rsid w:val="58D74F65"/>
    <w:rsid w:val="58DE1D8C"/>
    <w:rsid w:val="58F06F37"/>
    <w:rsid w:val="58F44C79"/>
    <w:rsid w:val="59195BE2"/>
    <w:rsid w:val="5919648E"/>
    <w:rsid w:val="591A5DA5"/>
    <w:rsid w:val="59337D32"/>
    <w:rsid w:val="59430E75"/>
    <w:rsid w:val="598A550B"/>
    <w:rsid w:val="599C09DC"/>
    <w:rsid w:val="599D70BF"/>
    <w:rsid w:val="59B47F65"/>
    <w:rsid w:val="59BA6FCD"/>
    <w:rsid w:val="59CC3500"/>
    <w:rsid w:val="59D14FBA"/>
    <w:rsid w:val="59EE3017"/>
    <w:rsid w:val="59F1323B"/>
    <w:rsid w:val="5A0D0436"/>
    <w:rsid w:val="5A2C0443"/>
    <w:rsid w:val="5A5B2AD6"/>
    <w:rsid w:val="5A7B0A82"/>
    <w:rsid w:val="5A86410C"/>
    <w:rsid w:val="5A9B2ED2"/>
    <w:rsid w:val="5AAE0E58"/>
    <w:rsid w:val="5AC32B55"/>
    <w:rsid w:val="5ADF3707"/>
    <w:rsid w:val="5AF56A87"/>
    <w:rsid w:val="5AFE1DDF"/>
    <w:rsid w:val="5B1433B1"/>
    <w:rsid w:val="5B1E5FDD"/>
    <w:rsid w:val="5B264B73"/>
    <w:rsid w:val="5B2A2BD4"/>
    <w:rsid w:val="5B3C46B5"/>
    <w:rsid w:val="5B5F1393"/>
    <w:rsid w:val="5B5F2152"/>
    <w:rsid w:val="5B6B6D49"/>
    <w:rsid w:val="5B9535F4"/>
    <w:rsid w:val="5B991B08"/>
    <w:rsid w:val="5B9938B6"/>
    <w:rsid w:val="5BC528FD"/>
    <w:rsid w:val="5BC8419B"/>
    <w:rsid w:val="5BD26DC8"/>
    <w:rsid w:val="5BDE576D"/>
    <w:rsid w:val="5BFC60C7"/>
    <w:rsid w:val="5C0B4CB9"/>
    <w:rsid w:val="5C0D0AE7"/>
    <w:rsid w:val="5C2018E1"/>
    <w:rsid w:val="5C2C0286"/>
    <w:rsid w:val="5C2C297C"/>
    <w:rsid w:val="5C2E2250"/>
    <w:rsid w:val="5C753B41"/>
    <w:rsid w:val="5C7D31D8"/>
    <w:rsid w:val="5C867D40"/>
    <w:rsid w:val="5C870D7B"/>
    <w:rsid w:val="5CC76A05"/>
    <w:rsid w:val="5CE05C01"/>
    <w:rsid w:val="5D1C654D"/>
    <w:rsid w:val="5D2015DA"/>
    <w:rsid w:val="5D213B63"/>
    <w:rsid w:val="5D226CFA"/>
    <w:rsid w:val="5D2C2695"/>
    <w:rsid w:val="5D2D69AC"/>
    <w:rsid w:val="5D3D36C8"/>
    <w:rsid w:val="5D8C7841"/>
    <w:rsid w:val="5D912C18"/>
    <w:rsid w:val="5D9702C9"/>
    <w:rsid w:val="5DB91FED"/>
    <w:rsid w:val="5DC07B22"/>
    <w:rsid w:val="5DC2175C"/>
    <w:rsid w:val="5DF63972"/>
    <w:rsid w:val="5DFC012C"/>
    <w:rsid w:val="5E080D42"/>
    <w:rsid w:val="5E0A45F7"/>
    <w:rsid w:val="5E2E0A91"/>
    <w:rsid w:val="5E345B18"/>
    <w:rsid w:val="5E36132D"/>
    <w:rsid w:val="5E451AD3"/>
    <w:rsid w:val="5ED6597D"/>
    <w:rsid w:val="5EDD61AF"/>
    <w:rsid w:val="5EFC6636"/>
    <w:rsid w:val="5F076D88"/>
    <w:rsid w:val="5F35762A"/>
    <w:rsid w:val="5F5F532C"/>
    <w:rsid w:val="5F6D308F"/>
    <w:rsid w:val="5F7466FE"/>
    <w:rsid w:val="5F7A755A"/>
    <w:rsid w:val="5F863542"/>
    <w:rsid w:val="5FAE4D62"/>
    <w:rsid w:val="5FB20274"/>
    <w:rsid w:val="5FEB709A"/>
    <w:rsid w:val="5FFC7BC4"/>
    <w:rsid w:val="60182CB2"/>
    <w:rsid w:val="60287A9B"/>
    <w:rsid w:val="60326810"/>
    <w:rsid w:val="6042451C"/>
    <w:rsid w:val="60687CFB"/>
    <w:rsid w:val="60835BF8"/>
    <w:rsid w:val="60BE013F"/>
    <w:rsid w:val="60D62EB6"/>
    <w:rsid w:val="60F021CA"/>
    <w:rsid w:val="60FB0B6F"/>
    <w:rsid w:val="610619ED"/>
    <w:rsid w:val="613C6465"/>
    <w:rsid w:val="613D4CE3"/>
    <w:rsid w:val="61442516"/>
    <w:rsid w:val="614D13CA"/>
    <w:rsid w:val="61776447"/>
    <w:rsid w:val="618D5C6B"/>
    <w:rsid w:val="61CD42B9"/>
    <w:rsid w:val="61F555BE"/>
    <w:rsid w:val="62035F2D"/>
    <w:rsid w:val="62057D23"/>
    <w:rsid w:val="621C5BA9"/>
    <w:rsid w:val="62427522"/>
    <w:rsid w:val="624F23FA"/>
    <w:rsid w:val="62514EEA"/>
    <w:rsid w:val="62736350"/>
    <w:rsid w:val="62763D02"/>
    <w:rsid w:val="628506F0"/>
    <w:rsid w:val="629410CE"/>
    <w:rsid w:val="62CC2BB0"/>
    <w:rsid w:val="62EB3A25"/>
    <w:rsid w:val="63185A08"/>
    <w:rsid w:val="6320666B"/>
    <w:rsid w:val="632C5010"/>
    <w:rsid w:val="63712083"/>
    <w:rsid w:val="63936E3D"/>
    <w:rsid w:val="63BA479C"/>
    <w:rsid w:val="63C139AA"/>
    <w:rsid w:val="63D00091"/>
    <w:rsid w:val="63F35B2D"/>
    <w:rsid w:val="63F95565"/>
    <w:rsid w:val="640A5918"/>
    <w:rsid w:val="640D6BEF"/>
    <w:rsid w:val="64112D27"/>
    <w:rsid w:val="64265F03"/>
    <w:rsid w:val="6432550D"/>
    <w:rsid w:val="64371EBE"/>
    <w:rsid w:val="64426DE8"/>
    <w:rsid w:val="644F5459"/>
    <w:rsid w:val="64647877"/>
    <w:rsid w:val="64686B51"/>
    <w:rsid w:val="647C1FC7"/>
    <w:rsid w:val="648D7D30"/>
    <w:rsid w:val="649948E1"/>
    <w:rsid w:val="64B140D9"/>
    <w:rsid w:val="64B4710A"/>
    <w:rsid w:val="64B90B25"/>
    <w:rsid w:val="64BE613B"/>
    <w:rsid w:val="64C50E7F"/>
    <w:rsid w:val="64D771FD"/>
    <w:rsid w:val="64DB4F3F"/>
    <w:rsid w:val="65006754"/>
    <w:rsid w:val="651122B9"/>
    <w:rsid w:val="6515681C"/>
    <w:rsid w:val="651A2F6C"/>
    <w:rsid w:val="65202952"/>
    <w:rsid w:val="652E506F"/>
    <w:rsid w:val="65406093"/>
    <w:rsid w:val="65420B1A"/>
    <w:rsid w:val="65515B75"/>
    <w:rsid w:val="655C3587"/>
    <w:rsid w:val="65886897"/>
    <w:rsid w:val="659770B8"/>
    <w:rsid w:val="65A2780B"/>
    <w:rsid w:val="65B512EC"/>
    <w:rsid w:val="65C8329B"/>
    <w:rsid w:val="65F904A0"/>
    <w:rsid w:val="66044E06"/>
    <w:rsid w:val="66197FF3"/>
    <w:rsid w:val="66496A71"/>
    <w:rsid w:val="66967370"/>
    <w:rsid w:val="66974E96"/>
    <w:rsid w:val="66C537B1"/>
    <w:rsid w:val="66E005EB"/>
    <w:rsid w:val="66E16111"/>
    <w:rsid w:val="66F37636"/>
    <w:rsid w:val="670A2DA3"/>
    <w:rsid w:val="671C2F0D"/>
    <w:rsid w:val="67472418"/>
    <w:rsid w:val="676273A8"/>
    <w:rsid w:val="677A0EB9"/>
    <w:rsid w:val="67B101D9"/>
    <w:rsid w:val="67B75B18"/>
    <w:rsid w:val="67B850C4"/>
    <w:rsid w:val="67C972D1"/>
    <w:rsid w:val="67CC0B6F"/>
    <w:rsid w:val="67DD2D7C"/>
    <w:rsid w:val="67E91721"/>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17406C"/>
    <w:rsid w:val="6942099E"/>
    <w:rsid w:val="695D4175"/>
    <w:rsid w:val="698931BC"/>
    <w:rsid w:val="699D0A15"/>
    <w:rsid w:val="69A00505"/>
    <w:rsid w:val="69A2427D"/>
    <w:rsid w:val="69BA1345"/>
    <w:rsid w:val="69D07FD1"/>
    <w:rsid w:val="69F566F5"/>
    <w:rsid w:val="69FA7C16"/>
    <w:rsid w:val="6A170B7C"/>
    <w:rsid w:val="6A2151A2"/>
    <w:rsid w:val="6A2627B9"/>
    <w:rsid w:val="6A2702BC"/>
    <w:rsid w:val="6A331379"/>
    <w:rsid w:val="6A3C1FDC"/>
    <w:rsid w:val="6A577A5F"/>
    <w:rsid w:val="6A647785"/>
    <w:rsid w:val="6A701C86"/>
    <w:rsid w:val="6A894DD0"/>
    <w:rsid w:val="6A8D0A8A"/>
    <w:rsid w:val="6A9E2C97"/>
    <w:rsid w:val="6AB763D1"/>
    <w:rsid w:val="6AB83C70"/>
    <w:rsid w:val="6AC01C35"/>
    <w:rsid w:val="6AC27BFE"/>
    <w:rsid w:val="6AC93F86"/>
    <w:rsid w:val="6ADB13C7"/>
    <w:rsid w:val="6AFE7291"/>
    <w:rsid w:val="6B0D2C0B"/>
    <w:rsid w:val="6B160A7F"/>
    <w:rsid w:val="6B1747F7"/>
    <w:rsid w:val="6B19231D"/>
    <w:rsid w:val="6B234F56"/>
    <w:rsid w:val="6B301415"/>
    <w:rsid w:val="6B5965FE"/>
    <w:rsid w:val="6B5C6B1E"/>
    <w:rsid w:val="6B5E41D4"/>
    <w:rsid w:val="6B8005EE"/>
    <w:rsid w:val="6B83272F"/>
    <w:rsid w:val="6B9B310B"/>
    <w:rsid w:val="6BA51E03"/>
    <w:rsid w:val="6BB65DBE"/>
    <w:rsid w:val="6BB67B6C"/>
    <w:rsid w:val="6BEB5EDE"/>
    <w:rsid w:val="6BF16DF6"/>
    <w:rsid w:val="6C2E3BA6"/>
    <w:rsid w:val="6C375151"/>
    <w:rsid w:val="6C3C47B3"/>
    <w:rsid w:val="6C4909E0"/>
    <w:rsid w:val="6C496C32"/>
    <w:rsid w:val="6C832144"/>
    <w:rsid w:val="6C937EAD"/>
    <w:rsid w:val="6C9D0D2C"/>
    <w:rsid w:val="6CA077FA"/>
    <w:rsid w:val="6CD01102"/>
    <w:rsid w:val="6CD75FEC"/>
    <w:rsid w:val="6CDE737B"/>
    <w:rsid w:val="6CE24244"/>
    <w:rsid w:val="6D176D30"/>
    <w:rsid w:val="6D1F7993"/>
    <w:rsid w:val="6D2232F1"/>
    <w:rsid w:val="6D4A0EB4"/>
    <w:rsid w:val="6D975A3E"/>
    <w:rsid w:val="6D9914F3"/>
    <w:rsid w:val="6DAD528E"/>
    <w:rsid w:val="6DBF7D15"/>
    <w:rsid w:val="6DDB21D3"/>
    <w:rsid w:val="6DDF5000"/>
    <w:rsid w:val="6DE24C48"/>
    <w:rsid w:val="6E160D96"/>
    <w:rsid w:val="6E1F3036"/>
    <w:rsid w:val="6E2C05BA"/>
    <w:rsid w:val="6E3000AA"/>
    <w:rsid w:val="6E3B3456"/>
    <w:rsid w:val="6E4E22DE"/>
    <w:rsid w:val="6E645FA5"/>
    <w:rsid w:val="6E751F61"/>
    <w:rsid w:val="6E810366"/>
    <w:rsid w:val="6E881C94"/>
    <w:rsid w:val="6E9218A4"/>
    <w:rsid w:val="6EC364B5"/>
    <w:rsid w:val="6EC407F2"/>
    <w:rsid w:val="6EE449F0"/>
    <w:rsid w:val="6EF62128"/>
    <w:rsid w:val="6F3239AE"/>
    <w:rsid w:val="6F4C2993"/>
    <w:rsid w:val="6F5F0599"/>
    <w:rsid w:val="6F765F90"/>
    <w:rsid w:val="6F7B35A7"/>
    <w:rsid w:val="6FB22D40"/>
    <w:rsid w:val="6FB940CF"/>
    <w:rsid w:val="6FBB68FC"/>
    <w:rsid w:val="6FDA7815"/>
    <w:rsid w:val="6FDC1B6B"/>
    <w:rsid w:val="6FE0165C"/>
    <w:rsid w:val="6FE90800"/>
    <w:rsid w:val="701D465E"/>
    <w:rsid w:val="7023779A"/>
    <w:rsid w:val="702754DC"/>
    <w:rsid w:val="70281CF1"/>
    <w:rsid w:val="702F14B5"/>
    <w:rsid w:val="702F4391"/>
    <w:rsid w:val="705B0CE2"/>
    <w:rsid w:val="706C2EEF"/>
    <w:rsid w:val="706D1F44"/>
    <w:rsid w:val="706E4EB9"/>
    <w:rsid w:val="707B1384"/>
    <w:rsid w:val="70AA118A"/>
    <w:rsid w:val="70B97A34"/>
    <w:rsid w:val="70BE3020"/>
    <w:rsid w:val="70C42D2B"/>
    <w:rsid w:val="70E178AF"/>
    <w:rsid w:val="70E21403"/>
    <w:rsid w:val="70F84783"/>
    <w:rsid w:val="70F97914"/>
    <w:rsid w:val="71125845"/>
    <w:rsid w:val="7113780F"/>
    <w:rsid w:val="71167B69"/>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533BCF"/>
    <w:rsid w:val="725620A9"/>
    <w:rsid w:val="725B146D"/>
    <w:rsid w:val="725D3437"/>
    <w:rsid w:val="72CB03A1"/>
    <w:rsid w:val="72D03C09"/>
    <w:rsid w:val="72F37EB8"/>
    <w:rsid w:val="72F71196"/>
    <w:rsid w:val="73190D85"/>
    <w:rsid w:val="731F693F"/>
    <w:rsid w:val="732E6B82"/>
    <w:rsid w:val="734C3D25"/>
    <w:rsid w:val="73634A7D"/>
    <w:rsid w:val="736425A4"/>
    <w:rsid w:val="7372081D"/>
    <w:rsid w:val="738343C3"/>
    <w:rsid w:val="73AE005E"/>
    <w:rsid w:val="73F90F3E"/>
    <w:rsid w:val="7419338E"/>
    <w:rsid w:val="74341F76"/>
    <w:rsid w:val="74485A21"/>
    <w:rsid w:val="745D7A02"/>
    <w:rsid w:val="746E5488"/>
    <w:rsid w:val="746F1200"/>
    <w:rsid w:val="747C35A9"/>
    <w:rsid w:val="74A72EBD"/>
    <w:rsid w:val="74BE7A92"/>
    <w:rsid w:val="74D42813"/>
    <w:rsid w:val="750D2EF3"/>
    <w:rsid w:val="751F654B"/>
    <w:rsid w:val="752D5343"/>
    <w:rsid w:val="75322959"/>
    <w:rsid w:val="753C5586"/>
    <w:rsid w:val="75686BCC"/>
    <w:rsid w:val="75693EA1"/>
    <w:rsid w:val="75752846"/>
    <w:rsid w:val="75842A89"/>
    <w:rsid w:val="75932CCC"/>
    <w:rsid w:val="75AF45AE"/>
    <w:rsid w:val="75B275F6"/>
    <w:rsid w:val="75D237F5"/>
    <w:rsid w:val="75DE03EB"/>
    <w:rsid w:val="760D7FB3"/>
    <w:rsid w:val="762F6E99"/>
    <w:rsid w:val="76391AC6"/>
    <w:rsid w:val="764346F2"/>
    <w:rsid w:val="7645046A"/>
    <w:rsid w:val="764C557E"/>
    <w:rsid w:val="765C57B4"/>
    <w:rsid w:val="767174B1"/>
    <w:rsid w:val="76780840"/>
    <w:rsid w:val="76783F68"/>
    <w:rsid w:val="76793892"/>
    <w:rsid w:val="76941B1A"/>
    <w:rsid w:val="76AD7DBE"/>
    <w:rsid w:val="76DE441B"/>
    <w:rsid w:val="76E45ED5"/>
    <w:rsid w:val="770D1EB1"/>
    <w:rsid w:val="77147E3D"/>
    <w:rsid w:val="771A3ADA"/>
    <w:rsid w:val="7725204A"/>
    <w:rsid w:val="7730111A"/>
    <w:rsid w:val="77391FC6"/>
    <w:rsid w:val="773D3837"/>
    <w:rsid w:val="7746449A"/>
    <w:rsid w:val="77551879"/>
    <w:rsid w:val="776963DA"/>
    <w:rsid w:val="776B24A9"/>
    <w:rsid w:val="776D0DB5"/>
    <w:rsid w:val="77876861"/>
    <w:rsid w:val="779C40BA"/>
    <w:rsid w:val="779F1CDF"/>
    <w:rsid w:val="77AB69F3"/>
    <w:rsid w:val="77B07A95"/>
    <w:rsid w:val="77C6382D"/>
    <w:rsid w:val="77E048EF"/>
    <w:rsid w:val="780C3B22"/>
    <w:rsid w:val="781E377D"/>
    <w:rsid w:val="787D038F"/>
    <w:rsid w:val="78960636"/>
    <w:rsid w:val="789F0530"/>
    <w:rsid w:val="78AC169E"/>
    <w:rsid w:val="78B96EEE"/>
    <w:rsid w:val="78C0027C"/>
    <w:rsid w:val="78CA55CE"/>
    <w:rsid w:val="78DC11E9"/>
    <w:rsid w:val="78EF46BD"/>
    <w:rsid w:val="78F9488B"/>
    <w:rsid w:val="78FB12B4"/>
    <w:rsid w:val="79015B82"/>
    <w:rsid w:val="79074B53"/>
    <w:rsid w:val="790E7239"/>
    <w:rsid w:val="79257DFE"/>
    <w:rsid w:val="793A6280"/>
    <w:rsid w:val="794C5FB4"/>
    <w:rsid w:val="79716072"/>
    <w:rsid w:val="797A667D"/>
    <w:rsid w:val="797D43BF"/>
    <w:rsid w:val="79870D9A"/>
    <w:rsid w:val="79993610"/>
    <w:rsid w:val="79B81A3C"/>
    <w:rsid w:val="79C478F8"/>
    <w:rsid w:val="79DD60B2"/>
    <w:rsid w:val="79EA1A55"/>
    <w:rsid w:val="79FA5A10"/>
    <w:rsid w:val="79FF6B82"/>
    <w:rsid w:val="7A2D118F"/>
    <w:rsid w:val="7A356A48"/>
    <w:rsid w:val="7A454EDD"/>
    <w:rsid w:val="7A45539C"/>
    <w:rsid w:val="7A551C2F"/>
    <w:rsid w:val="7A5769BE"/>
    <w:rsid w:val="7A7E35D0"/>
    <w:rsid w:val="7A8157E9"/>
    <w:rsid w:val="7A833F3B"/>
    <w:rsid w:val="7AE26947"/>
    <w:rsid w:val="7AF661D7"/>
    <w:rsid w:val="7AF75AAB"/>
    <w:rsid w:val="7B0167DE"/>
    <w:rsid w:val="7B220D7A"/>
    <w:rsid w:val="7B2F3497"/>
    <w:rsid w:val="7B2F5245"/>
    <w:rsid w:val="7B430CF1"/>
    <w:rsid w:val="7B5237E2"/>
    <w:rsid w:val="7B786BEC"/>
    <w:rsid w:val="7B8E2C64"/>
    <w:rsid w:val="7B940C71"/>
    <w:rsid w:val="7BA7127F"/>
    <w:rsid w:val="7BBA7D61"/>
    <w:rsid w:val="7BC24845"/>
    <w:rsid w:val="7BF07B1B"/>
    <w:rsid w:val="7C430CD5"/>
    <w:rsid w:val="7C4371FA"/>
    <w:rsid w:val="7C796B83"/>
    <w:rsid w:val="7C7C270C"/>
    <w:rsid w:val="7C913580"/>
    <w:rsid w:val="7C9D37BA"/>
    <w:rsid w:val="7CA659DB"/>
    <w:rsid w:val="7CCB222D"/>
    <w:rsid w:val="7CD24A22"/>
    <w:rsid w:val="7CD930BA"/>
    <w:rsid w:val="7CFE0C47"/>
    <w:rsid w:val="7D006E99"/>
    <w:rsid w:val="7D043CDB"/>
    <w:rsid w:val="7D4F5B8A"/>
    <w:rsid w:val="7D517499"/>
    <w:rsid w:val="7D6F401F"/>
    <w:rsid w:val="7D752025"/>
    <w:rsid w:val="7D9D0B8C"/>
    <w:rsid w:val="7D9F1E09"/>
    <w:rsid w:val="7DA168CE"/>
    <w:rsid w:val="7DA56368"/>
    <w:rsid w:val="7DB06B11"/>
    <w:rsid w:val="7DBB54B6"/>
    <w:rsid w:val="7DDD542C"/>
    <w:rsid w:val="7E0368D8"/>
    <w:rsid w:val="7E0A4597"/>
    <w:rsid w:val="7E4159BB"/>
    <w:rsid w:val="7E553215"/>
    <w:rsid w:val="7E617E0B"/>
    <w:rsid w:val="7E7044F2"/>
    <w:rsid w:val="7E7B31DC"/>
    <w:rsid w:val="7E9235AA"/>
    <w:rsid w:val="7EBB1167"/>
    <w:rsid w:val="7ED2135E"/>
    <w:rsid w:val="7EE01021"/>
    <w:rsid w:val="7EE5787B"/>
    <w:rsid w:val="7EED78F1"/>
    <w:rsid w:val="7EFB4FBB"/>
    <w:rsid w:val="7F07123A"/>
    <w:rsid w:val="7F081277"/>
    <w:rsid w:val="7F2E23E3"/>
    <w:rsid w:val="7F2F641F"/>
    <w:rsid w:val="7F390F10"/>
    <w:rsid w:val="7F4E65E2"/>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rPr>
      <w:rFonts w:ascii="仿宋" w:hAnsi="仿宋" w:eastAsia="仿宋" w:cs="仿宋"/>
      <w:sz w:val="30"/>
      <w:szCs w:val="30"/>
      <w:lang w:val="zh-CN" w:eastAsia="zh-CN" w:bidi="zh-CN"/>
    </w:rPr>
  </w:style>
  <w:style w:type="paragraph" w:styleId="4">
    <w:name w:val="Body Text Indent"/>
    <w:basedOn w:val="1"/>
    <w:autoRedefine/>
    <w:qFormat/>
    <w:uiPriority w:val="99"/>
    <w:pPr>
      <w:ind w:firstLine="525"/>
      <w:jc w:val="left"/>
    </w:pPr>
    <w:rPr>
      <w:rFonts w:ascii="宋体" w:hAnsi="Times New Roman" w:cs="Times New Roman"/>
      <w:sz w:val="28"/>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autoRedefine/>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autoRedefine/>
    <w:qFormat/>
    <w:uiPriority w:val="0"/>
    <w:pPr>
      <w:ind w:leftChars="0"/>
    </w:pPr>
    <w:rPr>
      <w:rFonts w:ascii="Calibri" w:hAnsi="Calibri" w:eastAsia="宋体" w:cs="Times New Roman"/>
      <w:sz w:val="20"/>
      <w:szCs w:val="20"/>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 w:type="character" w:customStyle="1" w:styleId="15">
    <w:name w:val="font71"/>
    <w:basedOn w:val="11"/>
    <w:qFormat/>
    <w:uiPriority w:val="0"/>
    <w:rPr>
      <w:rFonts w:hint="default" w:ascii="Times New Roman" w:hAnsi="Times New Roman" w:cs="Times New Roman"/>
      <w:color w:val="000000"/>
      <w:sz w:val="28"/>
      <w:szCs w:val="28"/>
      <w:u w:val="none"/>
    </w:rPr>
  </w:style>
  <w:style w:type="character" w:customStyle="1" w:styleId="16">
    <w:name w:val="font41"/>
    <w:basedOn w:val="11"/>
    <w:qFormat/>
    <w:uiPriority w:val="0"/>
    <w:rPr>
      <w:rFonts w:hint="eastAsia" w:ascii="宋体" w:hAnsi="宋体" w:eastAsia="宋体" w:cs="宋体"/>
      <w:color w:val="000000"/>
      <w:sz w:val="28"/>
      <w:szCs w:val="28"/>
      <w:u w:val="none"/>
    </w:rPr>
  </w:style>
  <w:style w:type="character" w:customStyle="1" w:styleId="17">
    <w:name w:val="font51"/>
    <w:basedOn w:val="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357</Words>
  <Characters>362</Characters>
  <Lines>0</Lines>
  <Paragraphs>0</Paragraphs>
  <TotalTime>1</TotalTime>
  <ScaleCrop>false</ScaleCrop>
  <LinksUpToDate>false</LinksUpToDate>
  <CharactersWithSpaces>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招采中心2</cp:lastModifiedBy>
  <cp:lastPrinted>2023-05-22T02:04:00Z</cp:lastPrinted>
  <dcterms:modified xsi:type="dcterms:W3CDTF">2025-02-20T06:45:16Z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82D141CB2A9A4B3CB686F58D01ACF734_13</vt:lpwstr>
  </property>
  <property fmtid="{D5CDD505-2E9C-101B-9397-08002B2CF9AE}" pid="4" name="KSOTemplateDocerSaveRecord">
    <vt:lpwstr>eyJoZGlkIjoiMWNkOTA2YTU2YTMyNWMxZDllOWFmNTY2NDdiZGVlOTgiLCJ1c2VySWQiOiIzMjYyOTIwOTcifQ==</vt:lpwstr>
  </property>
</Properties>
</file>