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A0FA4">
      <w:pPr>
        <w:jc w:val="both"/>
        <w:rPr>
          <w:rFonts w:hint="default" w:eastAsia="宋体"/>
          <w:color w:val="auto"/>
          <w:highlight w:val="none"/>
          <w:lang w:val="en-US" w:eastAsia="zh-CN"/>
        </w:rPr>
      </w:pPr>
      <w:r>
        <w:rPr>
          <w:rFonts w:ascii="宋体" w:hAnsi="宋体" w:eastAsia="宋体" w:cs="宋体"/>
          <w:color w:val="auto"/>
          <w:kern w:val="0"/>
          <w:sz w:val="24"/>
          <w:szCs w:val="24"/>
          <w:highlight w:val="none"/>
        </w:rPr>
        <w:drawing>
          <wp:anchor distT="0" distB="0" distL="114300" distR="114300" simplePos="0" relativeHeight="251659264" behindDoc="0" locked="0" layoutInCell="1" allowOverlap="1">
            <wp:simplePos x="0" y="0"/>
            <wp:positionH relativeFrom="column">
              <wp:posOffset>1234440</wp:posOffset>
            </wp:positionH>
            <wp:positionV relativeFrom="paragraph">
              <wp:posOffset>97790</wp:posOffset>
            </wp:positionV>
            <wp:extent cx="4288790" cy="690245"/>
            <wp:effectExtent l="0" t="0" r="16510" b="14605"/>
            <wp:wrapNone/>
            <wp:docPr id="1"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619fd34e89ba868d862bb3661be41"/>
                    <pic:cNvPicPr>
                      <a:picLocks noChangeAspect="1"/>
                    </pic:cNvPicPr>
                  </pic:nvPicPr>
                  <pic:blipFill>
                    <a:blip r:embed="rId9"/>
                    <a:stretch>
                      <a:fillRect/>
                    </a:stretch>
                  </pic:blipFill>
                  <pic:spPr>
                    <a:xfrm>
                      <a:off x="0" y="0"/>
                      <a:ext cx="4288790" cy="690245"/>
                    </a:xfrm>
                    <a:prstGeom prst="rect">
                      <a:avLst/>
                    </a:prstGeom>
                    <a:noFill/>
                    <a:ln>
                      <a:noFill/>
                    </a:ln>
                  </pic:spPr>
                </pic:pic>
              </a:graphicData>
            </a:graphic>
          </wp:anchor>
        </w:drawing>
      </w:r>
    </w:p>
    <w:p w14:paraId="5A82975F">
      <w:pPr>
        <w:jc w:val="both"/>
        <w:rPr>
          <w:rFonts w:hint="default" w:eastAsia="宋体"/>
          <w:color w:val="auto"/>
          <w:highlight w:val="none"/>
          <w:lang w:val="en-US" w:eastAsia="zh-CN"/>
        </w:rPr>
      </w:pPr>
    </w:p>
    <w:p w14:paraId="152BF8BB">
      <w:pPr>
        <w:jc w:val="both"/>
        <w:rPr>
          <w:rFonts w:hint="default" w:eastAsia="宋体"/>
          <w:color w:val="auto"/>
          <w:highlight w:val="none"/>
          <w:lang w:val="en-US" w:eastAsia="zh-CN"/>
        </w:rPr>
      </w:pPr>
    </w:p>
    <w:p w14:paraId="52C93943">
      <w:pPr>
        <w:jc w:val="both"/>
        <w:rPr>
          <w:rFonts w:hint="default" w:eastAsia="宋体"/>
          <w:color w:val="auto"/>
          <w:highlight w:val="none"/>
          <w:lang w:val="en-US" w:eastAsia="zh-CN"/>
        </w:rPr>
      </w:pPr>
    </w:p>
    <w:p w14:paraId="09306E7D">
      <w:pPr>
        <w:jc w:val="both"/>
        <w:rPr>
          <w:rFonts w:hint="default" w:eastAsia="宋体"/>
          <w:color w:val="auto"/>
          <w:highlight w:val="none"/>
          <w:lang w:val="en-US" w:eastAsia="zh-CN"/>
        </w:rPr>
      </w:pPr>
    </w:p>
    <w:p w14:paraId="4B0CD267">
      <w:pPr>
        <w:jc w:val="both"/>
        <w:rPr>
          <w:b/>
          <w:color w:val="auto"/>
          <w:sz w:val="72"/>
          <w:highlight w:val="none"/>
        </w:rPr>
      </w:pPr>
    </w:p>
    <w:p w14:paraId="5FD9627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bCs w:val="0"/>
          <w:color w:val="auto"/>
          <w:sz w:val="52"/>
          <w:szCs w:val="52"/>
          <w:highlight w:val="none"/>
          <w:u w:val="single"/>
          <w:lang w:val="en-US" w:eastAsia="zh-CN"/>
        </w:rPr>
      </w:pPr>
      <w:r>
        <w:rPr>
          <w:rFonts w:hint="eastAsia" w:ascii="仿宋" w:hAnsi="仿宋" w:eastAsia="仿宋" w:cs="仿宋"/>
          <w:b/>
          <w:bCs w:val="0"/>
          <w:color w:val="auto"/>
          <w:sz w:val="52"/>
          <w:szCs w:val="52"/>
          <w:highlight w:val="none"/>
          <w:u w:val="single"/>
          <w:lang w:val="en-US" w:eastAsia="zh-CN"/>
        </w:rPr>
        <w:t>南京现代表面处理科技产业中心项目一期A地块建设项目</w:t>
      </w:r>
    </w:p>
    <w:p w14:paraId="1D22D72C">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 w:hAnsi="仿宋" w:eastAsia="仿宋" w:cs="仿宋"/>
          <w:b/>
          <w:bCs w:val="0"/>
          <w:color w:val="auto"/>
          <w:sz w:val="52"/>
          <w:szCs w:val="52"/>
          <w:highlight w:val="none"/>
          <w:u w:val="none"/>
          <w:lang w:val="en-US" w:eastAsia="zh-CN"/>
        </w:rPr>
      </w:pPr>
      <w:r>
        <w:rPr>
          <w:rFonts w:hint="eastAsia" w:ascii="仿宋" w:hAnsi="仿宋" w:eastAsia="仿宋" w:cs="仿宋"/>
          <w:b/>
          <w:bCs w:val="0"/>
          <w:color w:val="auto"/>
          <w:sz w:val="52"/>
          <w:szCs w:val="52"/>
          <w:highlight w:val="none"/>
          <w:u w:val="none"/>
          <w:lang w:val="en-US" w:eastAsia="zh-CN"/>
        </w:rPr>
        <w:t>管</w:t>
      </w:r>
    </w:p>
    <w:p w14:paraId="54D50EA2">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 w:hAnsi="仿宋" w:eastAsia="仿宋" w:cs="仿宋"/>
          <w:b/>
          <w:bCs w:val="0"/>
          <w:color w:val="auto"/>
          <w:sz w:val="44"/>
          <w:szCs w:val="44"/>
          <w:highlight w:val="none"/>
          <w:u w:val="none"/>
          <w:lang w:val="en-US"/>
        </w:rPr>
      </w:pPr>
      <w:r>
        <w:rPr>
          <w:rFonts w:hint="eastAsia" w:ascii="仿宋" w:hAnsi="仿宋" w:eastAsia="仿宋" w:cs="仿宋"/>
          <w:b/>
          <w:bCs w:val="0"/>
          <w:color w:val="auto"/>
          <w:sz w:val="52"/>
          <w:szCs w:val="52"/>
          <w:highlight w:val="none"/>
          <w:u w:val="none"/>
          <w:lang w:val="en-US" w:eastAsia="zh-CN"/>
        </w:rPr>
        <w:t>桩</w:t>
      </w:r>
    </w:p>
    <w:p w14:paraId="03D3E042">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购</w:t>
      </w:r>
    </w:p>
    <w:p w14:paraId="29CFCF7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销</w:t>
      </w:r>
    </w:p>
    <w:p w14:paraId="0C99A600">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合</w:t>
      </w:r>
    </w:p>
    <w:p w14:paraId="5B8B915E">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eastAsia="宋体"/>
          <w:color w:val="auto"/>
          <w:highlight w:val="none"/>
          <w:lang w:val="en-US" w:eastAsia="zh-CN"/>
        </w:rPr>
      </w:pPr>
      <w:r>
        <w:rPr>
          <w:rFonts w:hint="eastAsia" w:ascii="仿宋" w:hAnsi="仿宋" w:eastAsia="仿宋" w:cs="仿宋"/>
          <w:b/>
          <w:color w:val="auto"/>
          <w:sz w:val="52"/>
          <w:szCs w:val="52"/>
          <w:highlight w:val="none"/>
          <w:lang w:val="en-US" w:eastAsia="zh-CN"/>
        </w:rPr>
        <w:t>同</w:t>
      </w:r>
    </w:p>
    <w:p w14:paraId="7D97E869">
      <w:pPr>
        <w:jc w:val="both"/>
        <w:rPr>
          <w:rFonts w:hint="default" w:eastAsia="宋体"/>
          <w:color w:val="auto"/>
          <w:highlight w:val="none"/>
          <w:lang w:val="en-US" w:eastAsia="zh-CN"/>
        </w:rPr>
      </w:pPr>
    </w:p>
    <w:p w14:paraId="188057D2">
      <w:pPr>
        <w:jc w:val="center"/>
        <w:rPr>
          <w:rFonts w:hint="default" w:eastAsia="宋体"/>
          <w:b/>
          <w:bCs/>
          <w:color w:val="auto"/>
          <w:highlight w:val="none"/>
          <w:lang w:val="en-US" w:eastAsia="zh-CN"/>
        </w:rPr>
      </w:pPr>
      <w:r>
        <w:rPr>
          <w:rFonts w:hint="eastAsia"/>
          <w:b/>
          <w:bCs/>
          <w:color w:val="auto"/>
          <w:highlight w:val="none"/>
          <w:lang w:val="en-US" w:eastAsia="zh-CN"/>
        </w:rPr>
        <w:t>（20240711版）</w:t>
      </w:r>
    </w:p>
    <w:p w14:paraId="64FC7855">
      <w:pPr>
        <w:jc w:val="both"/>
        <w:rPr>
          <w:rFonts w:hint="default" w:eastAsia="宋体"/>
          <w:color w:val="auto"/>
          <w:highlight w:val="none"/>
          <w:lang w:val="en-US" w:eastAsia="zh-CN"/>
        </w:rPr>
      </w:pPr>
    </w:p>
    <w:p w14:paraId="4515AF46">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color w:val="auto"/>
          <w:kern w:val="2"/>
          <w:sz w:val="28"/>
          <w:szCs w:val="28"/>
          <w:highlight w:val="none"/>
          <w:lang w:val="en-US" w:eastAsia="zh-CN" w:bidi="zh-CN"/>
        </w:rPr>
      </w:pPr>
      <w:r>
        <w:rPr>
          <w:rFonts w:hint="eastAsia" w:ascii="仿宋" w:hAnsi="仿宋" w:eastAsia="仿宋" w:cs="仿宋"/>
          <w:b w:val="0"/>
          <w:bCs/>
          <w:color w:val="auto"/>
          <w:kern w:val="2"/>
          <w:sz w:val="28"/>
          <w:szCs w:val="28"/>
          <w:highlight w:val="none"/>
          <w:lang w:val="en-US" w:eastAsia="zh-CN" w:bidi="zh-CN"/>
        </w:rPr>
        <w:t>合同编号：</w:t>
      </w:r>
    </w:p>
    <w:p w14:paraId="14D5B3D4">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color w:val="auto"/>
          <w:kern w:val="2"/>
          <w:sz w:val="28"/>
          <w:szCs w:val="28"/>
          <w:highlight w:val="none"/>
          <w:lang w:val="en-US" w:eastAsia="zh-CN" w:bidi="zh-CN"/>
        </w:rPr>
      </w:pPr>
      <w:r>
        <w:rPr>
          <w:rFonts w:hint="eastAsia" w:ascii="仿宋" w:hAnsi="仿宋" w:eastAsia="仿宋" w:cs="仿宋"/>
          <w:b w:val="0"/>
          <w:bCs/>
          <w:color w:val="auto"/>
          <w:kern w:val="2"/>
          <w:sz w:val="28"/>
          <w:szCs w:val="28"/>
          <w:highlight w:val="none"/>
          <w:lang w:val="en-US" w:eastAsia="zh-CN" w:bidi="zh-CN"/>
        </w:rPr>
        <w:t>甲方（需方）：</w:t>
      </w:r>
    </w:p>
    <w:p w14:paraId="398A29AD">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color w:val="auto"/>
          <w:kern w:val="2"/>
          <w:sz w:val="28"/>
          <w:szCs w:val="28"/>
          <w:highlight w:val="none"/>
          <w:lang w:val="en-US" w:eastAsia="zh-CN" w:bidi="zh-CN"/>
        </w:rPr>
      </w:pPr>
      <w:r>
        <w:rPr>
          <w:rFonts w:hint="eastAsia" w:ascii="仿宋" w:hAnsi="仿宋" w:eastAsia="仿宋" w:cs="仿宋"/>
          <w:b w:val="0"/>
          <w:bCs/>
          <w:color w:val="auto"/>
          <w:kern w:val="2"/>
          <w:sz w:val="28"/>
          <w:szCs w:val="28"/>
          <w:highlight w:val="none"/>
          <w:lang w:val="en-US" w:eastAsia="zh-CN" w:bidi="zh-CN"/>
        </w:rPr>
        <w:t>乙方（供方）：</w:t>
      </w:r>
    </w:p>
    <w:p w14:paraId="64DE679B">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default" w:ascii="仿宋" w:hAnsi="仿宋" w:eastAsia="仿宋" w:cs="仿宋"/>
          <w:b w:val="0"/>
          <w:bCs/>
          <w:color w:val="auto"/>
          <w:kern w:val="2"/>
          <w:sz w:val="28"/>
          <w:szCs w:val="28"/>
          <w:highlight w:val="none"/>
          <w:lang w:val="en-US" w:eastAsia="zh-CN" w:bidi="zh-CN"/>
        </w:rPr>
      </w:pPr>
      <w:r>
        <w:rPr>
          <w:rFonts w:hint="eastAsia" w:ascii="仿宋" w:hAnsi="仿宋" w:eastAsia="仿宋" w:cs="仿宋"/>
          <w:b w:val="0"/>
          <w:bCs/>
          <w:color w:val="auto"/>
          <w:kern w:val="2"/>
          <w:sz w:val="28"/>
          <w:szCs w:val="28"/>
          <w:highlight w:val="none"/>
          <w:lang w:val="en-US" w:eastAsia="zh-CN" w:bidi="zh-CN"/>
        </w:rPr>
        <w:t>签订日期：202  年    月    日</w:t>
      </w:r>
    </w:p>
    <w:p w14:paraId="2A13E27E">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default" w:ascii="仿宋" w:hAnsi="仿宋" w:eastAsia="仿宋" w:cs="仿宋"/>
          <w:b w:val="0"/>
          <w:bCs/>
          <w:color w:val="auto"/>
          <w:kern w:val="2"/>
          <w:sz w:val="28"/>
          <w:szCs w:val="28"/>
          <w:highlight w:val="none"/>
          <w:lang w:val="en-US" w:eastAsia="zh-CN" w:bidi="zh-CN"/>
        </w:rPr>
        <w:sectPr>
          <w:headerReference r:id="rId3" w:type="default"/>
          <w:footerReference r:id="rId4" w:type="default"/>
          <w:pgSz w:w="11906" w:h="16838"/>
          <w:pgMar w:top="1440" w:right="846"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 w:hAnsi="仿宋" w:eastAsia="仿宋" w:cs="仿宋"/>
          <w:b w:val="0"/>
          <w:bCs/>
          <w:color w:val="auto"/>
          <w:kern w:val="2"/>
          <w:sz w:val="28"/>
          <w:szCs w:val="28"/>
          <w:highlight w:val="none"/>
          <w:lang w:val="en-US" w:eastAsia="zh-CN" w:bidi="zh-CN"/>
        </w:rPr>
        <w:t>签订地点：广东·东莞</w:t>
      </w:r>
      <w:r>
        <w:rPr>
          <w:rFonts w:hint="eastAsia" w:ascii="仿宋" w:hAnsi="仿宋" w:eastAsia="仿宋" w:cs="仿宋"/>
          <w:b w:val="0"/>
          <w:bCs/>
          <w:color w:val="auto"/>
          <w:kern w:val="2"/>
          <w:sz w:val="28"/>
          <w:szCs w:val="28"/>
          <w:highlight w:val="none"/>
          <w:lang w:val="en-US" w:eastAsia="zh-CN" w:bidi="zh-CN"/>
        </w:rPr>
        <w:tab/>
      </w:r>
    </w:p>
    <w:p w14:paraId="6B5F2FE8">
      <w:pPr>
        <w:spacing w:before="0" w:beforeLines="0" w:after="0" w:afterLines="0" w:line="240" w:lineRule="auto"/>
        <w:ind w:left="0" w:leftChars="0" w:right="0" w:rightChars="0" w:firstLine="0" w:firstLineChars="0"/>
        <w:jc w:val="center"/>
        <w:rPr>
          <w:b/>
          <w:bCs/>
          <w:color w:val="auto"/>
          <w:sz w:val="30"/>
          <w:szCs w:val="30"/>
          <w:highlight w:val="none"/>
        </w:rPr>
      </w:pPr>
      <w:r>
        <w:rPr>
          <w:rFonts w:ascii="宋体" w:hAnsi="宋体" w:eastAsia="宋体"/>
          <w:b/>
          <w:bCs/>
          <w:color w:val="auto"/>
          <w:sz w:val="30"/>
          <w:szCs w:val="30"/>
          <w:highlight w:val="none"/>
        </w:rPr>
        <w:t>目录</w:t>
      </w:r>
    </w:p>
    <w:p w14:paraId="2A6BDCCE">
      <w:pPr>
        <w:pStyle w:val="7"/>
        <w:tabs>
          <w:tab w:val="right" w:leader="dot" w:pos="9768"/>
        </w:tabs>
        <w:rPr>
          <w:color w:val="auto"/>
          <w:highlight w:val="none"/>
        </w:rPr>
      </w:pPr>
      <w:r>
        <w:rPr>
          <w:rFonts w:hint="eastAsia" w:ascii="仿宋" w:hAnsi="仿宋" w:eastAsia="仿宋" w:cs="仿宋"/>
          <w:b/>
          <w:bCs w:val="0"/>
          <w:color w:val="auto"/>
          <w:sz w:val="24"/>
          <w:szCs w:val="24"/>
          <w:highlight w:val="none"/>
        </w:rPr>
        <w:fldChar w:fldCharType="begin"/>
      </w:r>
      <w:r>
        <w:rPr>
          <w:rFonts w:hint="eastAsia" w:ascii="仿宋" w:hAnsi="仿宋" w:eastAsia="仿宋" w:cs="仿宋"/>
          <w:b/>
          <w:bCs w:val="0"/>
          <w:color w:val="auto"/>
          <w:sz w:val="24"/>
          <w:szCs w:val="24"/>
          <w:highlight w:val="none"/>
        </w:rPr>
        <w:instrText xml:space="preserve">TOC \o "1-1" \h \u </w:instrText>
      </w:r>
      <w:r>
        <w:rPr>
          <w:rFonts w:hint="eastAsia" w:ascii="仿宋" w:hAnsi="仿宋" w:eastAsia="仿宋" w:cs="仿宋"/>
          <w:b/>
          <w:bCs w:val="0"/>
          <w:color w:val="auto"/>
          <w:sz w:val="24"/>
          <w:szCs w:val="24"/>
          <w:highlight w:val="none"/>
        </w:rPr>
        <w:fldChar w:fldCharType="separate"/>
      </w:r>
      <w:r>
        <w:rPr>
          <w:rFonts w:hint="eastAsia" w:ascii="仿宋" w:hAnsi="仿宋" w:eastAsia="仿宋" w:cs="仿宋"/>
          <w:bCs w:val="0"/>
          <w:color w:val="auto"/>
          <w:szCs w:val="24"/>
          <w:highlight w:val="none"/>
        </w:rPr>
        <w:fldChar w:fldCharType="begin"/>
      </w:r>
      <w:r>
        <w:rPr>
          <w:rFonts w:hint="eastAsia" w:ascii="仿宋" w:hAnsi="仿宋" w:eastAsia="仿宋" w:cs="仿宋"/>
          <w:bCs w:val="0"/>
          <w:color w:val="auto"/>
          <w:szCs w:val="24"/>
          <w:highlight w:val="none"/>
        </w:rPr>
        <w:instrText xml:space="preserve"> HYPERLINK \l _Toc15545 </w:instrText>
      </w:r>
      <w:r>
        <w:rPr>
          <w:rFonts w:hint="eastAsia" w:ascii="仿宋" w:hAnsi="仿宋" w:eastAsia="仿宋" w:cs="仿宋"/>
          <w:bCs w:val="0"/>
          <w:color w:val="auto"/>
          <w:szCs w:val="24"/>
          <w:highlight w:val="none"/>
        </w:rPr>
        <w:fldChar w:fldCharType="separate"/>
      </w:r>
      <w:r>
        <w:rPr>
          <w:rFonts w:hint="eastAsia" w:ascii="仿宋" w:hAnsi="仿宋" w:eastAsia="仿宋" w:cs="仿宋"/>
          <w:bCs/>
          <w:color w:val="auto"/>
          <w:kern w:val="2"/>
          <w:szCs w:val="28"/>
          <w:highlight w:val="none"/>
          <w:lang w:val="en-US" w:eastAsia="zh-CN" w:bidi="ar-SA"/>
        </w:rPr>
        <w:t>第一章、</w:t>
      </w:r>
      <w:r>
        <w:rPr>
          <w:rFonts w:hint="eastAsia" w:ascii="仿宋" w:hAnsi="仿宋" w:eastAsia="仿宋" w:cs="仿宋"/>
          <w:bCs/>
          <w:color w:val="auto"/>
          <w:szCs w:val="28"/>
          <w:highlight w:val="none"/>
        </w:rPr>
        <w:t>产品内容</w:t>
      </w:r>
      <w:r>
        <w:rPr>
          <w:rFonts w:hint="eastAsia" w:ascii="仿宋" w:hAnsi="仿宋" w:eastAsia="仿宋" w:cs="仿宋"/>
          <w:bCs/>
          <w:color w:val="auto"/>
          <w:szCs w:val="28"/>
          <w:highlight w:val="none"/>
          <w:lang w:val="en-US" w:eastAsia="zh-CN"/>
        </w:rPr>
        <w:t>及合同价款</w:t>
      </w:r>
      <w:r>
        <w:rPr>
          <w:color w:val="auto"/>
          <w:highlight w:val="none"/>
        </w:rPr>
        <w:tab/>
      </w:r>
      <w:r>
        <w:rPr>
          <w:color w:val="auto"/>
          <w:highlight w:val="none"/>
        </w:rPr>
        <w:fldChar w:fldCharType="begin"/>
      </w:r>
      <w:r>
        <w:rPr>
          <w:color w:val="auto"/>
          <w:highlight w:val="none"/>
        </w:rPr>
        <w:instrText xml:space="preserve"> PAGEREF _Toc15545 \h </w:instrText>
      </w:r>
      <w:r>
        <w:rPr>
          <w:color w:val="auto"/>
          <w:highlight w:val="none"/>
        </w:rPr>
        <w:fldChar w:fldCharType="separate"/>
      </w:r>
      <w:r>
        <w:rPr>
          <w:color w:val="auto"/>
          <w:highlight w:val="none"/>
        </w:rPr>
        <w:t>1</w:t>
      </w:r>
      <w:r>
        <w:rPr>
          <w:color w:val="auto"/>
          <w:highlight w:val="none"/>
        </w:rPr>
        <w:fldChar w:fldCharType="end"/>
      </w:r>
      <w:r>
        <w:rPr>
          <w:rFonts w:hint="eastAsia" w:ascii="仿宋" w:hAnsi="仿宋" w:eastAsia="仿宋" w:cs="仿宋"/>
          <w:bCs w:val="0"/>
          <w:color w:val="auto"/>
          <w:szCs w:val="24"/>
          <w:highlight w:val="none"/>
        </w:rPr>
        <w:fldChar w:fldCharType="end"/>
      </w:r>
    </w:p>
    <w:p w14:paraId="73647F67">
      <w:pPr>
        <w:pStyle w:val="7"/>
        <w:tabs>
          <w:tab w:val="right" w:leader="dot" w:pos="9768"/>
        </w:tabs>
        <w:rPr>
          <w:color w:val="auto"/>
          <w:highlight w:val="none"/>
        </w:rPr>
      </w:pPr>
      <w:r>
        <w:rPr>
          <w:rFonts w:hint="eastAsia" w:ascii="仿宋" w:hAnsi="仿宋" w:eastAsia="仿宋" w:cs="仿宋"/>
          <w:bCs w:val="0"/>
          <w:color w:val="auto"/>
          <w:szCs w:val="24"/>
          <w:highlight w:val="none"/>
        </w:rPr>
        <w:fldChar w:fldCharType="begin"/>
      </w:r>
      <w:r>
        <w:rPr>
          <w:rFonts w:hint="eastAsia" w:ascii="仿宋" w:hAnsi="仿宋" w:eastAsia="仿宋" w:cs="仿宋"/>
          <w:bCs w:val="0"/>
          <w:color w:val="auto"/>
          <w:szCs w:val="24"/>
          <w:highlight w:val="none"/>
        </w:rPr>
        <w:instrText xml:space="preserve"> HYPERLINK \l _Toc15972 </w:instrText>
      </w:r>
      <w:r>
        <w:rPr>
          <w:rFonts w:hint="eastAsia" w:ascii="仿宋" w:hAnsi="仿宋" w:eastAsia="仿宋" w:cs="仿宋"/>
          <w:bCs w:val="0"/>
          <w:color w:val="auto"/>
          <w:szCs w:val="24"/>
          <w:highlight w:val="none"/>
        </w:rPr>
        <w:fldChar w:fldCharType="separate"/>
      </w:r>
      <w:r>
        <w:rPr>
          <w:rFonts w:hint="eastAsia" w:ascii="仿宋" w:hAnsi="仿宋" w:eastAsia="仿宋" w:cs="仿宋"/>
          <w:bCs/>
          <w:color w:val="auto"/>
          <w:highlight w:val="none"/>
          <w:lang w:val="en-US" w:eastAsia="zh-CN"/>
        </w:rPr>
        <w:t>第二章、</w:t>
      </w:r>
      <w:r>
        <w:rPr>
          <w:rFonts w:hint="eastAsia" w:ascii="仿宋" w:hAnsi="仿宋" w:eastAsia="仿宋" w:cs="仿宋"/>
          <w:bCs/>
          <w:color w:val="auto"/>
          <w:highlight w:val="none"/>
        </w:rPr>
        <w:t>付款方式</w:t>
      </w:r>
      <w:r>
        <w:rPr>
          <w:color w:val="auto"/>
          <w:highlight w:val="none"/>
        </w:rPr>
        <w:tab/>
      </w:r>
      <w:r>
        <w:rPr>
          <w:color w:val="auto"/>
          <w:highlight w:val="none"/>
        </w:rPr>
        <w:fldChar w:fldCharType="begin"/>
      </w:r>
      <w:r>
        <w:rPr>
          <w:color w:val="auto"/>
          <w:highlight w:val="none"/>
        </w:rPr>
        <w:instrText xml:space="preserve"> PAGEREF _Toc15972 \h </w:instrText>
      </w:r>
      <w:r>
        <w:rPr>
          <w:color w:val="auto"/>
          <w:highlight w:val="none"/>
        </w:rPr>
        <w:fldChar w:fldCharType="separate"/>
      </w:r>
      <w:r>
        <w:rPr>
          <w:color w:val="auto"/>
          <w:highlight w:val="none"/>
        </w:rPr>
        <w:t>2</w:t>
      </w:r>
      <w:r>
        <w:rPr>
          <w:color w:val="auto"/>
          <w:highlight w:val="none"/>
        </w:rPr>
        <w:fldChar w:fldCharType="end"/>
      </w:r>
      <w:r>
        <w:rPr>
          <w:rFonts w:hint="eastAsia" w:ascii="仿宋" w:hAnsi="仿宋" w:eastAsia="仿宋" w:cs="仿宋"/>
          <w:bCs w:val="0"/>
          <w:color w:val="auto"/>
          <w:szCs w:val="24"/>
          <w:highlight w:val="none"/>
        </w:rPr>
        <w:fldChar w:fldCharType="end"/>
      </w:r>
    </w:p>
    <w:p w14:paraId="2A4F5018">
      <w:pPr>
        <w:pStyle w:val="7"/>
        <w:tabs>
          <w:tab w:val="right" w:leader="dot" w:pos="9768"/>
        </w:tabs>
        <w:rPr>
          <w:color w:val="auto"/>
          <w:highlight w:val="none"/>
        </w:rPr>
      </w:pPr>
      <w:r>
        <w:rPr>
          <w:rFonts w:hint="eastAsia" w:ascii="仿宋" w:hAnsi="仿宋" w:eastAsia="仿宋" w:cs="仿宋"/>
          <w:bCs w:val="0"/>
          <w:color w:val="auto"/>
          <w:szCs w:val="24"/>
          <w:highlight w:val="none"/>
        </w:rPr>
        <w:fldChar w:fldCharType="begin"/>
      </w:r>
      <w:r>
        <w:rPr>
          <w:rFonts w:hint="eastAsia" w:ascii="仿宋" w:hAnsi="仿宋" w:eastAsia="仿宋" w:cs="仿宋"/>
          <w:bCs w:val="0"/>
          <w:color w:val="auto"/>
          <w:szCs w:val="24"/>
          <w:highlight w:val="none"/>
        </w:rPr>
        <w:instrText xml:space="preserve"> HYPERLINK \l _Toc30544 </w:instrText>
      </w:r>
      <w:r>
        <w:rPr>
          <w:rFonts w:hint="eastAsia" w:ascii="仿宋" w:hAnsi="仿宋" w:eastAsia="仿宋" w:cs="仿宋"/>
          <w:bCs w:val="0"/>
          <w:color w:val="auto"/>
          <w:szCs w:val="24"/>
          <w:highlight w:val="none"/>
        </w:rPr>
        <w:fldChar w:fldCharType="separate"/>
      </w:r>
      <w:r>
        <w:rPr>
          <w:rFonts w:hint="eastAsia" w:ascii="仿宋" w:hAnsi="仿宋" w:eastAsia="仿宋" w:cs="仿宋"/>
          <w:bCs/>
          <w:color w:val="auto"/>
          <w:highlight w:val="none"/>
          <w:lang w:val="en-US" w:eastAsia="zh-CN"/>
        </w:rPr>
        <w:t>第三章、产品</w:t>
      </w:r>
      <w:r>
        <w:rPr>
          <w:rFonts w:hint="eastAsia" w:ascii="仿宋" w:hAnsi="仿宋" w:eastAsia="仿宋" w:cs="仿宋"/>
          <w:bCs/>
          <w:color w:val="auto"/>
          <w:highlight w:val="none"/>
        </w:rPr>
        <w:t>质量</w:t>
      </w:r>
      <w:r>
        <w:rPr>
          <w:rFonts w:hint="eastAsia" w:ascii="仿宋" w:hAnsi="仿宋" w:eastAsia="仿宋" w:cs="仿宋"/>
          <w:bCs/>
          <w:color w:val="auto"/>
          <w:highlight w:val="none"/>
          <w:lang w:val="en-US" w:eastAsia="zh-CN"/>
        </w:rPr>
        <w:t>及包装要求</w:t>
      </w:r>
      <w:r>
        <w:rPr>
          <w:color w:val="auto"/>
          <w:highlight w:val="none"/>
        </w:rPr>
        <w:tab/>
      </w:r>
      <w:r>
        <w:rPr>
          <w:color w:val="auto"/>
          <w:highlight w:val="none"/>
        </w:rPr>
        <w:fldChar w:fldCharType="begin"/>
      </w:r>
      <w:r>
        <w:rPr>
          <w:color w:val="auto"/>
          <w:highlight w:val="none"/>
        </w:rPr>
        <w:instrText xml:space="preserve"> PAGEREF _Toc30544 \h </w:instrText>
      </w:r>
      <w:r>
        <w:rPr>
          <w:color w:val="auto"/>
          <w:highlight w:val="none"/>
        </w:rPr>
        <w:fldChar w:fldCharType="separate"/>
      </w:r>
      <w:r>
        <w:rPr>
          <w:color w:val="auto"/>
          <w:highlight w:val="none"/>
        </w:rPr>
        <w:t>6</w:t>
      </w:r>
      <w:r>
        <w:rPr>
          <w:color w:val="auto"/>
          <w:highlight w:val="none"/>
        </w:rPr>
        <w:fldChar w:fldCharType="end"/>
      </w:r>
      <w:r>
        <w:rPr>
          <w:rFonts w:hint="eastAsia" w:ascii="仿宋" w:hAnsi="仿宋" w:eastAsia="仿宋" w:cs="仿宋"/>
          <w:bCs w:val="0"/>
          <w:color w:val="auto"/>
          <w:szCs w:val="24"/>
          <w:highlight w:val="none"/>
        </w:rPr>
        <w:fldChar w:fldCharType="end"/>
      </w:r>
    </w:p>
    <w:p w14:paraId="6518EA88">
      <w:pPr>
        <w:pStyle w:val="7"/>
        <w:tabs>
          <w:tab w:val="right" w:leader="dot" w:pos="9768"/>
        </w:tabs>
        <w:rPr>
          <w:color w:val="auto"/>
          <w:highlight w:val="none"/>
        </w:rPr>
      </w:pPr>
      <w:r>
        <w:rPr>
          <w:rFonts w:hint="eastAsia" w:ascii="仿宋" w:hAnsi="仿宋" w:eastAsia="仿宋" w:cs="仿宋"/>
          <w:bCs w:val="0"/>
          <w:color w:val="auto"/>
          <w:szCs w:val="24"/>
          <w:highlight w:val="none"/>
        </w:rPr>
        <w:fldChar w:fldCharType="begin"/>
      </w:r>
      <w:r>
        <w:rPr>
          <w:rFonts w:hint="eastAsia" w:ascii="仿宋" w:hAnsi="仿宋" w:eastAsia="仿宋" w:cs="仿宋"/>
          <w:bCs w:val="0"/>
          <w:color w:val="auto"/>
          <w:szCs w:val="24"/>
          <w:highlight w:val="none"/>
        </w:rPr>
        <w:instrText xml:space="preserve"> HYPERLINK \l _Toc14452 </w:instrText>
      </w:r>
      <w:r>
        <w:rPr>
          <w:rFonts w:hint="eastAsia" w:ascii="仿宋" w:hAnsi="仿宋" w:eastAsia="仿宋" w:cs="仿宋"/>
          <w:bCs w:val="0"/>
          <w:color w:val="auto"/>
          <w:szCs w:val="24"/>
          <w:highlight w:val="none"/>
        </w:rPr>
        <w:fldChar w:fldCharType="separate"/>
      </w:r>
      <w:r>
        <w:rPr>
          <w:rFonts w:hint="eastAsia" w:ascii="仿宋" w:hAnsi="仿宋" w:eastAsia="仿宋" w:cs="仿宋"/>
          <w:bCs/>
          <w:color w:val="auto"/>
          <w:highlight w:val="none"/>
          <w:lang w:val="en-US" w:eastAsia="zh-CN"/>
        </w:rPr>
        <w:t>第四章、</w:t>
      </w:r>
      <w:r>
        <w:rPr>
          <w:rFonts w:hint="eastAsia" w:ascii="仿宋" w:hAnsi="仿宋" w:eastAsia="仿宋" w:cs="仿宋"/>
          <w:bCs/>
          <w:color w:val="auto"/>
          <w:highlight w:val="none"/>
          <w:lang w:eastAsia="zh-CN"/>
        </w:rPr>
        <w:t>订货、</w:t>
      </w:r>
      <w:r>
        <w:rPr>
          <w:rFonts w:hint="eastAsia" w:ascii="仿宋" w:hAnsi="仿宋" w:eastAsia="仿宋" w:cs="仿宋"/>
          <w:bCs/>
          <w:color w:val="auto"/>
          <w:highlight w:val="none"/>
        </w:rPr>
        <w:t>交货</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验收</w:t>
      </w:r>
      <w:r>
        <w:rPr>
          <w:color w:val="auto"/>
          <w:highlight w:val="none"/>
        </w:rPr>
        <w:tab/>
      </w:r>
      <w:r>
        <w:rPr>
          <w:color w:val="auto"/>
          <w:highlight w:val="none"/>
        </w:rPr>
        <w:fldChar w:fldCharType="begin"/>
      </w:r>
      <w:r>
        <w:rPr>
          <w:color w:val="auto"/>
          <w:highlight w:val="none"/>
        </w:rPr>
        <w:instrText xml:space="preserve"> PAGEREF _Toc14452 \h </w:instrText>
      </w:r>
      <w:r>
        <w:rPr>
          <w:color w:val="auto"/>
          <w:highlight w:val="none"/>
        </w:rPr>
        <w:fldChar w:fldCharType="separate"/>
      </w:r>
      <w:r>
        <w:rPr>
          <w:color w:val="auto"/>
          <w:highlight w:val="none"/>
        </w:rPr>
        <w:t>7</w:t>
      </w:r>
      <w:r>
        <w:rPr>
          <w:color w:val="auto"/>
          <w:highlight w:val="none"/>
        </w:rPr>
        <w:fldChar w:fldCharType="end"/>
      </w:r>
      <w:r>
        <w:rPr>
          <w:rFonts w:hint="eastAsia" w:ascii="仿宋" w:hAnsi="仿宋" w:eastAsia="仿宋" w:cs="仿宋"/>
          <w:bCs w:val="0"/>
          <w:color w:val="auto"/>
          <w:szCs w:val="24"/>
          <w:highlight w:val="none"/>
        </w:rPr>
        <w:fldChar w:fldCharType="end"/>
      </w:r>
    </w:p>
    <w:p w14:paraId="55B24F3B">
      <w:pPr>
        <w:pStyle w:val="7"/>
        <w:tabs>
          <w:tab w:val="right" w:leader="dot" w:pos="9768"/>
        </w:tabs>
        <w:rPr>
          <w:rFonts w:hint="eastAsia" w:ascii="仿宋" w:hAnsi="仿宋" w:eastAsia="仿宋" w:cs="仿宋"/>
          <w:bCs w:val="0"/>
          <w:color w:val="auto"/>
          <w:szCs w:val="24"/>
          <w:highlight w:val="none"/>
        </w:rPr>
      </w:pPr>
      <w:r>
        <w:rPr>
          <w:rFonts w:hint="eastAsia" w:ascii="仿宋" w:hAnsi="仿宋" w:eastAsia="仿宋" w:cs="仿宋"/>
          <w:bCs w:val="0"/>
          <w:color w:val="auto"/>
          <w:szCs w:val="24"/>
          <w:highlight w:val="none"/>
        </w:rPr>
        <w:fldChar w:fldCharType="begin"/>
      </w:r>
      <w:r>
        <w:rPr>
          <w:rFonts w:hint="eastAsia" w:ascii="仿宋" w:hAnsi="仿宋" w:eastAsia="仿宋" w:cs="仿宋"/>
          <w:bCs w:val="0"/>
          <w:color w:val="auto"/>
          <w:szCs w:val="24"/>
          <w:highlight w:val="none"/>
        </w:rPr>
        <w:instrText xml:space="preserve"> HYPERLINK \l _Toc65 </w:instrText>
      </w:r>
      <w:r>
        <w:rPr>
          <w:rFonts w:hint="eastAsia" w:ascii="仿宋" w:hAnsi="仿宋" w:eastAsia="仿宋" w:cs="仿宋"/>
          <w:bCs w:val="0"/>
          <w:color w:val="auto"/>
          <w:szCs w:val="24"/>
          <w:highlight w:val="none"/>
        </w:rPr>
        <w:fldChar w:fldCharType="separate"/>
      </w:r>
      <w:r>
        <w:rPr>
          <w:rFonts w:hint="eastAsia" w:ascii="仿宋" w:hAnsi="仿宋" w:eastAsia="仿宋" w:cs="仿宋"/>
          <w:bCs/>
          <w:color w:val="auto"/>
          <w:highlight w:val="none"/>
          <w:lang w:val="en-US" w:eastAsia="zh-CN"/>
        </w:rPr>
        <w:t>第五章、保</w:t>
      </w:r>
      <w:r>
        <w:rPr>
          <w:rFonts w:hint="eastAsia" w:ascii="仿宋" w:hAnsi="仿宋" w:eastAsia="仿宋" w:cs="仿宋"/>
          <w:bCs w:val="0"/>
          <w:color w:val="auto"/>
          <w:szCs w:val="28"/>
          <w:highlight w:val="none"/>
          <w:lang w:val="en-US" w:eastAsia="zh-CN"/>
        </w:rPr>
        <w:t>修</w:t>
      </w:r>
      <w:r>
        <w:rPr>
          <w:color w:val="auto"/>
          <w:highlight w:val="none"/>
        </w:rPr>
        <w:tab/>
      </w:r>
      <w:r>
        <w:rPr>
          <w:color w:val="auto"/>
          <w:highlight w:val="none"/>
        </w:rPr>
        <w:fldChar w:fldCharType="begin"/>
      </w:r>
      <w:r>
        <w:rPr>
          <w:color w:val="auto"/>
          <w:highlight w:val="none"/>
        </w:rPr>
        <w:instrText xml:space="preserve"> PAGEREF _Toc65 \h </w:instrText>
      </w:r>
      <w:r>
        <w:rPr>
          <w:color w:val="auto"/>
          <w:highlight w:val="none"/>
        </w:rPr>
        <w:fldChar w:fldCharType="separate"/>
      </w:r>
      <w:r>
        <w:rPr>
          <w:color w:val="auto"/>
          <w:highlight w:val="none"/>
        </w:rPr>
        <w:t>10</w:t>
      </w:r>
      <w:r>
        <w:rPr>
          <w:color w:val="auto"/>
          <w:highlight w:val="none"/>
        </w:rPr>
        <w:fldChar w:fldCharType="end"/>
      </w:r>
      <w:r>
        <w:rPr>
          <w:rFonts w:hint="eastAsia" w:ascii="仿宋" w:hAnsi="仿宋" w:eastAsia="仿宋" w:cs="仿宋"/>
          <w:bCs w:val="0"/>
          <w:color w:val="auto"/>
          <w:szCs w:val="24"/>
          <w:highlight w:val="none"/>
        </w:rPr>
        <w:fldChar w:fldCharType="end"/>
      </w:r>
    </w:p>
    <w:p w14:paraId="1DE2A732">
      <w:pPr>
        <w:pStyle w:val="7"/>
        <w:tabs>
          <w:tab w:val="right" w:leader="dot" w:pos="9768"/>
        </w:tabs>
        <w:rPr>
          <w:rFonts w:hint="eastAsia" w:eastAsia="仿宋"/>
          <w:highlight w:val="none"/>
          <w:lang w:val="en-US" w:eastAsia="zh-CN"/>
        </w:rPr>
      </w:pPr>
      <w:r>
        <w:rPr>
          <w:rFonts w:hint="eastAsia" w:ascii="仿宋" w:hAnsi="仿宋" w:eastAsia="仿宋" w:cs="仿宋"/>
          <w:bCs w:val="0"/>
          <w:color w:val="auto"/>
          <w:szCs w:val="24"/>
          <w:highlight w:val="none"/>
        </w:rPr>
        <w:fldChar w:fldCharType="begin"/>
      </w:r>
      <w:r>
        <w:rPr>
          <w:rFonts w:hint="eastAsia" w:ascii="仿宋" w:hAnsi="仿宋" w:eastAsia="仿宋" w:cs="仿宋"/>
          <w:bCs w:val="0"/>
          <w:color w:val="auto"/>
          <w:szCs w:val="24"/>
          <w:highlight w:val="none"/>
        </w:rPr>
        <w:instrText xml:space="preserve"> HYPERLINK \l _Toc23129 </w:instrText>
      </w:r>
      <w:r>
        <w:rPr>
          <w:rFonts w:hint="eastAsia" w:ascii="仿宋" w:hAnsi="仿宋" w:eastAsia="仿宋" w:cs="仿宋"/>
          <w:bCs w:val="0"/>
          <w:color w:val="auto"/>
          <w:szCs w:val="24"/>
          <w:highlight w:val="none"/>
        </w:rPr>
        <w:fldChar w:fldCharType="separate"/>
      </w:r>
      <w:r>
        <w:rPr>
          <w:rFonts w:hint="eastAsia" w:ascii="仿宋" w:hAnsi="仿宋" w:eastAsia="仿宋" w:cs="仿宋"/>
          <w:bCs/>
          <w:color w:val="auto"/>
          <w:highlight w:val="none"/>
          <w:lang w:val="en-US" w:eastAsia="zh-CN"/>
        </w:rPr>
        <w:t>第</w:t>
      </w:r>
      <w:r>
        <w:rPr>
          <w:rFonts w:hint="eastAsia" w:cs="仿宋"/>
          <w:bCs/>
          <w:color w:val="auto"/>
          <w:highlight w:val="none"/>
          <w:lang w:val="en-US" w:eastAsia="zh-CN"/>
        </w:rPr>
        <w:t>六</w:t>
      </w:r>
      <w:r>
        <w:rPr>
          <w:rFonts w:hint="eastAsia" w:ascii="仿宋" w:hAnsi="仿宋" w:eastAsia="仿宋" w:cs="仿宋"/>
          <w:bCs/>
          <w:color w:val="auto"/>
          <w:highlight w:val="none"/>
          <w:lang w:val="en-US" w:eastAsia="zh-CN"/>
        </w:rPr>
        <w:t>章、</w:t>
      </w:r>
      <w:r>
        <w:rPr>
          <w:rFonts w:hint="eastAsia" w:ascii="仿宋" w:hAnsi="仿宋" w:eastAsia="仿宋" w:cs="仿宋"/>
          <w:bCs/>
          <w:color w:val="auto"/>
          <w:highlight w:val="none"/>
          <w:lang w:eastAsia="zh-CN"/>
        </w:rPr>
        <w:t>违约责任</w:t>
      </w:r>
      <w:r>
        <w:rPr>
          <w:color w:val="auto"/>
          <w:highlight w:val="none"/>
        </w:rPr>
        <w:tab/>
      </w:r>
      <w:r>
        <w:rPr>
          <w:rFonts w:hint="eastAsia"/>
          <w:color w:val="auto"/>
          <w:highlight w:val="none"/>
          <w:lang w:val="en-US" w:eastAsia="zh-CN"/>
        </w:rPr>
        <w:t>1</w:t>
      </w:r>
      <w:r>
        <w:rPr>
          <w:rFonts w:hint="eastAsia" w:ascii="仿宋" w:hAnsi="仿宋" w:eastAsia="仿宋" w:cs="仿宋"/>
          <w:bCs w:val="0"/>
          <w:color w:val="auto"/>
          <w:szCs w:val="24"/>
          <w:highlight w:val="none"/>
        </w:rPr>
        <w:fldChar w:fldCharType="end"/>
      </w:r>
      <w:r>
        <w:rPr>
          <w:rFonts w:hint="eastAsia" w:cs="仿宋"/>
          <w:bCs w:val="0"/>
          <w:color w:val="auto"/>
          <w:szCs w:val="24"/>
          <w:highlight w:val="none"/>
          <w:lang w:val="en-US" w:eastAsia="zh-CN"/>
        </w:rPr>
        <w:t>1</w:t>
      </w:r>
    </w:p>
    <w:p w14:paraId="090A9DB6">
      <w:pPr>
        <w:pStyle w:val="7"/>
        <w:tabs>
          <w:tab w:val="right" w:leader="dot" w:pos="9768"/>
        </w:tabs>
        <w:rPr>
          <w:color w:val="auto"/>
          <w:highlight w:val="none"/>
        </w:rPr>
      </w:pPr>
      <w:r>
        <w:rPr>
          <w:rFonts w:hint="eastAsia" w:ascii="仿宋" w:hAnsi="仿宋" w:eastAsia="仿宋" w:cs="仿宋"/>
          <w:bCs w:val="0"/>
          <w:color w:val="auto"/>
          <w:szCs w:val="24"/>
          <w:highlight w:val="none"/>
        </w:rPr>
        <w:fldChar w:fldCharType="begin"/>
      </w:r>
      <w:r>
        <w:rPr>
          <w:rFonts w:hint="eastAsia" w:ascii="仿宋" w:hAnsi="仿宋" w:eastAsia="仿宋" w:cs="仿宋"/>
          <w:bCs w:val="0"/>
          <w:color w:val="auto"/>
          <w:szCs w:val="24"/>
          <w:highlight w:val="none"/>
        </w:rPr>
        <w:instrText xml:space="preserve"> HYPERLINK \l _Toc23129 </w:instrText>
      </w:r>
      <w:r>
        <w:rPr>
          <w:rFonts w:hint="eastAsia" w:ascii="仿宋" w:hAnsi="仿宋" w:eastAsia="仿宋" w:cs="仿宋"/>
          <w:bCs w:val="0"/>
          <w:color w:val="auto"/>
          <w:szCs w:val="24"/>
          <w:highlight w:val="none"/>
        </w:rPr>
        <w:fldChar w:fldCharType="separate"/>
      </w:r>
      <w:r>
        <w:rPr>
          <w:rFonts w:hint="eastAsia" w:ascii="仿宋" w:hAnsi="仿宋" w:eastAsia="仿宋" w:cs="仿宋"/>
          <w:bCs/>
          <w:color w:val="auto"/>
          <w:highlight w:val="none"/>
          <w:lang w:val="en-US" w:eastAsia="zh-CN"/>
        </w:rPr>
        <w:t>第七章、</w:t>
      </w:r>
      <w:r>
        <w:rPr>
          <w:rFonts w:hint="eastAsia" w:ascii="仿宋" w:hAnsi="仿宋" w:eastAsia="仿宋" w:cs="仿宋"/>
          <w:bCs/>
          <w:color w:val="auto"/>
          <w:highlight w:val="none"/>
        </w:rPr>
        <w:t>廉洁条款</w:t>
      </w:r>
      <w:r>
        <w:rPr>
          <w:color w:val="auto"/>
          <w:highlight w:val="none"/>
        </w:rPr>
        <w:tab/>
      </w:r>
      <w:r>
        <w:rPr>
          <w:color w:val="auto"/>
          <w:highlight w:val="none"/>
        </w:rPr>
        <w:fldChar w:fldCharType="begin"/>
      </w:r>
      <w:r>
        <w:rPr>
          <w:color w:val="auto"/>
          <w:highlight w:val="none"/>
        </w:rPr>
        <w:instrText xml:space="preserve"> PAGEREF _Toc23129 \h </w:instrText>
      </w:r>
      <w:r>
        <w:rPr>
          <w:color w:val="auto"/>
          <w:highlight w:val="none"/>
        </w:rPr>
        <w:fldChar w:fldCharType="separate"/>
      </w:r>
      <w:r>
        <w:rPr>
          <w:color w:val="auto"/>
          <w:highlight w:val="none"/>
        </w:rPr>
        <w:t>13</w:t>
      </w:r>
      <w:r>
        <w:rPr>
          <w:color w:val="auto"/>
          <w:highlight w:val="none"/>
        </w:rPr>
        <w:fldChar w:fldCharType="end"/>
      </w:r>
      <w:r>
        <w:rPr>
          <w:rFonts w:hint="eastAsia" w:ascii="仿宋" w:hAnsi="仿宋" w:eastAsia="仿宋" w:cs="仿宋"/>
          <w:bCs w:val="0"/>
          <w:color w:val="auto"/>
          <w:szCs w:val="24"/>
          <w:highlight w:val="none"/>
        </w:rPr>
        <w:fldChar w:fldCharType="end"/>
      </w:r>
    </w:p>
    <w:p w14:paraId="10B120EE">
      <w:pPr>
        <w:pStyle w:val="7"/>
        <w:tabs>
          <w:tab w:val="right" w:leader="dot" w:pos="9768"/>
        </w:tabs>
        <w:rPr>
          <w:color w:val="auto"/>
          <w:highlight w:val="none"/>
        </w:rPr>
      </w:pPr>
      <w:r>
        <w:rPr>
          <w:rFonts w:hint="eastAsia" w:ascii="仿宋" w:hAnsi="仿宋" w:eastAsia="仿宋" w:cs="仿宋"/>
          <w:bCs w:val="0"/>
          <w:color w:val="auto"/>
          <w:szCs w:val="24"/>
          <w:highlight w:val="none"/>
        </w:rPr>
        <w:fldChar w:fldCharType="begin"/>
      </w:r>
      <w:r>
        <w:rPr>
          <w:rFonts w:hint="eastAsia" w:ascii="仿宋" w:hAnsi="仿宋" w:eastAsia="仿宋" w:cs="仿宋"/>
          <w:bCs w:val="0"/>
          <w:color w:val="auto"/>
          <w:szCs w:val="24"/>
          <w:highlight w:val="none"/>
        </w:rPr>
        <w:instrText xml:space="preserve"> HYPERLINK \l _Toc32263 </w:instrText>
      </w:r>
      <w:r>
        <w:rPr>
          <w:rFonts w:hint="eastAsia" w:ascii="仿宋" w:hAnsi="仿宋" w:eastAsia="仿宋" w:cs="仿宋"/>
          <w:bCs w:val="0"/>
          <w:color w:val="auto"/>
          <w:szCs w:val="24"/>
          <w:highlight w:val="none"/>
        </w:rPr>
        <w:fldChar w:fldCharType="separate"/>
      </w:r>
      <w:r>
        <w:rPr>
          <w:rFonts w:hint="eastAsia" w:ascii="仿宋" w:hAnsi="仿宋" w:eastAsia="仿宋" w:cs="仿宋"/>
          <w:bCs/>
          <w:color w:val="auto"/>
          <w:highlight w:val="none"/>
          <w:lang w:val="en-US" w:eastAsia="zh-CN"/>
        </w:rPr>
        <w:t>第八章</w:t>
      </w:r>
      <w:r>
        <w:rPr>
          <w:rFonts w:hint="eastAsia" w:ascii="仿宋" w:hAnsi="仿宋" w:eastAsia="仿宋" w:cs="仿宋"/>
          <w:bCs/>
          <w:color w:val="auto"/>
          <w:highlight w:val="none"/>
          <w:lang w:eastAsia="zh-CN"/>
        </w:rPr>
        <w:t>、其他</w:t>
      </w:r>
      <w:r>
        <w:rPr>
          <w:color w:val="auto"/>
          <w:highlight w:val="none"/>
        </w:rPr>
        <w:tab/>
      </w:r>
      <w:r>
        <w:rPr>
          <w:color w:val="auto"/>
          <w:highlight w:val="none"/>
        </w:rPr>
        <w:fldChar w:fldCharType="begin"/>
      </w:r>
      <w:r>
        <w:rPr>
          <w:color w:val="auto"/>
          <w:highlight w:val="none"/>
        </w:rPr>
        <w:instrText xml:space="preserve"> PAGEREF _Toc32263 \h </w:instrText>
      </w:r>
      <w:r>
        <w:rPr>
          <w:color w:val="auto"/>
          <w:highlight w:val="none"/>
        </w:rPr>
        <w:fldChar w:fldCharType="separate"/>
      </w:r>
      <w:r>
        <w:rPr>
          <w:color w:val="auto"/>
          <w:highlight w:val="none"/>
        </w:rPr>
        <w:t>13</w:t>
      </w:r>
      <w:r>
        <w:rPr>
          <w:color w:val="auto"/>
          <w:highlight w:val="none"/>
        </w:rPr>
        <w:fldChar w:fldCharType="end"/>
      </w:r>
      <w:r>
        <w:rPr>
          <w:rFonts w:hint="eastAsia" w:ascii="仿宋" w:hAnsi="仿宋" w:eastAsia="仿宋" w:cs="仿宋"/>
          <w:bCs w:val="0"/>
          <w:color w:val="auto"/>
          <w:szCs w:val="24"/>
          <w:highlight w:val="none"/>
        </w:rPr>
        <w:fldChar w:fldCharType="end"/>
      </w:r>
    </w:p>
    <w:p w14:paraId="05E501E8">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宋体" w:hAnsi="宋体" w:eastAsia="宋体" w:cs="宋体"/>
          <w:b/>
          <w:bCs/>
          <w:color w:val="auto"/>
          <w:sz w:val="28"/>
          <w:szCs w:val="28"/>
          <w:highlight w:val="none"/>
        </w:rPr>
      </w:pPr>
      <w:r>
        <w:rPr>
          <w:rFonts w:hint="eastAsia" w:ascii="仿宋" w:hAnsi="仿宋" w:eastAsia="仿宋" w:cs="仿宋"/>
          <w:bCs w:val="0"/>
          <w:color w:val="auto"/>
          <w:szCs w:val="24"/>
          <w:highlight w:val="none"/>
        </w:rPr>
        <w:fldChar w:fldCharType="end"/>
      </w:r>
    </w:p>
    <w:p w14:paraId="68068A4B">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28"/>
          <w:szCs w:val="28"/>
          <w:highlight w:val="none"/>
        </w:rPr>
      </w:pPr>
    </w:p>
    <w:p w14:paraId="30CC3DDB">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p w14:paraId="53DFE41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8"/>
          <w:szCs w:val="28"/>
          <w:highlight w:val="none"/>
          <w:u w:val="none"/>
          <w:lang w:val="en-US" w:eastAsia="zh-CN" w:bidi="ar-SA"/>
        </w:rPr>
      </w:pPr>
    </w:p>
    <w:p w14:paraId="4AD7FAF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374CAD6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0FFCFB6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12A9C92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61773F9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7AA2999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5691D08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66A18EA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sectPr>
          <w:footerReference r:id="rId5" w:type="default"/>
          <w:pgSz w:w="11906" w:h="16838"/>
          <w:pgMar w:top="1440" w:right="958" w:bottom="952" w:left="1180"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78E629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甲、乙双方在平等、自愿、公平和诚实守信的原则上，依据《中华人民共和国民法典》《中华人民共和国产品质量法》及其他有关法律法规，就拟用于“</w:t>
      </w:r>
      <w:r>
        <w:rPr>
          <w:rFonts w:hint="eastAsia" w:ascii="仿宋" w:hAnsi="仿宋" w:eastAsia="仿宋" w:cs="仿宋"/>
          <w:b w:val="0"/>
          <w:bCs w:val="0"/>
          <w:color w:val="auto"/>
          <w:kern w:val="2"/>
          <w:sz w:val="28"/>
          <w:szCs w:val="28"/>
          <w:highlight w:val="none"/>
          <w:u w:val="single"/>
          <w:lang w:val="en-US" w:eastAsia="zh-CN" w:bidi="ar-SA"/>
        </w:rPr>
        <w:t>南京现代表面处理科技产业中心项目一期A地块建设项目</w:t>
      </w:r>
      <w:r>
        <w:rPr>
          <w:rFonts w:hint="eastAsia" w:ascii="仿宋" w:hAnsi="仿宋" w:eastAsia="仿宋" w:cs="仿宋"/>
          <w:b w:val="0"/>
          <w:bCs w:val="0"/>
          <w:color w:val="auto"/>
          <w:kern w:val="2"/>
          <w:sz w:val="28"/>
          <w:szCs w:val="28"/>
          <w:highlight w:val="none"/>
          <w:u w:val="none"/>
          <w:lang w:val="en-US" w:eastAsia="zh-CN" w:bidi="ar-SA"/>
        </w:rPr>
        <w:t>”（以下简称“本项目”）的</w:t>
      </w:r>
      <w:r>
        <w:rPr>
          <w:rFonts w:hint="eastAsia" w:ascii="仿宋" w:hAnsi="仿宋" w:eastAsia="仿宋" w:cs="仿宋"/>
          <w:b w:val="0"/>
          <w:bCs w:val="0"/>
          <w:color w:val="auto"/>
          <w:kern w:val="2"/>
          <w:sz w:val="28"/>
          <w:szCs w:val="28"/>
          <w:highlight w:val="none"/>
          <w:u w:val="single"/>
          <w:lang w:val="en-US" w:eastAsia="zh-CN" w:bidi="ar-SA"/>
        </w:rPr>
        <w:t>管桩</w:t>
      </w:r>
      <w:r>
        <w:rPr>
          <w:rFonts w:hint="eastAsia" w:ascii="仿宋" w:hAnsi="仿宋" w:eastAsia="仿宋" w:cs="仿宋"/>
          <w:b w:val="0"/>
          <w:bCs w:val="0"/>
          <w:color w:val="auto"/>
          <w:kern w:val="2"/>
          <w:sz w:val="28"/>
          <w:szCs w:val="28"/>
          <w:highlight w:val="none"/>
          <w:u w:val="none"/>
          <w:lang w:val="en-US" w:eastAsia="zh-CN" w:bidi="ar-SA"/>
        </w:rPr>
        <w:t>（以下简称“产品”） 购销事宜协商一致，特签订本合同。（本合同范围内，对以</w:t>
      </w:r>
      <w:r>
        <w:rPr>
          <w:rFonts w:hint="eastAsia" w:ascii="仿宋" w:hAnsi="仿宋" w:eastAsia="仿宋" w:cs="仿宋"/>
          <w:b w:val="0"/>
          <w:bCs w:val="0"/>
          <w:color w:val="auto"/>
          <w:kern w:val="2"/>
          <w:sz w:val="28"/>
          <w:szCs w:val="28"/>
          <w:highlight w:val="none"/>
          <w:u w:val="none"/>
          <w:lang w:val="en-US" w:eastAsia="zh-CN" w:bidi="ar-SA"/>
        </w:rPr>
        <w:sym w:font="Wingdings" w:char="00A8"/>
      </w:r>
      <w:r>
        <w:rPr>
          <w:rFonts w:hint="eastAsia" w:ascii="仿宋" w:hAnsi="仿宋" w:eastAsia="仿宋" w:cs="仿宋"/>
          <w:b w:val="0"/>
          <w:bCs w:val="0"/>
          <w:color w:val="auto"/>
          <w:kern w:val="2"/>
          <w:sz w:val="28"/>
          <w:szCs w:val="28"/>
          <w:highlight w:val="none"/>
          <w:u w:val="none"/>
          <w:lang w:val="en-US" w:eastAsia="zh-CN" w:bidi="ar-SA"/>
        </w:rPr>
        <w:t>或</w:t>
      </w:r>
      <w:r>
        <w:rPr>
          <w:rFonts w:hint="eastAsia" w:ascii="仿宋" w:hAnsi="仿宋" w:eastAsia="仿宋" w:cs="仿宋"/>
          <w:b w:val="0"/>
          <w:bCs w:val="0"/>
          <w:color w:val="auto"/>
          <w:kern w:val="2"/>
          <w:sz w:val="28"/>
          <w:szCs w:val="28"/>
          <w:highlight w:val="none"/>
          <w:u w:val="none"/>
          <w:lang w:val="en-US" w:eastAsia="zh-CN" w:bidi="ar-SA"/>
        </w:rPr>
        <w:sym w:font="Wingdings" w:char="00FE"/>
      </w:r>
      <w:r>
        <w:rPr>
          <w:rFonts w:hint="eastAsia" w:ascii="仿宋" w:hAnsi="仿宋" w:eastAsia="仿宋" w:cs="仿宋"/>
          <w:b w:val="0"/>
          <w:bCs w:val="0"/>
          <w:color w:val="auto"/>
          <w:kern w:val="2"/>
          <w:sz w:val="28"/>
          <w:szCs w:val="28"/>
          <w:highlight w:val="none"/>
          <w:u w:val="none"/>
          <w:lang w:val="en-US" w:eastAsia="zh-CN" w:bidi="ar-SA"/>
        </w:rPr>
        <w:t>开头的内容，以</w:t>
      </w:r>
      <w:r>
        <w:rPr>
          <w:rFonts w:hint="eastAsia" w:ascii="仿宋" w:hAnsi="仿宋" w:eastAsia="仿宋" w:cs="仿宋"/>
          <w:b w:val="0"/>
          <w:bCs w:val="0"/>
          <w:color w:val="auto"/>
          <w:kern w:val="2"/>
          <w:sz w:val="28"/>
          <w:szCs w:val="28"/>
          <w:highlight w:val="none"/>
          <w:u w:val="none"/>
          <w:lang w:val="en-US" w:eastAsia="zh-CN" w:bidi="ar-SA"/>
        </w:rPr>
        <w:sym w:font="Wingdings" w:char="00FE"/>
      </w:r>
      <w:r>
        <w:rPr>
          <w:rFonts w:hint="eastAsia" w:ascii="仿宋" w:hAnsi="仿宋" w:eastAsia="仿宋" w:cs="仿宋"/>
          <w:b w:val="0"/>
          <w:bCs w:val="0"/>
          <w:color w:val="auto"/>
          <w:kern w:val="2"/>
          <w:sz w:val="28"/>
          <w:szCs w:val="28"/>
          <w:highlight w:val="none"/>
          <w:u w:val="none"/>
          <w:lang w:val="en-US" w:eastAsia="zh-CN" w:bidi="ar-SA"/>
        </w:rPr>
        <w:t>开头的内容为准。）</w:t>
      </w:r>
      <w:r>
        <w:rPr>
          <w:rFonts w:hint="eastAsia" w:ascii="仿宋" w:hAnsi="仿宋" w:eastAsia="仿宋" w:cs="仿宋"/>
          <w:b w:val="0"/>
          <w:bCs w:val="0"/>
          <w:color w:val="auto"/>
          <w:kern w:val="2"/>
          <w:sz w:val="28"/>
          <w:szCs w:val="28"/>
          <w:highlight w:val="none"/>
          <w:u w:val="none"/>
          <w:lang w:val="en-US" w:eastAsia="zh-CN" w:bidi="ar-SA"/>
        </w:rPr>
        <w:tab/>
      </w:r>
      <w:bookmarkStart w:id="0" w:name="_Toc26009"/>
      <w:bookmarkStart w:id="1" w:name="_Toc30517"/>
      <w:bookmarkStart w:id="2" w:name="_Toc15545"/>
    </w:p>
    <w:p w14:paraId="1B5A9C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kern w:val="2"/>
          <w:sz w:val="28"/>
          <w:szCs w:val="28"/>
          <w:highlight w:val="none"/>
          <w:u w:val="none"/>
          <w:lang w:val="en-US" w:eastAsia="zh-CN" w:bidi="ar-SA"/>
        </w:rPr>
        <w:t>第一章、</w:t>
      </w:r>
      <w:r>
        <w:rPr>
          <w:rFonts w:hint="eastAsia" w:ascii="仿宋" w:hAnsi="仿宋" w:eastAsia="仿宋" w:cs="仿宋"/>
          <w:b/>
          <w:bCs/>
          <w:color w:val="auto"/>
          <w:sz w:val="28"/>
          <w:szCs w:val="28"/>
          <w:highlight w:val="none"/>
        </w:rPr>
        <w:t>产品内容</w:t>
      </w:r>
      <w:bookmarkEnd w:id="0"/>
      <w:bookmarkEnd w:id="1"/>
      <w:r>
        <w:rPr>
          <w:rFonts w:hint="eastAsia" w:ascii="仿宋" w:hAnsi="仿宋" w:eastAsia="仿宋" w:cs="仿宋"/>
          <w:b/>
          <w:bCs/>
          <w:color w:val="auto"/>
          <w:sz w:val="28"/>
          <w:szCs w:val="28"/>
          <w:highlight w:val="none"/>
          <w:lang w:val="en-US" w:eastAsia="zh-CN"/>
        </w:rPr>
        <w:t>及合同价款</w:t>
      </w:r>
      <w:bookmarkEnd w:id="2"/>
    </w:p>
    <w:tbl>
      <w:tblPr>
        <w:tblStyle w:val="10"/>
        <w:tblW w:w="5072" w:type="pct"/>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044"/>
        <w:gridCol w:w="940"/>
        <w:gridCol w:w="3048"/>
        <w:gridCol w:w="581"/>
        <w:gridCol w:w="900"/>
        <w:gridCol w:w="1107"/>
        <w:gridCol w:w="1143"/>
        <w:gridCol w:w="575"/>
      </w:tblGrid>
      <w:tr w14:paraId="50EF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42" w:type="pct"/>
            <w:noWrap w:val="0"/>
            <w:vAlign w:val="center"/>
          </w:tcPr>
          <w:p w14:paraId="4B7A5C8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序号</w:t>
            </w:r>
          </w:p>
        </w:tc>
        <w:tc>
          <w:tcPr>
            <w:tcW w:w="531" w:type="pct"/>
            <w:noWrap w:val="0"/>
            <w:vAlign w:val="center"/>
          </w:tcPr>
          <w:p w14:paraId="41A995A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产品名称</w:t>
            </w:r>
          </w:p>
        </w:tc>
        <w:tc>
          <w:tcPr>
            <w:tcW w:w="478" w:type="pct"/>
            <w:noWrap w:val="0"/>
            <w:vAlign w:val="center"/>
          </w:tcPr>
          <w:p w14:paraId="5F5A9C1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eastAsia="zh-CN"/>
              </w:rPr>
              <w:t>品牌、</w:t>
            </w:r>
            <w:r>
              <w:rPr>
                <w:rFonts w:hint="eastAsia" w:ascii="仿宋" w:hAnsi="仿宋" w:eastAsia="仿宋" w:cs="仿宋"/>
                <w:color w:val="auto"/>
                <w:sz w:val="28"/>
                <w:szCs w:val="28"/>
                <w:highlight w:val="none"/>
                <w:vertAlign w:val="baseline"/>
                <w:lang w:val="en-US" w:eastAsia="zh-CN"/>
              </w:rPr>
              <w:t>制造商、产地</w:t>
            </w:r>
          </w:p>
        </w:tc>
        <w:tc>
          <w:tcPr>
            <w:tcW w:w="1553" w:type="pct"/>
            <w:noWrap w:val="0"/>
            <w:vAlign w:val="center"/>
          </w:tcPr>
          <w:p w14:paraId="686AB6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rPr>
            </w:pPr>
            <w:r>
              <w:rPr>
                <w:rFonts w:hint="eastAsia" w:ascii="仿宋" w:hAnsi="仿宋" w:eastAsia="仿宋" w:cs="仿宋"/>
                <w:color w:val="auto"/>
                <w:sz w:val="28"/>
                <w:szCs w:val="28"/>
                <w:highlight w:val="none"/>
                <w:vertAlign w:val="baseline"/>
                <w:lang w:eastAsia="zh-CN"/>
              </w:rPr>
              <w:t>型号、规格、</w:t>
            </w:r>
            <w:r>
              <w:rPr>
                <w:rFonts w:hint="eastAsia" w:ascii="仿宋" w:hAnsi="仿宋" w:eastAsia="仿宋" w:cs="仿宋"/>
                <w:color w:val="auto"/>
                <w:sz w:val="28"/>
                <w:szCs w:val="28"/>
                <w:highlight w:val="none"/>
                <w:vertAlign w:val="baseline"/>
                <w:lang w:val="en-US" w:eastAsia="zh-CN"/>
              </w:rPr>
              <w:t>尺寸、材质、颜色、质量等级等技术</w:t>
            </w:r>
            <w:r>
              <w:rPr>
                <w:rFonts w:hint="eastAsia" w:ascii="仿宋" w:hAnsi="仿宋" w:eastAsia="仿宋" w:cs="仿宋"/>
                <w:color w:val="auto"/>
                <w:sz w:val="28"/>
                <w:szCs w:val="28"/>
                <w:highlight w:val="none"/>
                <w:vertAlign w:val="baseline"/>
                <w:lang w:eastAsia="zh-CN"/>
              </w:rPr>
              <w:t>参数（</w:t>
            </w:r>
            <w:r>
              <w:rPr>
                <w:rFonts w:hint="eastAsia" w:ascii="仿宋" w:hAnsi="仿宋" w:eastAsia="仿宋" w:cs="仿宋"/>
                <w:color w:val="auto"/>
                <w:sz w:val="28"/>
                <w:szCs w:val="28"/>
                <w:highlight w:val="none"/>
                <w:vertAlign w:val="baseline"/>
                <w:lang w:val="en-US" w:eastAsia="zh-CN"/>
              </w:rPr>
              <w:t>如有图纸，详见附件</w:t>
            </w:r>
            <w:r>
              <w:rPr>
                <w:rFonts w:hint="eastAsia" w:ascii="仿宋" w:hAnsi="仿宋" w:eastAsia="仿宋" w:cs="仿宋"/>
                <w:color w:val="auto"/>
                <w:sz w:val="28"/>
                <w:szCs w:val="28"/>
                <w:highlight w:val="none"/>
                <w:vertAlign w:val="baseline"/>
                <w:lang w:eastAsia="zh-CN"/>
              </w:rPr>
              <w:t>）</w:t>
            </w:r>
          </w:p>
        </w:tc>
        <w:tc>
          <w:tcPr>
            <w:tcW w:w="295" w:type="pct"/>
            <w:noWrap w:val="0"/>
            <w:vAlign w:val="center"/>
          </w:tcPr>
          <w:p w14:paraId="3A7D94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单位</w:t>
            </w:r>
          </w:p>
        </w:tc>
        <w:tc>
          <w:tcPr>
            <w:tcW w:w="458" w:type="pct"/>
            <w:noWrap w:val="0"/>
            <w:vAlign w:val="center"/>
          </w:tcPr>
          <w:p w14:paraId="078EB4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暂定数量</w:t>
            </w:r>
          </w:p>
        </w:tc>
        <w:tc>
          <w:tcPr>
            <w:tcW w:w="563" w:type="pct"/>
            <w:noWrap w:val="0"/>
            <w:vAlign w:val="center"/>
          </w:tcPr>
          <w:p w14:paraId="2EA8AF4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eastAsia="zh-CN"/>
              </w:rPr>
              <w:t>合同单价（元</w:t>
            </w:r>
            <w:r>
              <w:rPr>
                <w:rFonts w:hint="eastAsia" w:ascii="仿宋" w:hAnsi="仿宋" w:eastAsia="仿宋" w:cs="仿宋"/>
                <w:color w:val="auto"/>
                <w:sz w:val="28"/>
                <w:szCs w:val="28"/>
                <w:highlight w:val="none"/>
                <w:vertAlign w:val="baseline"/>
                <w:lang w:val="en-US" w:eastAsia="zh-CN"/>
              </w:rPr>
              <w:t>）</w:t>
            </w:r>
          </w:p>
        </w:tc>
        <w:tc>
          <w:tcPr>
            <w:tcW w:w="582" w:type="pct"/>
            <w:noWrap w:val="0"/>
            <w:vAlign w:val="center"/>
          </w:tcPr>
          <w:p w14:paraId="05263D8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暂定</w:t>
            </w:r>
            <w:r>
              <w:rPr>
                <w:rFonts w:hint="eastAsia" w:ascii="仿宋" w:hAnsi="仿宋" w:eastAsia="仿宋" w:cs="仿宋"/>
                <w:color w:val="auto"/>
                <w:sz w:val="28"/>
                <w:szCs w:val="28"/>
                <w:highlight w:val="none"/>
                <w:vertAlign w:val="baseline"/>
                <w:lang w:val="en-US" w:eastAsia="zh-CN"/>
              </w:rPr>
              <w:t>合</w:t>
            </w:r>
            <w:r>
              <w:rPr>
                <w:rFonts w:hint="eastAsia" w:ascii="仿宋" w:hAnsi="仿宋" w:eastAsia="仿宋" w:cs="仿宋"/>
                <w:color w:val="auto"/>
                <w:sz w:val="28"/>
                <w:szCs w:val="28"/>
                <w:highlight w:val="none"/>
                <w:vertAlign w:val="baseline"/>
                <w:lang w:eastAsia="zh-CN"/>
              </w:rPr>
              <w:t>价（元）</w:t>
            </w:r>
          </w:p>
        </w:tc>
        <w:tc>
          <w:tcPr>
            <w:tcW w:w="292" w:type="pct"/>
            <w:noWrap w:val="0"/>
            <w:vAlign w:val="center"/>
          </w:tcPr>
          <w:p w14:paraId="436EB16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备注</w:t>
            </w:r>
          </w:p>
        </w:tc>
      </w:tr>
      <w:tr w14:paraId="12DD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2" w:type="pct"/>
            <w:noWrap w:val="0"/>
            <w:vAlign w:val="center"/>
          </w:tcPr>
          <w:p w14:paraId="2EBB39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w:t>
            </w:r>
          </w:p>
        </w:tc>
        <w:tc>
          <w:tcPr>
            <w:tcW w:w="531" w:type="pct"/>
            <w:noWrap w:val="0"/>
            <w:vAlign w:val="center"/>
          </w:tcPr>
          <w:p w14:paraId="6F042F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val="0"/>
                <w:color w:val="auto"/>
                <w:sz w:val="28"/>
                <w:szCs w:val="28"/>
                <w:highlight w:val="none"/>
                <w:u w:val="none"/>
                <w:vertAlign w:val="baseline"/>
                <w:lang w:val="en-US" w:eastAsia="zh-CN"/>
              </w:rPr>
            </w:pPr>
            <w:r>
              <w:rPr>
                <w:rFonts w:hint="default" w:ascii="仿宋" w:hAnsi="仿宋" w:eastAsia="仿宋" w:cs="仿宋"/>
                <w:b w:val="0"/>
                <w:bCs w:val="0"/>
                <w:color w:val="auto"/>
                <w:sz w:val="28"/>
                <w:szCs w:val="28"/>
                <w:highlight w:val="none"/>
                <w:vertAlign w:val="baseline"/>
                <w:lang w:val="en-US" w:eastAsia="zh-CN"/>
              </w:rPr>
              <w:t>预应力管桩</w:t>
            </w:r>
          </w:p>
        </w:tc>
        <w:tc>
          <w:tcPr>
            <w:tcW w:w="478" w:type="pct"/>
            <w:noWrap w:val="0"/>
            <w:vAlign w:val="center"/>
          </w:tcPr>
          <w:p w14:paraId="1EC80D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val="0"/>
                <w:color w:val="auto"/>
                <w:kern w:val="2"/>
                <w:sz w:val="28"/>
                <w:szCs w:val="28"/>
                <w:highlight w:val="none"/>
                <w:vertAlign w:val="baseline"/>
                <w:lang w:val="en-US" w:eastAsia="zh-CN" w:bidi="ar-SA"/>
              </w:rPr>
            </w:pPr>
          </w:p>
        </w:tc>
        <w:tc>
          <w:tcPr>
            <w:tcW w:w="1553" w:type="pct"/>
            <w:noWrap w:val="0"/>
            <w:vAlign w:val="center"/>
          </w:tcPr>
          <w:p w14:paraId="7E6EB8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val="0"/>
                <w:color w:val="auto"/>
                <w:sz w:val="28"/>
                <w:szCs w:val="28"/>
                <w:highlight w:val="none"/>
                <w:vertAlign w:val="baseline"/>
                <w:lang w:val="en-US" w:eastAsia="zh-CN"/>
              </w:rPr>
            </w:pPr>
            <w:r>
              <w:rPr>
                <w:rFonts w:hint="default" w:ascii="仿宋" w:hAnsi="仿宋" w:eastAsia="仿宋" w:cs="仿宋"/>
                <w:b w:val="0"/>
                <w:bCs w:val="0"/>
                <w:color w:val="auto"/>
                <w:sz w:val="28"/>
                <w:szCs w:val="28"/>
                <w:highlight w:val="none"/>
                <w:vertAlign w:val="baseline"/>
                <w:lang w:val="en-US" w:eastAsia="zh-CN"/>
              </w:rPr>
              <w:t>φ500mm(PHC-500AB(100)-C80)</w:t>
            </w:r>
            <w:r>
              <w:rPr>
                <w:rFonts w:hint="eastAsia" w:ascii="仿宋" w:hAnsi="仿宋" w:eastAsia="仿宋" w:cs="仿宋"/>
                <w:b w:val="0"/>
                <w:bCs w:val="0"/>
                <w:color w:val="auto"/>
                <w:sz w:val="28"/>
                <w:szCs w:val="28"/>
                <w:highlight w:val="none"/>
                <w:vertAlign w:val="baseline"/>
                <w:lang w:val="en-US" w:eastAsia="zh-CN"/>
              </w:rPr>
              <w:t>GB13476-2023</w:t>
            </w:r>
          </w:p>
        </w:tc>
        <w:tc>
          <w:tcPr>
            <w:tcW w:w="295" w:type="pct"/>
            <w:noWrap w:val="0"/>
            <w:vAlign w:val="center"/>
          </w:tcPr>
          <w:p w14:paraId="64568A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m</w:t>
            </w:r>
          </w:p>
        </w:tc>
        <w:tc>
          <w:tcPr>
            <w:tcW w:w="458" w:type="pct"/>
            <w:noWrap w:val="0"/>
            <w:vAlign w:val="center"/>
          </w:tcPr>
          <w:p w14:paraId="6FDDEE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65270</w:t>
            </w:r>
          </w:p>
        </w:tc>
        <w:tc>
          <w:tcPr>
            <w:tcW w:w="563" w:type="pct"/>
            <w:noWrap w:val="0"/>
            <w:vAlign w:val="center"/>
          </w:tcPr>
          <w:p w14:paraId="770FBF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582" w:type="pct"/>
            <w:noWrap w:val="0"/>
            <w:vAlign w:val="center"/>
          </w:tcPr>
          <w:p w14:paraId="37B2AD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p>
        </w:tc>
        <w:tc>
          <w:tcPr>
            <w:tcW w:w="292" w:type="pct"/>
            <w:noWrap w:val="0"/>
            <w:vAlign w:val="center"/>
          </w:tcPr>
          <w:p w14:paraId="559D59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color w:val="auto"/>
                <w:sz w:val="11"/>
                <w:szCs w:val="11"/>
                <w:highlight w:val="none"/>
                <w:vertAlign w:val="baseline"/>
                <w:lang w:val="en-US" w:eastAsia="zh-CN"/>
              </w:rPr>
            </w:pPr>
          </w:p>
        </w:tc>
      </w:tr>
      <w:tr w14:paraId="55AA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2" w:type="pct"/>
            <w:noWrap w:val="0"/>
            <w:vAlign w:val="center"/>
          </w:tcPr>
          <w:p w14:paraId="252EC5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2</w:t>
            </w:r>
          </w:p>
        </w:tc>
        <w:tc>
          <w:tcPr>
            <w:tcW w:w="531" w:type="pct"/>
            <w:noWrap w:val="0"/>
            <w:vAlign w:val="center"/>
          </w:tcPr>
          <w:p w14:paraId="3D940F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28"/>
                <w:szCs w:val="28"/>
                <w:highlight w:val="none"/>
                <w:u w:val="none"/>
                <w:vertAlign w:val="baseline"/>
                <w:lang w:val="en-US" w:eastAsia="zh-CN"/>
              </w:rPr>
            </w:pPr>
            <w:r>
              <w:rPr>
                <w:rFonts w:hint="default" w:ascii="仿宋" w:hAnsi="仿宋" w:eastAsia="仿宋" w:cs="仿宋"/>
                <w:b w:val="0"/>
                <w:bCs w:val="0"/>
                <w:color w:val="auto"/>
                <w:sz w:val="28"/>
                <w:szCs w:val="28"/>
                <w:highlight w:val="none"/>
                <w:vertAlign w:val="baseline"/>
                <w:lang w:val="en-US" w:eastAsia="zh-CN"/>
              </w:rPr>
              <w:t>预应力管桩</w:t>
            </w:r>
          </w:p>
        </w:tc>
        <w:tc>
          <w:tcPr>
            <w:tcW w:w="478" w:type="pct"/>
            <w:noWrap w:val="0"/>
            <w:vAlign w:val="center"/>
          </w:tcPr>
          <w:p w14:paraId="159191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val="0"/>
                <w:color w:val="auto"/>
                <w:kern w:val="2"/>
                <w:sz w:val="28"/>
                <w:szCs w:val="28"/>
                <w:highlight w:val="none"/>
                <w:vertAlign w:val="baseline"/>
                <w:lang w:val="en-US" w:eastAsia="zh-CN" w:bidi="ar-SA"/>
              </w:rPr>
            </w:pPr>
          </w:p>
        </w:tc>
        <w:tc>
          <w:tcPr>
            <w:tcW w:w="1553" w:type="pct"/>
            <w:noWrap w:val="0"/>
            <w:vAlign w:val="center"/>
          </w:tcPr>
          <w:p w14:paraId="7A67D1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val="0"/>
                <w:bCs w:val="0"/>
                <w:color w:val="auto"/>
                <w:sz w:val="28"/>
                <w:szCs w:val="28"/>
                <w:highlight w:val="none"/>
                <w:vertAlign w:val="baseline"/>
                <w:lang w:val="en-US" w:eastAsia="zh-CN"/>
              </w:rPr>
            </w:pPr>
            <w:r>
              <w:rPr>
                <w:rFonts w:hint="default" w:ascii="仿宋" w:hAnsi="仿宋" w:eastAsia="仿宋" w:cs="仿宋"/>
                <w:b w:val="0"/>
                <w:bCs w:val="0"/>
                <w:color w:val="auto"/>
                <w:sz w:val="28"/>
                <w:szCs w:val="28"/>
                <w:highlight w:val="none"/>
                <w:vertAlign w:val="baseline"/>
                <w:lang w:val="en-US" w:eastAsia="zh-CN"/>
              </w:rPr>
              <w:t>φ400mm(PHC-400AB(95)-C80)</w:t>
            </w:r>
            <w:r>
              <w:rPr>
                <w:rFonts w:hint="eastAsia" w:ascii="仿宋" w:hAnsi="仿宋" w:eastAsia="仿宋" w:cs="仿宋"/>
                <w:b w:val="0"/>
                <w:bCs w:val="0"/>
                <w:color w:val="auto"/>
                <w:sz w:val="28"/>
                <w:szCs w:val="28"/>
                <w:highlight w:val="none"/>
                <w:vertAlign w:val="baseline"/>
                <w:lang w:val="en-US" w:eastAsia="zh-CN"/>
              </w:rPr>
              <w:t>GB13476-2023</w:t>
            </w:r>
          </w:p>
        </w:tc>
        <w:tc>
          <w:tcPr>
            <w:tcW w:w="295" w:type="pct"/>
            <w:noWrap w:val="0"/>
            <w:vAlign w:val="center"/>
          </w:tcPr>
          <w:p w14:paraId="5BA2F6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m</w:t>
            </w:r>
          </w:p>
        </w:tc>
        <w:tc>
          <w:tcPr>
            <w:tcW w:w="458" w:type="pct"/>
            <w:noWrap w:val="0"/>
            <w:vAlign w:val="center"/>
          </w:tcPr>
          <w:p w14:paraId="313D3A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1855</w:t>
            </w:r>
          </w:p>
        </w:tc>
        <w:tc>
          <w:tcPr>
            <w:tcW w:w="563" w:type="pct"/>
            <w:noWrap w:val="0"/>
            <w:vAlign w:val="center"/>
          </w:tcPr>
          <w:p w14:paraId="6C80A1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582" w:type="pct"/>
            <w:noWrap w:val="0"/>
            <w:vAlign w:val="center"/>
          </w:tcPr>
          <w:p w14:paraId="50AC8D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p>
        </w:tc>
        <w:tc>
          <w:tcPr>
            <w:tcW w:w="292" w:type="pct"/>
            <w:noWrap w:val="0"/>
            <w:vAlign w:val="center"/>
          </w:tcPr>
          <w:p w14:paraId="3558EE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color w:val="auto"/>
                <w:sz w:val="11"/>
                <w:szCs w:val="11"/>
                <w:highlight w:val="none"/>
                <w:vertAlign w:val="baseline"/>
                <w:lang w:val="en-US" w:eastAsia="zh-CN"/>
              </w:rPr>
            </w:pPr>
          </w:p>
        </w:tc>
      </w:tr>
      <w:tr w14:paraId="6A5A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5000" w:type="pct"/>
            <w:gridSpan w:val="9"/>
            <w:noWrap w:val="0"/>
            <w:vAlign w:val="center"/>
          </w:tcPr>
          <w:p w14:paraId="3467646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lang w:val="en-US" w:eastAsia="zh-CN"/>
              </w:rPr>
              <w:t>合同暂定总价（1+2）：</w:t>
            </w:r>
            <w:r>
              <w:rPr>
                <w:rFonts w:hint="eastAsia" w:ascii="仿宋" w:hAnsi="仿宋" w:eastAsia="仿宋" w:cs="仿宋"/>
                <w:b/>
                <w:bCs/>
                <w:color w:val="auto"/>
                <w:sz w:val="28"/>
                <w:szCs w:val="28"/>
                <w:highlight w:val="none"/>
                <w:u w:val="none"/>
                <w:shd w:val="clear" w:color="auto" w:fill="auto"/>
                <w:vertAlign w:val="baseline"/>
                <w:lang w:val="en-US" w:eastAsia="zh-CN"/>
              </w:rPr>
              <w:t>人民币</w:t>
            </w:r>
            <w:r>
              <w:rPr>
                <w:rFonts w:hint="eastAsia" w:ascii="仿宋" w:hAnsi="仿宋" w:eastAsia="仿宋" w:cs="仿宋"/>
                <w:b/>
                <w:bCs/>
                <w:color w:val="auto"/>
                <w:sz w:val="28"/>
                <w:szCs w:val="28"/>
                <w:highlight w:val="none"/>
                <w:u w:val="single"/>
                <w:shd w:val="clear" w:color="auto" w:fill="auto"/>
                <w:vertAlign w:val="baseline"/>
                <w:lang w:val="en-US" w:eastAsia="zh-CN"/>
              </w:rPr>
              <w:t xml:space="preserve">                  </w:t>
            </w:r>
            <w:r>
              <w:rPr>
                <w:rFonts w:hint="eastAsia" w:ascii="仿宋" w:hAnsi="仿宋" w:eastAsia="仿宋" w:cs="仿宋"/>
                <w:b/>
                <w:bCs/>
                <w:color w:val="auto"/>
                <w:sz w:val="28"/>
                <w:szCs w:val="28"/>
                <w:highlight w:val="none"/>
                <w:shd w:val="clear" w:color="auto" w:fill="auto"/>
                <w:vertAlign w:val="baseline"/>
                <w:lang w:val="en-US" w:eastAsia="zh-CN"/>
              </w:rPr>
              <w:t>元</w:t>
            </w:r>
          </w:p>
          <w:p w14:paraId="487528E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u w:val="none"/>
                <w:vertAlign w:val="baseline"/>
                <w:lang w:val="en-US" w:eastAsia="zh-CN"/>
              </w:rPr>
              <w:t>人民币</w:t>
            </w:r>
            <w:r>
              <w:rPr>
                <w:rFonts w:hint="eastAsia" w:ascii="宋体" w:hAnsi="宋体" w:eastAsia="宋体" w:cs="宋体"/>
                <w:b/>
                <w:bCs/>
                <w:color w:val="auto"/>
                <w:sz w:val="28"/>
                <w:szCs w:val="28"/>
                <w:highlight w:val="none"/>
                <w:u w:val="single"/>
                <w:vertAlign w:val="baseline"/>
                <w:lang w:val="en-US" w:eastAsia="zh-CN"/>
              </w:rPr>
              <w:t xml:space="preserve">                  </w:t>
            </w:r>
            <w:r>
              <w:rPr>
                <w:rFonts w:hint="eastAsia" w:ascii="宋体" w:hAnsi="宋体" w:eastAsia="宋体" w:cs="宋体"/>
                <w:b/>
                <w:bCs/>
                <w:color w:val="auto"/>
                <w:sz w:val="28"/>
                <w:szCs w:val="28"/>
                <w:highlight w:val="none"/>
                <w:u w:val="none"/>
                <w:vertAlign w:val="baseline"/>
                <w:lang w:val="en-US" w:eastAsia="zh-CN"/>
              </w:rPr>
              <w:t>元</w:t>
            </w:r>
            <w:r>
              <w:rPr>
                <w:rFonts w:hint="eastAsia" w:ascii="宋体" w:hAnsi="宋体" w:cs="宋体"/>
                <w:b/>
                <w:bCs/>
                <w:color w:val="auto"/>
                <w:sz w:val="28"/>
                <w:szCs w:val="28"/>
                <w:highlight w:val="none"/>
                <w:u w:val="none"/>
                <w:vertAlign w:val="baseline"/>
                <w:lang w:val="en-US" w:eastAsia="zh-CN"/>
              </w:rPr>
              <w:t>。</w:t>
            </w:r>
          </w:p>
        </w:tc>
      </w:tr>
    </w:tbl>
    <w:p w14:paraId="03FC89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00" w:firstLineChars="200"/>
        <w:textAlignment w:val="auto"/>
        <w:rPr>
          <w:rFonts w:hint="eastAsia" w:ascii="仿宋" w:hAnsi="仿宋" w:eastAsia="仿宋" w:cs="仿宋"/>
          <w:color w:val="auto"/>
          <w:kern w:val="2"/>
          <w:sz w:val="10"/>
          <w:szCs w:val="10"/>
          <w:highlight w:val="none"/>
          <w:u w:val="none"/>
          <w:lang w:val="en-US" w:eastAsia="zh-CN" w:bidi="ar-SA"/>
        </w:rPr>
      </w:pPr>
    </w:p>
    <w:p w14:paraId="51087721">
      <w:pPr>
        <w:keepNext w:val="0"/>
        <w:keepLines w:val="0"/>
        <w:pageBreakBefore w:val="0"/>
        <w:widowControl w:val="0"/>
        <w:numPr>
          <w:ilvl w:val="1"/>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vertAlign w:val="baseline"/>
          <w:lang w:val="en-US" w:eastAsia="zh-CN"/>
        </w:rPr>
        <w:t>本合同为固定单价合同，</w:t>
      </w:r>
      <w:r>
        <w:rPr>
          <w:rFonts w:hint="eastAsia" w:ascii="仿宋" w:hAnsi="仿宋" w:eastAsia="仿宋" w:cs="仿宋"/>
          <w:color w:val="auto"/>
          <w:sz w:val="28"/>
          <w:szCs w:val="28"/>
          <w:highlight w:val="none"/>
          <w:vertAlign w:val="baseline"/>
        </w:rPr>
        <w:t>合同单价含</w:t>
      </w:r>
      <w:r>
        <w:rPr>
          <w:rFonts w:hint="eastAsia" w:ascii="仿宋" w:hAnsi="仿宋" w:eastAsia="仿宋" w:cs="仿宋"/>
          <w:color w:val="auto"/>
          <w:sz w:val="28"/>
          <w:szCs w:val="28"/>
          <w:highlight w:val="none"/>
          <w:vertAlign w:val="baseline"/>
          <w:lang w:eastAsia="zh-CN"/>
        </w:rPr>
        <w:t>产品费、</w:t>
      </w:r>
      <w:r>
        <w:rPr>
          <w:rFonts w:hint="eastAsia" w:ascii="仿宋" w:hAnsi="仿宋" w:eastAsia="仿宋" w:cs="仿宋"/>
          <w:color w:val="auto"/>
          <w:sz w:val="28"/>
          <w:szCs w:val="28"/>
          <w:highlight w:val="none"/>
          <w:vertAlign w:val="baseline"/>
        </w:rPr>
        <w:t>材料费、人工费（指</w:t>
      </w:r>
      <w:r>
        <w:rPr>
          <w:rFonts w:hint="eastAsia" w:ascii="仿宋" w:hAnsi="仿宋" w:eastAsia="仿宋" w:cs="仿宋"/>
          <w:color w:val="auto"/>
          <w:sz w:val="28"/>
          <w:szCs w:val="28"/>
          <w:highlight w:val="none"/>
          <w:vertAlign w:val="baseline"/>
          <w:lang w:val="en-US" w:eastAsia="zh-CN"/>
        </w:rPr>
        <w:t>产品移交给甲方所需</w:t>
      </w:r>
      <w:r>
        <w:rPr>
          <w:rFonts w:hint="eastAsia" w:ascii="仿宋" w:hAnsi="仿宋" w:eastAsia="仿宋" w:cs="仿宋"/>
          <w:color w:val="auto"/>
          <w:sz w:val="28"/>
          <w:szCs w:val="28"/>
          <w:highlight w:val="none"/>
          <w:vertAlign w:val="baseline"/>
        </w:rPr>
        <w:t>的所有人工费）、包装费、运输费、</w:t>
      </w:r>
      <w:r>
        <w:rPr>
          <w:rFonts w:hint="eastAsia" w:ascii="仿宋" w:hAnsi="仿宋" w:eastAsia="仿宋" w:cs="仿宋"/>
          <w:color w:val="auto"/>
          <w:sz w:val="28"/>
          <w:szCs w:val="28"/>
          <w:highlight w:val="none"/>
          <w:vertAlign w:val="baseline"/>
          <w:lang w:eastAsia="zh-CN"/>
        </w:rPr>
        <w:t>装卸费（</w:t>
      </w:r>
      <w:r>
        <w:rPr>
          <w:rFonts w:hint="eastAsia" w:ascii="仿宋" w:hAnsi="仿宋" w:eastAsia="仿宋" w:cs="仿宋"/>
          <w:color w:val="auto"/>
          <w:sz w:val="28"/>
          <w:szCs w:val="28"/>
          <w:highlight w:val="none"/>
          <w:vertAlign w:val="baseline"/>
          <w:lang w:val="en-US" w:eastAsia="zh-CN"/>
        </w:rPr>
        <w:t>产品由乙方负责装车，卸车由：</w:t>
      </w:r>
      <w:r>
        <w:rPr>
          <w:rFonts w:hint="eastAsia" w:ascii="仿宋" w:hAnsi="仿宋" w:eastAsia="仿宋" w:cs="仿宋"/>
          <w:b w:val="0"/>
          <w:bCs w:val="0"/>
          <w:color w:val="auto"/>
          <w:kern w:val="2"/>
          <w:sz w:val="28"/>
          <w:szCs w:val="28"/>
          <w:highlight w:val="none"/>
          <w:u w:val="none"/>
          <w:lang w:val="en-US" w:eastAsia="zh-CN" w:bidi="ar-SA"/>
        </w:rPr>
        <w:sym w:font="Wingdings" w:char="00FE"/>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b w:val="0"/>
          <w:bCs w:val="0"/>
          <w:color w:val="auto"/>
          <w:kern w:val="2"/>
          <w:sz w:val="28"/>
          <w:szCs w:val="28"/>
          <w:highlight w:val="none"/>
          <w:u w:val="none"/>
          <w:lang w:val="en-US" w:eastAsia="zh-CN" w:bidi="ar-SA"/>
        </w:rPr>
        <w:sym w:font="Wingdings" w:char="00A8"/>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b w:val="0"/>
          <w:bCs w:val="0"/>
          <w:color w:val="auto"/>
          <w:sz w:val="28"/>
          <w:szCs w:val="28"/>
          <w:highlight w:val="none"/>
          <w:u w:val="none"/>
          <w:vertAlign w:val="baseline"/>
          <w:lang w:val="en-US" w:eastAsia="zh-CN"/>
        </w:rPr>
        <w:t>免费提供</w:t>
      </w:r>
      <w:r>
        <w:rPr>
          <w:rFonts w:hint="eastAsia" w:ascii="仿宋" w:hAnsi="仿宋" w:eastAsia="仿宋" w:cs="仿宋"/>
          <w:color w:val="auto"/>
          <w:sz w:val="28"/>
          <w:szCs w:val="28"/>
          <w:highlight w:val="none"/>
          <w:u w:val="none"/>
          <w:vertAlign w:val="baseline"/>
          <w:lang w:val="en-US" w:eastAsia="zh-CN"/>
        </w:rPr>
        <w:t>检验检测所需的材料（数量按产品使用地点送检取样要求）及检验检测费（产品移交甲方前的所有检验检测费用，包括具备资质的第三方检验检测机构的所有检验检测费用，检验检测须符合产品使用地点政府主管部门要求）、</w:t>
      </w:r>
      <w:r>
        <w:rPr>
          <w:rFonts w:hint="eastAsia" w:ascii="仿宋" w:hAnsi="仿宋" w:eastAsia="仿宋" w:cs="仿宋"/>
          <w:b/>
          <w:bCs/>
          <w:color w:val="auto"/>
          <w:sz w:val="28"/>
          <w:szCs w:val="28"/>
          <w:highlight w:val="none"/>
          <w:u w:val="none"/>
          <w:vertAlign w:val="baseline"/>
          <w:lang w:val="en-US" w:eastAsia="zh-CN"/>
        </w:rPr>
        <w:t>货到工地表面验收</w:t>
      </w:r>
      <w:r>
        <w:rPr>
          <w:rFonts w:hint="eastAsia" w:ascii="仿宋" w:hAnsi="仿宋" w:eastAsia="仿宋" w:cs="仿宋"/>
          <w:color w:val="auto"/>
          <w:sz w:val="28"/>
          <w:szCs w:val="28"/>
          <w:highlight w:val="none"/>
          <w:u w:val="none"/>
          <w:vertAlign w:val="baseline"/>
          <w:lang w:val="en-US" w:eastAsia="zh-CN"/>
        </w:rPr>
        <w:t>、</w:t>
      </w:r>
      <w:r>
        <w:rPr>
          <w:rFonts w:hint="eastAsia" w:ascii="仿宋" w:hAnsi="仿宋" w:eastAsia="仿宋" w:cs="仿宋"/>
          <w:color w:val="auto"/>
          <w:sz w:val="28"/>
          <w:szCs w:val="28"/>
          <w:highlight w:val="none"/>
          <w:u w:val="none"/>
          <w:vertAlign w:val="baseline"/>
        </w:rPr>
        <w:t>保险费、利</w:t>
      </w:r>
      <w:r>
        <w:rPr>
          <w:rFonts w:hint="eastAsia" w:ascii="仿宋" w:hAnsi="仿宋" w:eastAsia="仿宋" w:cs="仿宋"/>
          <w:color w:val="auto"/>
          <w:sz w:val="28"/>
          <w:szCs w:val="28"/>
          <w:highlight w:val="none"/>
          <w:vertAlign w:val="baseline"/>
        </w:rPr>
        <w:t>润、管理费、税金（</w:t>
      </w:r>
      <w:r>
        <w:rPr>
          <w:rFonts w:hint="eastAsia" w:ascii="仿宋" w:hAnsi="仿宋" w:eastAsia="仿宋" w:cs="仿宋"/>
          <w:color w:val="auto"/>
          <w:sz w:val="28"/>
          <w:szCs w:val="28"/>
          <w:highlight w:val="none"/>
          <w:vertAlign w:val="baseline"/>
          <w:lang w:val="en-US" w:eastAsia="zh-CN"/>
        </w:rPr>
        <w:t>乙方</w:t>
      </w:r>
      <w:r>
        <w:rPr>
          <w:rFonts w:hint="eastAsia" w:ascii="仿宋" w:hAnsi="仿宋" w:eastAsia="仿宋" w:cs="仿宋"/>
          <w:color w:val="auto"/>
          <w:sz w:val="28"/>
          <w:szCs w:val="28"/>
          <w:highlight w:val="none"/>
          <w:vertAlign w:val="baseline"/>
        </w:rPr>
        <w:t>开具税率</w:t>
      </w:r>
      <w:r>
        <w:rPr>
          <w:rFonts w:hint="eastAsia" w:ascii="仿宋" w:hAnsi="仿宋" w:eastAsia="仿宋" w:cs="仿宋"/>
          <w:color w:val="auto"/>
          <w:sz w:val="28"/>
          <w:szCs w:val="28"/>
          <w:highlight w:val="none"/>
          <w:u w:val="single"/>
          <w:vertAlign w:val="baseline"/>
          <w:lang w:val="en-US" w:eastAsia="zh-CN"/>
        </w:rPr>
        <w:t xml:space="preserve">  </w:t>
      </w:r>
      <w:r>
        <w:rPr>
          <w:rFonts w:hint="eastAsia" w:ascii="仿宋" w:hAnsi="仿宋" w:eastAsia="仿宋" w:cs="仿宋"/>
          <w:color w:val="auto"/>
          <w:sz w:val="28"/>
          <w:szCs w:val="28"/>
          <w:highlight w:val="none"/>
          <w:vertAlign w:val="baseline"/>
        </w:rPr>
        <w:t>%的增值税</w:t>
      </w:r>
      <w:r>
        <w:rPr>
          <w:rFonts w:hint="eastAsia" w:ascii="仿宋" w:hAnsi="仿宋" w:eastAsia="仿宋" w:cs="仿宋"/>
          <w:b w:val="0"/>
          <w:bCs w:val="0"/>
          <w:color w:val="auto"/>
          <w:kern w:val="2"/>
          <w:sz w:val="28"/>
          <w:szCs w:val="28"/>
          <w:highlight w:val="none"/>
          <w:u w:val="none"/>
          <w:lang w:val="en-US" w:eastAsia="zh-CN" w:bidi="ar-SA"/>
        </w:rPr>
        <w:sym w:font="Wingdings" w:char="00FE"/>
      </w:r>
      <w:r>
        <w:rPr>
          <w:rFonts w:hint="eastAsia" w:ascii="仿宋" w:hAnsi="仿宋" w:eastAsia="仿宋" w:cs="仿宋"/>
          <w:color w:val="auto"/>
          <w:sz w:val="28"/>
          <w:szCs w:val="28"/>
          <w:highlight w:val="none"/>
          <w:vertAlign w:val="baseline"/>
        </w:rPr>
        <w:t>专用</w:t>
      </w:r>
      <w:r>
        <w:rPr>
          <w:rFonts w:hint="eastAsia" w:ascii="仿宋" w:hAnsi="仿宋" w:eastAsia="仿宋" w:cs="仿宋"/>
          <w:color w:val="auto"/>
          <w:sz w:val="28"/>
          <w:szCs w:val="28"/>
          <w:highlight w:val="none"/>
          <w:vertAlign w:val="baseline"/>
          <w:lang w:val="en-US" w:eastAsia="zh-CN"/>
        </w:rPr>
        <w:t>发票/</w:t>
      </w:r>
      <w:r>
        <w:rPr>
          <w:rFonts w:hint="eastAsia" w:ascii="仿宋" w:hAnsi="仿宋" w:eastAsia="仿宋" w:cs="仿宋"/>
          <w:b w:val="0"/>
          <w:bCs w:val="0"/>
          <w:color w:val="auto"/>
          <w:kern w:val="2"/>
          <w:sz w:val="28"/>
          <w:szCs w:val="28"/>
          <w:highlight w:val="none"/>
          <w:u w:val="none"/>
          <w:lang w:val="en-US" w:eastAsia="zh-CN" w:bidi="ar-SA"/>
        </w:rPr>
        <w:sym w:font="Wingdings" w:char="00A8"/>
      </w:r>
      <w:r>
        <w:rPr>
          <w:rFonts w:hint="eastAsia" w:ascii="仿宋" w:hAnsi="仿宋" w:eastAsia="仿宋" w:cs="仿宋"/>
          <w:color w:val="auto"/>
          <w:sz w:val="28"/>
          <w:szCs w:val="28"/>
          <w:highlight w:val="none"/>
          <w:vertAlign w:val="baseline"/>
          <w:lang w:val="en-US" w:eastAsia="zh-CN"/>
        </w:rPr>
        <w:t>普通</w:t>
      </w:r>
      <w:r>
        <w:rPr>
          <w:rFonts w:hint="eastAsia" w:ascii="仿宋" w:hAnsi="仿宋" w:eastAsia="仿宋" w:cs="仿宋"/>
          <w:color w:val="auto"/>
          <w:sz w:val="28"/>
          <w:szCs w:val="28"/>
          <w:highlight w:val="none"/>
          <w:vertAlign w:val="baseline"/>
        </w:rPr>
        <w:t>发票</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税率按国家政策执行，</w:t>
      </w:r>
      <w:r>
        <w:rPr>
          <w:rFonts w:hint="eastAsia" w:ascii="仿宋" w:hAnsi="仿宋" w:eastAsia="仿宋" w:cs="仿宋"/>
          <w:color w:val="auto"/>
          <w:sz w:val="28"/>
          <w:szCs w:val="28"/>
          <w:highlight w:val="none"/>
          <w:vertAlign w:val="baseline"/>
          <w:lang w:eastAsia="zh-CN"/>
        </w:rPr>
        <w:t>如</w:t>
      </w:r>
      <w:r>
        <w:rPr>
          <w:rFonts w:hint="eastAsia" w:ascii="仿宋" w:hAnsi="仿宋" w:eastAsia="仿宋" w:cs="仿宋"/>
          <w:color w:val="auto"/>
          <w:sz w:val="28"/>
          <w:szCs w:val="28"/>
          <w:highlight w:val="none"/>
          <w:vertAlign w:val="baseline"/>
          <w:lang w:val="en-US" w:eastAsia="zh-CN"/>
        </w:rPr>
        <w:t>税率</w:t>
      </w:r>
      <w:r>
        <w:rPr>
          <w:rFonts w:hint="eastAsia" w:ascii="仿宋" w:hAnsi="仿宋" w:eastAsia="仿宋" w:cs="仿宋"/>
          <w:color w:val="auto"/>
          <w:sz w:val="28"/>
          <w:szCs w:val="28"/>
          <w:highlight w:val="none"/>
          <w:vertAlign w:val="baseline"/>
          <w:lang w:eastAsia="zh-CN"/>
        </w:rPr>
        <w:t>调整，</w:t>
      </w:r>
      <w:r>
        <w:rPr>
          <w:rFonts w:hint="eastAsia" w:ascii="仿宋" w:hAnsi="仿宋" w:eastAsia="仿宋" w:cs="仿宋"/>
          <w:color w:val="auto"/>
          <w:sz w:val="28"/>
          <w:szCs w:val="28"/>
          <w:highlight w:val="none"/>
          <w:vertAlign w:val="baseline"/>
          <w:lang w:val="en-US" w:eastAsia="zh-CN"/>
        </w:rPr>
        <w:t>合同</w:t>
      </w:r>
      <w:r>
        <w:rPr>
          <w:rFonts w:hint="eastAsia" w:ascii="仿宋" w:hAnsi="仿宋" w:eastAsia="仿宋" w:cs="仿宋"/>
          <w:color w:val="auto"/>
          <w:sz w:val="28"/>
          <w:szCs w:val="28"/>
          <w:highlight w:val="none"/>
          <w:vertAlign w:val="baseline"/>
        </w:rPr>
        <w:t>单价随之调整）等，含乙方承担合同义务、责任、风险的费用，除合同另有约</w:t>
      </w:r>
      <w:r>
        <w:rPr>
          <w:rFonts w:hint="eastAsia" w:ascii="仿宋" w:hAnsi="仿宋" w:eastAsia="仿宋" w:cs="仿宋"/>
          <w:color w:val="auto"/>
          <w:sz w:val="28"/>
          <w:szCs w:val="28"/>
          <w:highlight w:val="none"/>
          <w:u w:val="none"/>
          <w:vertAlign w:val="baseline"/>
        </w:rPr>
        <w:t>定外</w:t>
      </w:r>
      <w:r>
        <w:rPr>
          <w:rFonts w:hint="eastAsia" w:ascii="仿宋" w:hAnsi="仿宋" w:eastAsia="仿宋" w:cs="仿宋"/>
          <w:color w:val="auto"/>
          <w:sz w:val="28"/>
          <w:szCs w:val="28"/>
          <w:highlight w:val="none"/>
          <w:u w:val="none"/>
          <w:vertAlign w:val="baseline"/>
          <w:lang w:eastAsia="zh-CN"/>
        </w:rPr>
        <w:t>，单价</w:t>
      </w:r>
      <w:r>
        <w:rPr>
          <w:rFonts w:hint="eastAsia" w:ascii="仿宋" w:hAnsi="仿宋" w:eastAsia="仿宋" w:cs="仿宋"/>
          <w:color w:val="auto"/>
          <w:sz w:val="28"/>
          <w:szCs w:val="28"/>
          <w:highlight w:val="none"/>
          <w:u w:val="none"/>
          <w:vertAlign w:val="baseline"/>
        </w:rPr>
        <w:t>不</w:t>
      </w:r>
      <w:r>
        <w:rPr>
          <w:rFonts w:hint="eastAsia" w:ascii="仿宋" w:hAnsi="仿宋" w:eastAsia="仿宋" w:cs="仿宋"/>
          <w:color w:val="auto"/>
          <w:sz w:val="28"/>
          <w:szCs w:val="28"/>
          <w:highlight w:val="none"/>
          <w:u w:val="none"/>
          <w:vertAlign w:val="baseline"/>
          <w:lang w:eastAsia="zh-CN"/>
        </w:rPr>
        <w:t>作</w:t>
      </w:r>
      <w:r>
        <w:rPr>
          <w:rFonts w:hint="eastAsia" w:ascii="仿宋" w:hAnsi="仿宋" w:eastAsia="仿宋" w:cs="仿宋"/>
          <w:color w:val="auto"/>
          <w:sz w:val="28"/>
          <w:szCs w:val="28"/>
          <w:highlight w:val="none"/>
          <w:u w:val="none"/>
          <w:vertAlign w:val="baseline"/>
        </w:rPr>
        <w:t>任何调整</w:t>
      </w:r>
      <w:r>
        <w:rPr>
          <w:rFonts w:hint="eastAsia" w:ascii="仿宋" w:hAnsi="仿宋" w:eastAsia="仿宋" w:cs="仿宋"/>
          <w:color w:val="auto"/>
          <w:sz w:val="28"/>
          <w:szCs w:val="28"/>
          <w:highlight w:val="none"/>
          <w:u w:val="none"/>
          <w:vertAlign w:val="baseline"/>
          <w:lang w:eastAsia="zh-CN"/>
        </w:rPr>
        <w:t>。</w:t>
      </w:r>
    </w:p>
    <w:p w14:paraId="6A490ACE">
      <w:pPr>
        <w:keepNext w:val="0"/>
        <w:keepLines w:val="0"/>
        <w:pageBreakBefore w:val="0"/>
        <w:widowControl w:val="0"/>
        <w:numPr>
          <w:ilvl w:val="1"/>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vertAlign w:val="baseline"/>
        </w:rPr>
      </w:pPr>
      <w:r>
        <w:rPr>
          <w:rFonts w:hint="eastAsia" w:ascii="仿宋" w:hAnsi="仿宋" w:eastAsia="仿宋" w:cs="仿宋"/>
          <w:color w:val="auto"/>
          <w:kern w:val="2"/>
          <w:sz w:val="28"/>
          <w:szCs w:val="28"/>
          <w:highlight w:val="none"/>
          <w:u w:val="none"/>
          <w:lang w:val="en-US" w:eastAsia="zh-CN" w:bidi="ar-SA"/>
        </w:rPr>
        <w:t xml:space="preserve">1.2 </w:t>
      </w:r>
      <w:r>
        <w:rPr>
          <w:rFonts w:hint="eastAsia" w:ascii="仿宋" w:hAnsi="仿宋" w:eastAsia="仿宋" w:cs="仿宋"/>
          <w:color w:val="auto"/>
          <w:sz w:val="28"/>
          <w:szCs w:val="28"/>
          <w:highlight w:val="none"/>
          <w:u w:val="none"/>
          <w:vertAlign w:val="baseline"/>
        </w:rPr>
        <w:t>乙方的送货数量由甲方决定，</w:t>
      </w:r>
      <w:r>
        <w:rPr>
          <w:rFonts w:hint="eastAsia" w:ascii="仿宋" w:hAnsi="仿宋" w:eastAsia="仿宋" w:cs="仿宋"/>
          <w:color w:val="auto"/>
          <w:sz w:val="28"/>
          <w:szCs w:val="28"/>
          <w:highlight w:val="none"/>
          <w:u w:val="none"/>
          <w:vertAlign w:val="baseline"/>
          <w:lang w:val="en-US" w:eastAsia="zh-CN"/>
        </w:rPr>
        <w:t>如果甲方要求分批次送货的，</w:t>
      </w:r>
      <w:r>
        <w:rPr>
          <w:rFonts w:hint="eastAsia" w:ascii="仿宋" w:hAnsi="仿宋" w:eastAsia="仿宋" w:cs="仿宋"/>
          <w:color w:val="auto"/>
          <w:sz w:val="28"/>
          <w:szCs w:val="28"/>
          <w:highlight w:val="none"/>
          <w:u w:val="none"/>
          <w:vertAlign w:val="baseline"/>
        </w:rPr>
        <w:t>乙方无条件配合</w:t>
      </w:r>
      <w:r>
        <w:rPr>
          <w:rFonts w:hint="eastAsia" w:ascii="仿宋" w:hAnsi="仿宋" w:eastAsia="仿宋" w:cs="仿宋"/>
          <w:color w:val="auto"/>
          <w:sz w:val="28"/>
          <w:szCs w:val="28"/>
          <w:highlight w:val="none"/>
          <w:u w:val="none"/>
          <w:vertAlign w:val="baseline"/>
          <w:lang w:eastAsia="zh-CN"/>
        </w:rPr>
        <w:t>，</w:t>
      </w:r>
      <w:r>
        <w:rPr>
          <w:rFonts w:hint="eastAsia" w:ascii="仿宋" w:hAnsi="仿宋" w:eastAsia="仿宋" w:cs="仿宋"/>
          <w:color w:val="auto"/>
          <w:sz w:val="28"/>
          <w:szCs w:val="28"/>
          <w:highlight w:val="none"/>
          <w:u w:val="none"/>
          <w:vertAlign w:val="baseline"/>
          <w:lang w:val="en-US" w:eastAsia="zh-CN"/>
        </w:rPr>
        <w:t>所产生的费用已经包含在本合同单价内，不再另外增补任何费用。</w:t>
      </w:r>
      <w:r>
        <w:rPr>
          <w:rFonts w:hint="eastAsia" w:ascii="仿宋" w:hAnsi="仿宋" w:eastAsia="仿宋" w:cs="仿宋"/>
          <w:color w:val="auto"/>
          <w:sz w:val="28"/>
          <w:szCs w:val="28"/>
          <w:highlight w:val="none"/>
          <w:vertAlign w:val="baseline"/>
        </w:rPr>
        <w:t>产品购销数量按甲方实际</w:t>
      </w:r>
      <w:r>
        <w:rPr>
          <w:rFonts w:hint="eastAsia" w:ascii="仿宋" w:hAnsi="仿宋" w:eastAsia="仿宋" w:cs="仿宋"/>
          <w:color w:val="auto"/>
          <w:sz w:val="28"/>
          <w:szCs w:val="28"/>
          <w:highlight w:val="none"/>
          <w:vertAlign w:val="baseline"/>
          <w:lang w:val="en-US" w:eastAsia="zh-CN"/>
        </w:rPr>
        <w:t>接收并</w:t>
      </w:r>
      <w:r>
        <w:rPr>
          <w:rFonts w:hint="eastAsia" w:ascii="仿宋" w:hAnsi="仿宋" w:eastAsia="仿宋" w:cs="仿宋"/>
          <w:color w:val="auto"/>
          <w:sz w:val="28"/>
          <w:szCs w:val="28"/>
          <w:highlight w:val="none"/>
          <w:vertAlign w:val="baseline"/>
        </w:rPr>
        <w:t>验收合格的数量结算</w:t>
      </w:r>
      <w:r>
        <w:rPr>
          <w:rFonts w:hint="eastAsia" w:ascii="仿宋" w:hAnsi="仿宋" w:eastAsia="仿宋" w:cs="仿宋"/>
          <w:color w:val="auto"/>
          <w:sz w:val="28"/>
          <w:szCs w:val="28"/>
          <w:highlight w:val="none"/>
          <w:vertAlign w:val="baseline"/>
          <w:lang w:eastAsia="zh-CN"/>
        </w:rPr>
        <w:t>。</w:t>
      </w:r>
    </w:p>
    <w:p w14:paraId="3B94CB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vertAlign w:val="baseline"/>
        </w:rPr>
      </w:pPr>
      <w:r>
        <w:rPr>
          <w:rFonts w:hint="eastAsia" w:ascii="仿宋" w:hAnsi="仿宋" w:eastAsia="仿宋" w:cs="仿宋"/>
          <w:color w:val="auto"/>
          <w:kern w:val="2"/>
          <w:sz w:val="28"/>
          <w:szCs w:val="28"/>
          <w:highlight w:val="none"/>
          <w:u w:val="none"/>
          <w:lang w:val="en-US" w:eastAsia="zh-CN" w:bidi="ar-SA"/>
        </w:rPr>
        <w:t>1.3 根据产品暂定数量计算，本合同暂定总价为</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元，</w:t>
      </w:r>
      <w:r>
        <w:rPr>
          <w:rFonts w:hint="eastAsia" w:ascii="仿宋" w:hAnsi="仿宋" w:eastAsia="仿宋" w:cs="仿宋"/>
          <w:color w:val="auto"/>
          <w:sz w:val="28"/>
          <w:szCs w:val="28"/>
          <w:highlight w:val="none"/>
          <w:vertAlign w:val="baseline"/>
        </w:rPr>
        <w:t>合同暂定总价仅供参考，不作结算用途。</w:t>
      </w:r>
    </w:p>
    <w:p w14:paraId="31CCCB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kern w:val="2"/>
          <w:sz w:val="28"/>
          <w:szCs w:val="28"/>
          <w:highlight w:val="none"/>
          <w:u w:val="none"/>
          <w:lang w:val="en-US" w:eastAsia="zh-CN" w:bidi="ar-SA"/>
        </w:rPr>
        <w:t>1.4</w:t>
      </w:r>
      <w:r>
        <w:rPr>
          <w:rFonts w:hint="eastAsia" w:ascii="仿宋" w:hAnsi="仿宋" w:eastAsia="仿宋" w:cs="仿宋"/>
          <w:color w:val="auto"/>
          <w:sz w:val="28"/>
          <w:szCs w:val="28"/>
          <w:highlight w:val="none"/>
          <w:vertAlign w:val="baseline"/>
          <w:lang w:val="en-US" w:eastAsia="zh-CN"/>
        </w:rPr>
        <w:t>其他需要约定的与价格相关的事项：</w:t>
      </w:r>
    </w:p>
    <w:p w14:paraId="54E3D8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szCs w:val="28"/>
          <w:highlight w:val="none"/>
          <w:u w:val="single"/>
          <w:vertAlign w:val="baseline"/>
          <w:lang w:val="en-US" w:eastAsia="zh-CN"/>
        </w:rPr>
      </w:pPr>
      <w:r>
        <w:rPr>
          <w:rFonts w:hint="eastAsia" w:ascii="仿宋" w:hAnsi="仿宋" w:eastAsia="仿宋" w:cs="仿宋"/>
          <w:color w:val="auto"/>
          <w:sz w:val="28"/>
          <w:szCs w:val="28"/>
          <w:highlight w:val="none"/>
          <w:vertAlign w:val="baseline"/>
          <w:lang w:val="en-US" w:eastAsia="zh-CN"/>
        </w:rPr>
        <w:t>1.4.1合同单价有效期为：</w:t>
      </w:r>
      <w:r>
        <w:rPr>
          <w:rFonts w:hint="eastAsia" w:ascii="仿宋" w:hAnsi="仿宋" w:eastAsia="仿宋" w:cs="仿宋"/>
          <w:b w:val="0"/>
          <w:bCs w:val="0"/>
          <w:color w:val="auto"/>
          <w:sz w:val="28"/>
          <w:szCs w:val="28"/>
          <w:highlight w:val="none"/>
          <w:u w:val="single"/>
          <w:vertAlign w:val="baseline"/>
          <w:lang w:val="en-US" w:eastAsia="zh-CN"/>
        </w:rPr>
        <w:t>本合同生效之日起至本项目所需产品数量全部供应完毕为止。</w:t>
      </w:r>
    </w:p>
    <w:p w14:paraId="6BD921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szCs w:val="28"/>
          <w:highlight w:val="none"/>
          <w:u w:val="single"/>
          <w:vertAlign w:val="baseline"/>
          <w:lang w:val="en-US" w:eastAsia="zh-CN"/>
        </w:rPr>
      </w:pPr>
      <w:r>
        <w:rPr>
          <w:rFonts w:hint="eastAsia" w:ascii="仿宋" w:hAnsi="仿宋" w:eastAsia="仿宋" w:cs="仿宋"/>
          <w:b w:val="0"/>
          <w:bCs w:val="0"/>
          <w:color w:val="auto"/>
          <w:sz w:val="28"/>
          <w:szCs w:val="28"/>
          <w:highlight w:val="none"/>
          <w:u w:val="none"/>
          <w:vertAlign w:val="baseline"/>
          <w:lang w:val="en-US" w:eastAsia="zh-CN"/>
        </w:rPr>
        <w:t>1.4.2其他要求：</w:t>
      </w:r>
      <w:r>
        <w:rPr>
          <w:rFonts w:hint="eastAsia" w:ascii="仿宋" w:hAnsi="仿宋" w:eastAsia="仿宋" w:cs="仿宋"/>
          <w:b w:val="0"/>
          <w:bCs w:val="0"/>
          <w:color w:val="auto"/>
          <w:sz w:val="28"/>
          <w:szCs w:val="28"/>
          <w:highlight w:val="none"/>
          <w:u w:val="single"/>
          <w:vertAlign w:val="baseline"/>
          <w:lang w:val="en-US" w:eastAsia="zh-CN"/>
        </w:rPr>
        <w:t>无。</w:t>
      </w:r>
    </w:p>
    <w:p w14:paraId="7EFAE7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1.5本合同单价已包含各种保险费用，乙方不得另计保险而向甲方索要费用。</w:t>
      </w:r>
    </w:p>
    <w:p w14:paraId="7C7471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1.6甲方或使用单位在产品使用过程中遇到的问题，乙方须随时提供电话答疑。凡与产品相关联的问题都属于答疑范围，所需费用已包含在合同单价中，不另计费。</w:t>
      </w:r>
    </w:p>
    <w:p w14:paraId="4F562A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1.7乙方根据甲方需要提供现场临时指导和培训，费用已包含在合同单价中，不另计费。</w:t>
      </w:r>
    </w:p>
    <w:p w14:paraId="6D17C2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eastAsia" w:ascii="仿宋" w:hAnsi="仿宋" w:eastAsia="仿宋" w:cs="仿宋"/>
          <w:b/>
          <w:bCs/>
          <w:color w:val="auto"/>
          <w:sz w:val="28"/>
          <w:szCs w:val="28"/>
          <w:highlight w:val="none"/>
          <w:u w:val="none"/>
          <w:vertAlign w:val="baseline"/>
          <w:lang w:val="en-US" w:eastAsia="zh-CN"/>
        </w:rPr>
      </w:pPr>
      <w:r>
        <w:rPr>
          <w:rFonts w:hint="eastAsia" w:ascii="仿宋" w:hAnsi="仿宋" w:eastAsia="仿宋" w:cs="仿宋"/>
          <w:b/>
          <w:bCs/>
          <w:color w:val="auto"/>
          <w:sz w:val="28"/>
          <w:szCs w:val="28"/>
          <w:highlight w:val="none"/>
          <w:u w:val="none"/>
          <w:vertAlign w:val="baseline"/>
          <w:lang w:val="en-US" w:eastAsia="zh-CN"/>
        </w:rPr>
        <w:t>1.8</w:t>
      </w:r>
      <w:r>
        <w:rPr>
          <w:rFonts w:hint="eastAsia" w:ascii="仿宋" w:hAnsi="仿宋" w:eastAsia="仿宋" w:cs="仿宋"/>
          <w:b/>
          <w:bCs/>
          <w:i w:val="0"/>
          <w:iCs w:val="0"/>
          <w:color w:val="auto"/>
          <w:sz w:val="28"/>
          <w:szCs w:val="28"/>
          <w:highlight w:val="none"/>
        </w:rPr>
        <w:t>乙方已充分了解工程现场实际情况</w:t>
      </w:r>
      <w:r>
        <w:rPr>
          <w:rFonts w:hint="eastAsia" w:ascii="仿宋" w:hAnsi="仿宋" w:eastAsia="仿宋" w:cs="仿宋"/>
          <w:b/>
          <w:bCs/>
          <w:color w:val="auto"/>
          <w:sz w:val="28"/>
          <w:szCs w:val="28"/>
          <w:highlight w:val="none"/>
          <w:u w:val="none"/>
          <w:vertAlign w:val="baseline"/>
          <w:lang w:val="en-US" w:eastAsia="zh-CN"/>
        </w:rPr>
        <w:t>，本合同单价已包含乙方按甲方要求配桩，配桩不另计费。</w:t>
      </w:r>
    </w:p>
    <w:p w14:paraId="1C2EC2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default" w:ascii="仿宋" w:hAnsi="仿宋" w:eastAsia="仿宋" w:cs="仿宋"/>
          <w:color w:val="auto"/>
          <w:sz w:val="28"/>
          <w:szCs w:val="28"/>
          <w:highlight w:val="none"/>
          <w:u w:val="none"/>
          <w:vertAlign w:val="baseline"/>
          <w:lang w:val="en-US" w:eastAsia="zh-CN"/>
        </w:rPr>
      </w:pPr>
      <w:r>
        <w:rPr>
          <w:rFonts w:hint="eastAsia" w:ascii="仿宋" w:hAnsi="仿宋" w:eastAsia="仿宋" w:cs="仿宋"/>
          <w:b/>
          <w:bCs/>
          <w:color w:val="auto"/>
          <w:sz w:val="28"/>
          <w:szCs w:val="28"/>
          <w:highlight w:val="none"/>
          <w:u w:val="none"/>
          <w:vertAlign w:val="baseline"/>
          <w:lang w:val="en-US" w:eastAsia="zh-CN"/>
        </w:rPr>
        <w:t>1.9本项目桩基础工程施工过程中，如乙方所供产品发生断桩、爆桩等问题影响施工的，乙方无条件自甲方通知起2小时内补齐施工所需产品至本项目，每延迟一小时送达的，乙方向甲方承担违约金伍仟元，延迟五小时以上的，甲方有权另行向其他单位采购产品，相关费用由乙方承担。乙方补齐产品给甲方后，甲乙双方及桩基础施工单位共同对产品问题及责任归属进行分析、界定，除非乙方能在问题发生之日起21个日历天内证明乙方无责并获得甲方书面认可，否则乙方承担全部责任及费用（包括甲方因此产生的所有损失、费用等）</w:t>
      </w:r>
      <w:r>
        <w:rPr>
          <w:rFonts w:hint="eastAsia" w:ascii="仿宋" w:hAnsi="仿宋" w:eastAsia="仿宋" w:cs="仿宋"/>
          <w:b/>
          <w:bCs/>
          <w:color w:val="auto"/>
          <w:sz w:val="28"/>
          <w:highlight w:val="none"/>
          <w:u w:val="none"/>
          <w:lang w:val="en-US" w:eastAsia="zh-CN"/>
        </w:rPr>
        <w:t>。</w:t>
      </w:r>
    </w:p>
    <w:p w14:paraId="0D5F897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highlight w:val="none"/>
          <w:lang w:eastAsia="zh-CN"/>
        </w:rPr>
      </w:pPr>
      <w:bookmarkStart w:id="3" w:name="_Toc24462"/>
      <w:bookmarkStart w:id="4" w:name="_Toc15972"/>
      <w:r>
        <w:rPr>
          <w:rFonts w:hint="eastAsia" w:ascii="仿宋" w:hAnsi="仿宋" w:eastAsia="仿宋" w:cs="仿宋"/>
          <w:b/>
          <w:bCs/>
          <w:color w:val="auto"/>
          <w:sz w:val="28"/>
          <w:highlight w:val="none"/>
          <w:lang w:val="en-US" w:eastAsia="zh-CN"/>
        </w:rPr>
        <w:t>第二章、</w:t>
      </w:r>
      <w:r>
        <w:rPr>
          <w:rFonts w:hint="eastAsia" w:ascii="仿宋" w:hAnsi="仿宋" w:eastAsia="仿宋" w:cs="仿宋"/>
          <w:b/>
          <w:bCs/>
          <w:color w:val="auto"/>
          <w:sz w:val="28"/>
          <w:highlight w:val="none"/>
        </w:rPr>
        <w:t>付款方式</w:t>
      </w:r>
      <w:bookmarkEnd w:id="3"/>
      <w:bookmarkEnd w:id="4"/>
    </w:p>
    <w:p w14:paraId="0CF52A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2.1</w:t>
      </w:r>
      <w:r>
        <w:rPr>
          <w:rFonts w:hint="eastAsia" w:ascii="仿宋" w:hAnsi="仿宋" w:eastAsia="仿宋" w:cs="仿宋"/>
          <w:color w:val="auto"/>
          <w:sz w:val="28"/>
          <w:highlight w:val="none"/>
          <w:lang w:eastAsia="zh-CN"/>
        </w:rPr>
        <w:t>本</w:t>
      </w:r>
      <w:r>
        <w:rPr>
          <w:rFonts w:hint="eastAsia" w:ascii="仿宋" w:hAnsi="仿宋" w:eastAsia="仿宋" w:cs="仿宋"/>
          <w:color w:val="auto"/>
          <w:sz w:val="28"/>
          <w:highlight w:val="none"/>
          <w:lang w:val="en-US" w:eastAsia="zh-CN"/>
        </w:rPr>
        <w:t>合同款项按以下办法支付</w:t>
      </w:r>
    </w:p>
    <w:p w14:paraId="683F10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办法一、有预付款：</w:t>
      </w:r>
    </w:p>
    <w:p w14:paraId="3D7275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2.1.1本合同生效后，甲方向乙方支付合同暂定总价的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%（其中合同暂定总价的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%作为定金，其余款项为预付款）。合同履行后，定金、预付款均抵作合同款。</w:t>
      </w:r>
    </w:p>
    <w:p w14:paraId="3BCDB2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2.1.2产品到齐甲方指定交货地点经甲方验收合格并移交甲方，甲方收齐金额等于结算款的全额发票等相关资料后付至合同结算总价的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w:t>
      </w:r>
    </w:p>
    <w:p w14:paraId="7BBA5B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2.1.3合同结算总价的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%作为产品保修金，保修期满且乙方取得“保修合格证明”后，双方无息结清保修金。</w:t>
      </w:r>
    </w:p>
    <w:p w14:paraId="3F7314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办法二、月结，无预付款：</w:t>
      </w:r>
    </w:p>
    <w:p w14:paraId="61D429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每月货款下月支付，具体为：乙方按合同约定的时间交齐上月货款对账资料且与甲方完成对账后，甲方支付上月货款的97%，上月货款的3%作为产品保修金，保修期满且乙方取得“保修合格证明”后，双方无息结清保修金。乙方逾期交齐对账资料或完成对账的，付款日期顺延至货款完成对账月份的下月底前。</w:t>
      </w:r>
    </w:p>
    <w:p w14:paraId="658EFF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2.1.2对账日期为每月3日至每月8日。乙方在每月3日前一次性交齐上月供货产品的对账资料至甲方项目部，双方在每月8日前（遇节假日则顺延）完成对账，如乙方逾期交齐对账资料，则对账日期顺延至次月的3日至8日。次月乙方对账还须提供“同意延迟付款声明函”（格式详见附件二）给甲方，以此类推。(例：乙方在6月3日前交齐5月份货款的对账资料给甲方项目部并在6月8日完成对账的，则甲方在6月30日前支付5月份货款的97%，余款作为保修金；若乙方6月4日（或更迟）交齐5月份货款的对账资料给甲方，则5月份货款的对账时间顺延至7月3日至8日，付款时间顺延至7月31日前，以此类推。)</w:t>
      </w:r>
    </w:p>
    <w:p w14:paraId="77CA83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w:char="00FE"/>
      </w:r>
      <w:r>
        <w:rPr>
          <w:rFonts w:hint="eastAsia" w:ascii="仿宋" w:hAnsi="仿宋" w:eastAsia="仿宋" w:cs="仿宋"/>
          <w:color w:val="auto"/>
          <w:sz w:val="28"/>
          <w:highlight w:val="none"/>
          <w:u w:val="none"/>
          <w:lang w:val="en-US" w:eastAsia="zh-CN"/>
        </w:rPr>
        <w:t>办法三：</w:t>
      </w:r>
    </w:p>
    <w:p w14:paraId="607FF6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lang w:val="en-US" w:eastAsia="zh-CN"/>
        </w:rPr>
      </w:pPr>
      <w:r>
        <w:rPr>
          <w:rFonts w:hint="eastAsia" w:ascii="仿宋" w:hAnsi="仿宋" w:eastAsia="仿宋" w:cs="仿宋"/>
          <w:color w:val="auto"/>
          <w:sz w:val="28"/>
          <w:highlight w:val="none"/>
          <w:u w:val="single"/>
          <w:lang w:val="en-US" w:eastAsia="zh-CN"/>
        </w:rPr>
        <w:t>（</w:t>
      </w:r>
      <w:r>
        <w:rPr>
          <w:rFonts w:hint="eastAsia" w:ascii="仿宋" w:hAnsi="仿宋" w:eastAsia="仿宋" w:cs="仿宋"/>
          <w:b/>
          <w:bCs/>
          <w:color w:val="auto"/>
          <w:sz w:val="28"/>
          <w:highlight w:val="none"/>
          <w:u w:val="single"/>
          <w:lang w:val="en-US" w:eastAsia="zh-CN"/>
        </w:rPr>
        <w:t>若为款清发货，则每次付款前乙方须先提供发票给甲方</w:t>
      </w:r>
      <w:r>
        <w:rPr>
          <w:rFonts w:hint="eastAsia" w:ascii="仿宋" w:hAnsi="仿宋" w:eastAsia="仿宋" w:cs="仿宋"/>
          <w:color w:val="auto"/>
          <w:sz w:val="28"/>
          <w:highlight w:val="none"/>
          <w:u w:val="single"/>
          <w:lang w:val="en-US" w:eastAsia="zh-CN"/>
        </w:rPr>
        <w:t>）；</w:t>
      </w:r>
    </w:p>
    <w:p w14:paraId="0E31D7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对账资料：乙方每次对账须提供：下料订单（即甲方物料申购单）、乙方对账单（结算单）、本合同复印件（含调价函）、材料签收单、乙方送货单（发货单）、材料收货水印照片、材料款申报审批表、款项支付台账、供应商月度对账单、结清承诺书。</w:t>
      </w:r>
    </w:p>
    <w:p w14:paraId="4AE001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2.1.3.1对账资料具体要求：</w:t>
      </w:r>
    </w:p>
    <w:p w14:paraId="6D91E7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①乙方对账单（结算单）：该单据须盖乙方公章及乙方人员签名和注明日期，经甲方人员（甲方合同执行联系人、甲方仓管员）核对无误后签名和注明日期，原则上款项内容处填写的对账日期应与签注的日期一致。</w:t>
      </w:r>
    </w:p>
    <w:p w14:paraId="606B83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②本合同复印件（含调价函）：合同复印件以签公章完毕的为准，包括本合同及附属补充协议；调价函及调税率函以适用的为准，过期或者不适用的不附，以加盖双方公章的为准。如不调价/调税，则无需提供。</w:t>
      </w:r>
    </w:p>
    <w:p w14:paraId="063185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③材料签收单：注明材料/产品所用项目、地块、第几期，并正确填写日期、乙方公司全称、材料名称、规格型号、数量及金额等信息，不得随意修改或涂划，若确有修改，则在需修正数据旁进行修正并附甲方合同执行联系人、甲方仓管员、乙方送货员、乙方合同授权代表签字，有规定的同时按相关规定签认。</w:t>
      </w:r>
    </w:p>
    <w:p w14:paraId="1A923E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④乙方送货单（发货单）：此单据须盖乙方公章及甲乙双方人员（甲方合同执行联系人、甲方仓管员、乙方送货员、乙方合同授权代表）签字。</w:t>
      </w:r>
    </w:p>
    <w:p w14:paraId="42EB11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⑤材料收货水印照片：含甲乙双方产品签收人员合影，产品卸货前后对比照片，产品实物规格、品牌等参数照片，运输车辆、车牌信息照片，卸货现场工程背景照片，所有照片均要由水印备注，水印要有项目地址定位和拍照时间、日期。</w:t>
      </w:r>
    </w:p>
    <w:p w14:paraId="0E620687">
      <w:pPr>
        <w:pStyle w:val="8"/>
        <w:keepNext w:val="0"/>
        <w:keepLines w:val="0"/>
        <w:pageBreakBefore w:val="0"/>
        <w:wordWrap/>
        <w:topLinePunct w:val="0"/>
        <w:bidi w:val="0"/>
        <w:snapToGrid/>
        <w:spacing w:line="360" w:lineRule="auto"/>
        <w:textAlignment w:val="auto"/>
        <w:rPr>
          <w:rFonts w:hint="eastAsia"/>
          <w:color w:val="auto"/>
          <w:highlight w:val="none"/>
          <w:lang w:val="en-US" w:eastAsia="zh-CN"/>
        </w:rPr>
      </w:pPr>
      <w:r>
        <w:rPr>
          <w:rFonts w:hint="eastAsia" w:ascii="仿宋" w:hAnsi="仿宋" w:eastAsia="仿宋" w:cs="仿宋"/>
          <w:color w:val="auto"/>
          <w:kern w:val="2"/>
          <w:sz w:val="28"/>
          <w:szCs w:val="24"/>
          <w:highlight w:val="none"/>
          <w:u w:val="none"/>
          <w:lang w:val="en-US" w:eastAsia="zh-CN" w:bidi="ar-SA"/>
        </w:rPr>
        <w:t>⑥结清承诺书：格式详见附件一。</w:t>
      </w:r>
    </w:p>
    <w:p w14:paraId="0B904E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⑦</w:t>
      </w:r>
      <w:r>
        <w:rPr>
          <w:rFonts w:hint="eastAsia" w:ascii="仿宋" w:hAnsi="仿宋" w:eastAsia="仿宋" w:cs="仿宋"/>
          <w:color w:val="auto"/>
          <w:kern w:val="2"/>
          <w:sz w:val="28"/>
          <w:szCs w:val="24"/>
          <w:highlight w:val="none"/>
          <w:u w:val="none"/>
          <w:lang w:val="en-US" w:eastAsia="zh-CN" w:bidi="ar-SA"/>
        </w:rPr>
        <w:t>材料款申报审批表：格式详见附件三。</w:t>
      </w:r>
    </w:p>
    <w:p w14:paraId="3FB74A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⑧</w:t>
      </w:r>
      <w:r>
        <w:rPr>
          <w:rFonts w:hint="eastAsia" w:ascii="仿宋" w:hAnsi="仿宋" w:eastAsia="仿宋" w:cs="仿宋"/>
          <w:color w:val="auto"/>
          <w:sz w:val="28"/>
          <w:highlight w:val="none"/>
          <w:u w:val="none"/>
          <w:lang w:val="en-US" w:eastAsia="zh-CN"/>
        </w:rPr>
        <w:t>款项支付台账：格式详见附件四。</w:t>
      </w:r>
    </w:p>
    <w:p w14:paraId="02B124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⑨供应商月度对账单：格式详见附件五。</w:t>
      </w:r>
    </w:p>
    <w:p w14:paraId="567006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2</w:t>
      </w:r>
      <w:r>
        <w:rPr>
          <w:rFonts w:hint="default" w:ascii="仿宋" w:hAnsi="仿宋" w:eastAsia="仿宋" w:cs="仿宋"/>
          <w:color w:val="auto"/>
          <w:sz w:val="28"/>
          <w:highlight w:val="none"/>
          <w:u w:val="none"/>
          <w:lang w:val="en-US" w:eastAsia="zh-CN"/>
        </w:rPr>
        <w:t>付款</w:t>
      </w:r>
      <w:r>
        <w:rPr>
          <w:rFonts w:hint="eastAsia" w:ascii="仿宋" w:hAnsi="仿宋" w:eastAsia="仿宋" w:cs="仿宋"/>
          <w:color w:val="auto"/>
          <w:sz w:val="28"/>
          <w:highlight w:val="none"/>
          <w:u w:val="none"/>
          <w:lang w:val="en-US" w:eastAsia="zh-CN"/>
        </w:rPr>
        <w:t>形</w:t>
      </w:r>
      <w:r>
        <w:rPr>
          <w:rFonts w:hint="default" w:ascii="仿宋" w:hAnsi="仿宋" w:eastAsia="仿宋" w:cs="仿宋"/>
          <w:color w:val="auto"/>
          <w:sz w:val="28"/>
          <w:highlight w:val="none"/>
          <w:u w:val="none"/>
          <w:lang w:val="en-US" w:eastAsia="zh-CN"/>
        </w:rPr>
        <w:t>式：优先使用网银、银行承兑汇票等，支票、电汇视情况而定。甲方</w:t>
      </w:r>
      <w:r>
        <w:rPr>
          <w:rFonts w:hint="eastAsia" w:ascii="仿宋" w:hAnsi="仿宋" w:eastAsia="仿宋" w:cs="仿宋"/>
          <w:color w:val="auto"/>
          <w:sz w:val="28"/>
          <w:highlight w:val="none"/>
          <w:u w:val="none"/>
          <w:lang w:val="en-US" w:eastAsia="zh-CN"/>
        </w:rPr>
        <w:t>以</w:t>
      </w:r>
      <w:r>
        <w:rPr>
          <w:rFonts w:hint="default" w:ascii="仿宋" w:hAnsi="仿宋" w:eastAsia="仿宋" w:cs="仿宋"/>
          <w:color w:val="auto"/>
          <w:sz w:val="28"/>
          <w:highlight w:val="none"/>
          <w:u w:val="none"/>
          <w:lang w:val="en-US" w:eastAsia="zh-CN"/>
        </w:rPr>
        <w:t>其中任意一种支付</w:t>
      </w:r>
      <w:r>
        <w:rPr>
          <w:rFonts w:hint="eastAsia" w:ascii="仿宋" w:hAnsi="仿宋" w:eastAsia="仿宋" w:cs="仿宋"/>
          <w:color w:val="auto"/>
          <w:sz w:val="28"/>
          <w:highlight w:val="none"/>
          <w:u w:val="none"/>
          <w:lang w:val="en-US" w:eastAsia="zh-CN"/>
        </w:rPr>
        <w:t>形</w:t>
      </w:r>
      <w:r>
        <w:rPr>
          <w:rFonts w:hint="default" w:ascii="仿宋" w:hAnsi="仿宋" w:eastAsia="仿宋" w:cs="仿宋"/>
          <w:color w:val="auto"/>
          <w:sz w:val="28"/>
          <w:highlight w:val="none"/>
          <w:u w:val="none"/>
          <w:lang w:val="en-US" w:eastAsia="zh-CN"/>
        </w:rPr>
        <w:t>式给乙方</w:t>
      </w:r>
      <w:r>
        <w:rPr>
          <w:rFonts w:hint="eastAsia" w:ascii="仿宋" w:hAnsi="仿宋" w:eastAsia="仿宋" w:cs="仿宋"/>
          <w:color w:val="auto"/>
          <w:sz w:val="28"/>
          <w:highlight w:val="none"/>
          <w:u w:val="none"/>
          <w:lang w:val="en-US" w:eastAsia="zh-CN"/>
        </w:rPr>
        <w:t>合同</w:t>
      </w:r>
      <w:r>
        <w:rPr>
          <w:rFonts w:hint="default" w:ascii="仿宋" w:hAnsi="仿宋" w:eastAsia="仿宋" w:cs="仿宋"/>
          <w:color w:val="auto"/>
          <w:sz w:val="28"/>
          <w:highlight w:val="none"/>
          <w:u w:val="none"/>
          <w:lang w:val="en-US" w:eastAsia="zh-CN"/>
        </w:rPr>
        <w:t>款，均视为乙方收到该</w:t>
      </w:r>
      <w:r>
        <w:rPr>
          <w:rFonts w:hint="eastAsia" w:ascii="仿宋" w:hAnsi="仿宋" w:eastAsia="仿宋" w:cs="仿宋"/>
          <w:color w:val="auto"/>
          <w:sz w:val="28"/>
          <w:highlight w:val="none"/>
          <w:u w:val="none"/>
          <w:lang w:val="en-US" w:eastAsia="zh-CN"/>
        </w:rPr>
        <w:t>合同</w:t>
      </w:r>
      <w:r>
        <w:rPr>
          <w:rFonts w:hint="default" w:ascii="仿宋" w:hAnsi="仿宋" w:eastAsia="仿宋" w:cs="仿宋"/>
          <w:color w:val="auto"/>
          <w:sz w:val="28"/>
          <w:highlight w:val="none"/>
          <w:u w:val="none"/>
          <w:lang w:val="en-US" w:eastAsia="zh-CN"/>
        </w:rPr>
        <w:t>款。</w:t>
      </w:r>
    </w:p>
    <w:p w14:paraId="398DBD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2.3发票要求：双方对账完成后，甲方项目部通知乙方开票，乙方开具的发票内容须与合同约定内容一致，乙方每次开票金额必须与当次对账金额保持一致而不是按当次请款金额一致。且乙方按甲方要求分项目、分地块、分楼栋分别开具发票，否则视为乙方逾期提供发票给甲方，属乙方违约，甲方有权不付款。乙方逾期提供合格发票的，在提供合格发票时须同时提供“同意延迟付款声明函”（格式详见附件二），同时甲方按签收合格发票之日起顺延相应日历天付款，不属甲方违约。甲方付款顺延相应日历天数=甲方实际签收合格发票日-甲方约定签收合格发票日。</w:t>
      </w:r>
      <w:r>
        <w:rPr>
          <w:rFonts w:hint="eastAsia" w:ascii="仿宋" w:hAnsi="仿宋" w:eastAsia="仿宋" w:cs="仿宋"/>
          <w:color w:val="auto"/>
          <w:sz w:val="28"/>
          <w:highlight w:val="none"/>
          <w:u w:val="none"/>
        </w:rPr>
        <w:t>如甲方</w:t>
      </w:r>
      <w:r>
        <w:rPr>
          <w:rFonts w:hint="eastAsia" w:ascii="仿宋" w:hAnsi="仿宋" w:eastAsia="仿宋" w:cs="仿宋"/>
          <w:color w:val="auto"/>
          <w:sz w:val="28"/>
          <w:highlight w:val="none"/>
          <w:u w:val="none"/>
          <w:lang w:val="en-US" w:eastAsia="zh-CN"/>
        </w:rPr>
        <w:t>因特殊原因未收发票却已付</w:t>
      </w:r>
      <w:r>
        <w:rPr>
          <w:rFonts w:hint="eastAsia" w:ascii="仿宋" w:hAnsi="仿宋" w:eastAsia="仿宋" w:cs="仿宋"/>
          <w:color w:val="auto"/>
          <w:sz w:val="28"/>
          <w:highlight w:val="none"/>
          <w:u w:val="none"/>
        </w:rPr>
        <w:t>款，</w:t>
      </w:r>
      <w:r>
        <w:rPr>
          <w:rFonts w:hint="eastAsia" w:ascii="仿宋" w:hAnsi="仿宋" w:eastAsia="仿宋" w:cs="仿宋"/>
          <w:color w:val="auto"/>
          <w:sz w:val="28"/>
          <w:highlight w:val="none"/>
          <w:u w:val="none"/>
          <w:lang w:val="en-US" w:eastAsia="zh-CN"/>
        </w:rPr>
        <w:t>但</w:t>
      </w:r>
      <w:r>
        <w:rPr>
          <w:rFonts w:hint="eastAsia" w:ascii="仿宋" w:hAnsi="仿宋" w:eastAsia="仿宋" w:cs="仿宋"/>
          <w:color w:val="auto"/>
          <w:sz w:val="28"/>
          <w:highlight w:val="none"/>
          <w:u w:val="none"/>
          <w:lang w:eastAsia="zh-CN"/>
        </w:rPr>
        <w:t>乙方逾期</w:t>
      </w:r>
      <w:r>
        <w:rPr>
          <w:rFonts w:hint="eastAsia" w:ascii="仿宋" w:hAnsi="仿宋" w:eastAsia="仿宋" w:cs="仿宋"/>
          <w:color w:val="auto"/>
          <w:sz w:val="28"/>
          <w:highlight w:val="none"/>
          <w:u w:val="none"/>
        </w:rPr>
        <w:t>提供</w:t>
      </w:r>
      <w:r>
        <w:rPr>
          <w:rFonts w:hint="eastAsia" w:ascii="仿宋" w:hAnsi="仿宋" w:eastAsia="仿宋" w:cs="仿宋"/>
          <w:color w:val="auto"/>
          <w:sz w:val="28"/>
          <w:highlight w:val="none"/>
          <w:u w:val="none"/>
          <w:lang w:eastAsia="zh-CN"/>
        </w:rPr>
        <w:t>发票</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lang w:eastAsia="zh-CN"/>
        </w:rPr>
        <w:t>，每逾期1个日历天</w:t>
      </w:r>
      <w:r>
        <w:rPr>
          <w:rFonts w:hint="eastAsia" w:ascii="仿宋" w:hAnsi="仿宋" w:eastAsia="仿宋" w:cs="仿宋"/>
          <w:color w:val="auto"/>
          <w:sz w:val="28"/>
          <w:highlight w:val="none"/>
          <w:u w:val="none"/>
        </w:rPr>
        <w:t>按合同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w:t>
      </w:r>
      <w:r>
        <w:rPr>
          <w:rFonts w:hint="eastAsia"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rPr>
        <w:t>%向甲方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如乙方经甲方书面催告后、超过5</w:t>
      </w:r>
      <w:r>
        <w:rPr>
          <w:rFonts w:hint="eastAsia" w:ascii="仿宋" w:hAnsi="仿宋" w:eastAsia="仿宋" w:cs="仿宋"/>
          <w:color w:val="auto"/>
          <w:sz w:val="28"/>
          <w:highlight w:val="none"/>
          <w:u w:val="none"/>
          <w:lang w:eastAsia="zh-CN"/>
        </w:rPr>
        <w:t>个日历天</w:t>
      </w:r>
      <w:r>
        <w:rPr>
          <w:rFonts w:hint="eastAsia" w:ascii="仿宋" w:hAnsi="仿宋" w:eastAsia="仿宋" w:cs="仿宋"/>
          <w:color w:val="auto"/>
          <w:sz w:val="28"/>
          <w:highlight w:val="none"/>
          <w:u w:val="none"/>
        </w:rPr>
        <w:t>仍不提供的，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另按</w:t>
      </w:r>
      <w:r>
        <w:rPr>
          <w:rFonts w:hint="eastAsia" w:ascii="仿宋" w:hAnsi="仿宋" w:eastAsia="仿宋" w:cs="仿宋"/>
          <w:color w:val="auto"/>
          <w:sz w:val="28"/>
          <w:highlight w:val="none"/>
          <w:u w:val="none"/>
        </w:rPr>
        <w:t>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总价的30%向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val="en-US" w:eastAsia="zh-CN"/>
        </w:rPr>
        <w:tab/>
      </w:r>
    </w:p>
    <w:p w14:paraId="37446B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收款账户</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rPr>
        <w:t>开户名称须与本合同</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名称、收款发票开具单位名称一致，否则</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有权不付款且不违约</w:t>
      </w:r>
      <w:r>
        <w:rPr>
          <w:rFonts w:hint="eastAsia" w:ascii="仿宋" w:hAnsi="仿宋" w:eastAsia="仿宋" w:cs="仿宋"/>
          <w:color w:val="auto"/>
          <w:sz w:val="28"/>
          <w:highlight w:val="none"/>
          <w:u w:val="none"/>
          <w:lang w:eastAsia="zh-CN"/>
        </w:rPr>
        <w:t>，直到乙方提供甲方认可的发票再计付款周期。如甲方发现乙方开具假发票，属乙方违约，乙方须书面向甲方承认开具假发票行为并重新开具合法发票，乙方开具假发票视</w:t>
      </w:r>
      <w:r>
        <w:rPr>
          <w:rFonts w:hint="eastAsia" w:ascii="仿宋" w:hAnsi="仿宋" w:eastAsia="仿宋" w:cs="仿宋"/>
          <w:color w:val="auto"/>
          <w:sz w:val="28"/>
          <w:highlight w:val="none"/>
          <w:u w:val="none"/>
          <w:lang w:val="en-US" w:eastAsia="zh-CN"/>
        </w:rPr>
        <w:t>为</w:t>
      </w:r>
      <w:r>
        <w:rPr>
          <w:rFonts w:hint="eastAsia" w:ascii="仿宋" w:hAnsi="仿宋" w:eastAsia="仿宋" w:cs="仿宋"/>
          <w:color w:val="auto"/>
          <w:sz w:val="28"/>
          <w:highlight w:val="none"/>
          <w:u w:val="none"/>
          <w:lang w:eastAsia="zh-CN"/>
        </w:rPr>
        <w:t>乙方逾期提供发票，违约金</w:t>
      </w:r>
      <w:r>
        <w:rPr>
          <w:rFonts w:hint="eastAsia" w:ascii="仿宋" w:hAnsi="仿宋" w:eastAsia="仿宋" w:cs="仿宋"/>
          <w:b w:val="0"/>
          <w:bCs w:val="0"/>
          <w:color w:val="auto"/>
          <w:sz w:val="28"/>
          <w:highlight w:val="none"/>
          <w:u w:val="none"/>
          <w:lang w:eastAsia="zh-CN"/>
        </w:rPr>
        <w:t>按</w:t>
      </w:r>
      <w:r>
        <w:rPr>
          <w:rFonts w:hint="eastAsia" w:ascii="仿宋" w:hAnsi="仿宋" w:eastAsia="仿宋" w:cs="仿宋"/>
          <w:b w:val="0"/>
          <w:bCs w:val="0"/>
          <w:color w:val="auto"/>
          <w:sz w:val="28"/>
          <w:highlight w:val="none"/>
          <w:u w:val="single"/>
          <w:lang w:val="en-US" w:eastAsia="zh-CN"/>
        </w:rPr>
        <w:t>2.3条款</w:t>
      </w:r>
      <w:r>
        <w:rPr>
          <w:rFonts w:hint="eastAsia" w:ascii="仿宋" w:hAnsi="仿宋" w:eastAsia="仿宋" w:cs="仿宋"/>
          <w:b w:val="0"/>
          <w:bCs w:val="0"/>
          <w:color w:val="auto"/>
          <w:sz w:val="28"/>
          <w:highlight w:val="none"/>
          <w:u w:val="none"/>
          <w:lang w:eastAsia="zh-CN"/>
        </w:rPr>
        <w:t>逾</w:t>
      </w:r>
      <w:r>
        <w:rPr>
          <w:rFonts w:hint="eastAsia" w:ascii="仿宋" w:hAnsi="仿宋" w:eastAsia="仿宋" w:cs="仿宋"/>
          <w:color w:val="auto"/>
          <w:sz w:val="28"/>
          <w:highlight w:val="none"/>
          <w:u w:val="none"/>
          <w:lang w:eastAsia="zh-CN"/>
        </w:rPr>
        <w:t>期提供发票</w:t>
      </w:r>
      <w:r>
        <w:rPr>
          <w:rFonts w:hint="eastAsia" w:ascii="仿宋" w:hAnsi="仿宋" w:eastAsia="仿宋" w:cs="仿宋"/>
          <w:color w:val="auto"/>
          <w:sz w:val="28"/>
          <w:highlight w:val="none"/>
          <w:u w:val="none"/>
          <w:lang w:val="en-US" w:eastAsia="zh-CN"/>
        </w:rPr>
        <w:t>计算</w:t>
      </w:r>
      <w:r>
        <w:rPr>
          <w:rFonts w:hint="eastAsia" w:ascii="仿宋" w:hAnsi="仿宋" w:eastAsia="仿宋" w:cs="仿宋"/>
          <w:color w:val="auto"/>
          <w:sz w:val="28"/>
          <w:highlight w:val="none"/>
          <w:u w:val="none"/>
          <w:lang w:eastAsia="zh-CN"/>
        </w:rPr>
        <w:t>。因乙方提供</w:t>
      </w:r>
      <w:r>
        <w:rPr>
          <w:rFonts w:hint="eastAsia" w:ascii="仿宋" w:hAnsi="仿宋" w:eastAsia="仿宋" w:cs="仿宋"/>
          <w:color w:val="auto"/>
          <w:sz w:val="28"/>
          <w:highlight w:val="none"/>
          <w:u w:val="none"/>
          <w:lang w:val="en-US" w:eastAsia="zh-CN"/>
        </w:rPr>
        <w:t>假发票行为导致的不良后果，包括但不限于行政处罚或使甲方遭受损失等所有费用及损失由乙方全部承担。</w:t>
      </w:r>
    </w:p>
    <w:p w14:paraId="0CE2E0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2.5乙方必须按税法规定的四流合一执行合同，即合同流、货物流、发票流、资金流一致，否则视为乙方违约，且由乙方承担所有责任及损失，直至满足四流合一后甲方才予付款。</w:t>
      </w:r>
    </w:p>
    <w:p w14:paraId="136ECD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2.6乙方每次向甲方请款时，须按甲方要求注明该次请款所含的每个组团、每个地块、每栋楼具体金额，并提供符合合同约定的发票给甲方，否则甲方有权不付款且不违约。</w:t>
      </w:r>
    </w:p>
    <w:p w14:paraId="5D8EA839">
      <w:pPr>
        <w:pStyle w:val="8"/>
        <w:keepNext w:val="0"/>
        <w:keepLines w:val="0"/>
        <w:pageBreakBefore w:val="0"/>
        <w:wordWrap/>
        <w:topLinePunct w:val="0"/>
        <w:bidi w:val="0"/>
        <w:snapToGrid/>
        <w:spacing w:line="360" w:lineRule="auto"/>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sz w:val="28"/>
          <w:highlight w:val="none"/>
          <w:u w:val="none"/>
          <w:lang w:val="en-US" w:eastAsia="zh-CN"/>
        </w:rPr>
        <w:t>2.7</w:t>
      </w:r>
      <w:r>
        <w:rPr>
          <w:rFonts w:hint="eastAsia" w:ascii="仿宋" w:hAnsi="仿宋" w:eastAsia="仿宋" w:cs="仿宋"/>
          <w:color w:val="auto"/>
          <w:kern w:val="2"/>
          <w:sz w:val="28"/>
          <w:szCs w:val="24"/>
          <w:highlight w:val="none"/>
          <w:u w:val="none"/>
          <w:lang w:val="en-US" w:eastAsia="zh-CN" w:bidi="ar-SA"/>
        </w:rPr>
        <w:t>乙方报送甲方的送货单、对账单等单据中，表述的各种违背本合同约定的内容均无效，乙方承诺均按本合同执行。</w:t>
      </w:r>
    </w:p>
    <w:p w14:paraId="2A3B75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2.8如甲乙双方对付款金额/结算金额产生争议，甲方有权暂缓付款且不违约，甲方无需向乙方支付违约金或利息，直至双方达成一致意见后方可按甲方相应流程办理付款手续。</w:t>
      </w:r>
    </w:p>
    <w:p w14:paraId="6260B7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2.9甲方支付完任一批次货款（不含保修金）后或甲乙双方完成本合同货款结算或甲方支付完货款（不含保修金）后，视为乙方关于除保修金外的合同款支付事宜的全部权利消灭，乙方不得再基于合同款支付事宜向甲方提出任何权利主张或追索其他任何费用。</w:t>
      </w:r>
    </w:p>
    <w:p w14:paraId="204518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2.10履行本合同过程中，凡甲方收取的款项（包括但不限于：各类押金、保证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3C3325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color w:val="auto"/>
          <w:sz w:val="28"/>
          <w:highlight w:val="none"/>
          <w:lang w:val="en-US" w:eastAsia="zh-CN"/>
        </w:rPr>
      </w:pPr>
      <w:bookmarkStart w:id="5" w:name="_Toc13709"/>
      <w:bookmarkStart w:id="6" w:name="_Toc30544"/>
      <w:r>
        <w:rPr>
          <w:rFonts w:hint="eastAsia" w:ascii="仿宋" w:hAnsi="仿宋" w:eastAsia="仿宋" w:cs="仿宋"/>
          <w:b/>
          <w:bCs/>
          <w:color w:val="auto"/>
          <w:sz w:val="28"/>
          <w:highlight w:val="none"/>
          <w:lang w:val="en-US" w:eastAsia="zh-CN"/>
        </w:rPr>
        <w:t>第三章、产品</w:t>
      </w:r>
      <w:r>
        <w:rPr>
          <w:rFonts w:hint="eastAsia" w:ascii="仿宋" w:hAnsi="仿宋" w:eastAsia="仿宋" w:cs="仿宋"/>
          <w:b/>
          <w:bCs/>
          <w:color w:val="auto"/>
          <w:sz w:val="28"/>
          <w:highlight w:val="none"/>
        </w:rPr>
        <w:t>质量</w:t>
      </w:r>
      <w:r>
        <w:rPr>
          <w:rFonts w:hint="eastAsia" w:ascii="仿宋" w:hAnsi="仿宋" w:eastAsia="仿宋" w:cs="仿宋"/>
          <w:b/>
          <w:bCs/>
          <w:color w:val="auto"/>
          <w:sz w:val="28"/>
          <w:highlight w:val="none"/>
          <w:lang w:val="en-US" w:eastAsia="zh-CN"/>
        </w:rPr>
        <w:t>及包装要求</w:t>
      </w:r>
      <w:bookmarkEnd w:id="5"/>
      <w:bookmarkEnd w:id="6"/>
    </w:p>
    <w:p w14:paraId="59D2B9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3.1质量要求</w:t>
      </w:r>
    </w:p>
    <w:p w14:paraId="0F4DBD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3.1.1</w:t>
      </w:r>
      <w:r>
        <w:rPr>
          <w:rFonts w:hint="eastAsia" w:ascii="仿宋" w:hAnsi="仿宋" w:eastAsia="仿宋" w:cs="仿宋"/>
          <w:color w:val="auto"/>
          <w:sz w:val="28"/>
          <w:highlight w:val="none"/>
        </w:rPr>
        <w:t>产品必须满足</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验收要求且符合</w:t>
      </w:r>
      <w:r>
        <w:rPr>
          <w:rFonts w:hint="eastAsia" w:ascii="仿宋" w:hAnsi="仿宋" w:eastAsia="仿宋" w:cs="仿宋"/>
          <w:color w:val="auto"/>
          <w:sz w:val="28"/>
          <w:highlight w:val="none"/>
          <w:lang w:eastAsia="zh-CN"/>
        </w:rPr>
        <w:t>产品使用地点政府主管部门的</w:t>
      </w:r>
      <w:r>
        <w:rPr>
          <w:rFonts w:hint="eastAsia" w:ascii="仿宋" w:hAnsi="仿宋" w:eastAsia="仿宋" w:cs="仿宋"/>
          <w:color w:val="auto"/>
          <w:sz w:val="28"/>
          <w:highlight w:val="none"/>
        </w:rPr>
        <w:t>相关质量</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验收规定，必须是全新的、未使用过的</w:t>
      </w:r>
      <w:r>
        <w:rPr>
          <w:rFonts w:hint="eastAsia" w:ascii="仿宋" w:hAnsi="仿宋" w:eastAsia="仿宋" w:cs="仿宋"/>
          <w:color w:val="auto"/>
          <w:sz w:val="28"/>
          <w:highlight w:val="none"/>
          <w:lang w:val="en-US" w:eastAsia="zh-CN"/>
        </w:rPr>
        <w:t>产品</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含产品</w:t>
      </w:r>
      <w:r>
        <w:rPr>
          <w:rFonts w:hint="eastAsia" w:ascii="仿宋" w:hAnsi="仿宋" w:eastAsia="仿宋" w:cs="仿宋"/>
          <w:color w:val="auto"/>
          <w:sz w:val="28"/>
          <w:highlight w:val="none"/>
        </w:rPr>
        <w:t>零件</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配件</w:t>
      </w:r>
      <w:r>
        <w:rPr>
          <w:rFonts w:hint="eastAsia" w:ascii="仿宋" w:hAnsi="仿宋" w:eastAsia="仿宋" w:cs="仿宋"/>
          <w:color w:val="auto"/>
          <w:sz w:val="28"/>
          <w:highlight w:val="none"/>
        </w:rPr>
        <w:t>)，</w:t>
      </w:r>
      <w:r>
        <w:rPr>
          <w:rFonts w:hint="eastAsia" w:ascii="仿宋" w:hAnsi="仿宋" w:eastAsia="仿宋" w:cs="仿宋"/>
          <w:color w:val="auto"/>
          <w:sz w:val="28"/>
          <w:highlight w:val="none"/>
          <w:u w:val="none"/>
        </w:rPr>
        <w:t>符合</w:t>
      </w:r>
      <w:r>
        <w:rPr>
          <w:rFonts w:hint="eastAsia" w:ascii="仿宋" w:hAnsi="仿宋" w:eastAsia="仿宋" w:cs="仿宋"/>
          <w:color w:val="auto"/>
          <w:sz w:val="28"/>
          <w:highlight w:val="none"/>
          <w:u w:val="none"/>
          <w:lang w:eastAsia="zh-CN"/>
        </w:rPr>
        <w:t>本</w:t>
      </w:r>
      <w:r>
        <w:rPr>
          <w:rFonts w:hint="eastAsia" w:ascii="仿宋" w:hAnsi="仿宋" w:eastAsia="仿宋" w:cs="仿宋"/>
          <w:color w:val="auto"/>
          <w:sz w:val="28"/>
          <w:highlight w:val="none"/>
          <w:u w:val="none"/>
        </w:rPr>
        <w:t>合同要求，符合原厂质量检测标准和国家质量检测标准、行业标准，不得</w:t>
      </w:r>
      <w:r>
        <w:rPr>
          <w:rFonts w:hint="eastAsia" w:ascii="仿宋" w:hAnsi="仿宋" w:eastAsia="仿宋" w:cs="仿宋"/>
          <w:color w:val="auto"/>
          <w:sz w:val="28"/>
          <w:highlight w:val="none"/>
        </w:rPr>
        <w:t>低于合格标准。进口的产品或零部件必须符合原产地</w:t>
      </w:r>
      <w:r>
        <w:rPr>
          <w:rFonts w:hint="eastAsia" w:ascii="仿宋" w:hAnsi="仿宋" w:eastAsia="仿宋" w:cs="仿宋"/>
          <w:color w:val="auto"/>
          <w:sz w:val="28"/>
          <w:highlight w:val="none"/>
          <w:lang w:val="en-US" w:eastAsia="zh-CN"/>
        </w:rPr>
        <w:t>的合格品要求</w:t>
      </w:r>
      <w:r>
        <w:rPr>
          <w:rFonts w:hint="eastAsia" w:ascii="仿宋" w:hAnsi="仿宋" w:eastAsia="仿宋" w:cs="仿宋"/>
          <w:color w:val="auto"/>
          <w:sz w:val="28"/>
          <w:highlight w:val="none"/>
        </w:rPr>
        <w:t>，须具有合法进口手续及通过国家相关主管部门的检验</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检测，</w:t>
      </w:r>
      <w:r>
        <w:rPr>
          <w:rFonts w:hint="eastAsia" w:ascii="仿宋" w:hAnsi="仿宋" w:eastAsia="仿宋" w:cs="仿宋"/>
          <w:color w:val="auto"/>
          <w:sz w:val="28"/>
          <w:highlight w:val="none"/>
        </w:rPr>
        <w:t>产品生产日期距到货（进场）日期不得超过3个月。</w:t>
      </w:r>
    </w:p>
    <w:p w14:paraId="498283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3.1.2</w:t>
      </w:r>
      <w:r>
        <w:rPr>
          <w:rFonts w:hint="eastAsia" w:ascii="仿宋" w:hAnsi="仿宋" w:eastAsia="仿宋" w:cs="仿宋"/>
          <w:color w:val="auto"/>
          <w:sz w:val="28"/>
          <w:highlight w:val="none"/>
          <w:u w:val="none"/>
          <w:vertAlign w:val="baseline"/>
          <w:lang w:val="en-US" w:eastAsia="zh-CN"/>
        </w:rPr>
        <w:t>进场产品必须与甲乙双方事先确认的样板相同，如不相同，乙方无条件按甲方要求更换或退货。本合同所述各种产品标准、规范的质量表述不一致时，按质量要求最高的表述执行。</w:t>
      </w:r>
    </w:p>
    <w:p w14:paraId="39023C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vertAlign w:val="baseline"/>
          <w:lang w:val="en-US" w:eastAsia="zh-CN"/>
        </w:rPr>
      </w:pPr>
      <w:r>
        <w:rPr>
          <w:rFonts w:hint="eastAsia" w:ascii="仿宋" w:hAnsi="仿宋" w:eastAsia="仿宋" w:cs="仿宋"/>
          <w:color w:val="auto"/>
          <w:sz w:val="28"/>
          <w:highlight w:val="none"/>
          <w:vertAlign w:val="baseline"/>
          <w:lang w:val="en-US" w:eastAsia="zh-CN"/>
        </w:rPr>
        <w:t>3.1.3其他需要约定的与产品质量相关的事项：</w:t>
      </w:r>
      <w:r>
        <w:rPr>
          <w:rFonts w:hint="eastAsia" w:ascii="仿宋" w:hAnsi="仿宋" w:eastAsia="仿宋" w:cs="仿宋"/>
          <w:color w:val="auto"/>
          <w:sz w:val="28"/>
          <w:highlight w:val="none"/>
          <w:u w:val="single"/>
          <w:vertAlign w:val="baseline"/>
          <w:lang w:val="en-US" w:eastAsia="zh-CN"/>
        </w:rPr>
        <w:t>（无）。</w:t>
      </w:r>
    </w:p>
    <w:p w14:paraId="459956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vertAlign w:val="baseline"/>
          <w:lang w:val="en-US" w:eastAsia="zh-CN"/>
        </w:rPr>
      </w:pPr>
      <w:r>
        <w:rPr>
          <w:rFonts w:hint="eastAsia" w:ascii="仿宋" w:hAnsi="仿宋" w:eastAsia="仿宋" w:cs="仿宋"/>
          <w:color w:val="auto"/>
          <w:sz w:val="28"/>
          <w:highlight w:val="none"/>
          <w:lang w:val="en-US" w:eastAsia="zh-CN"/>
        </w:rPr>
        <w:t>3.2产品包装要求：</w:t>
      </w:r>
      <w:r>
        <w:rPr>
          <w:rFonts w:hint="eastAsia" w:ascii="仿宋" w:hAnsi="仿宋" w:eastAsia="仿宋" w:cs="仿宋"/>
          <w:color w:val="auto"/>
          <w:sz w:val="28"/>
          <w:highlight w:val="none"/>
          <w:u w:val="single"/>
          <w:vertAlign w:val="baseline"/>
          <w:lang w:val="en-US" w:eastAsia="zh-CN"/>
        </w:rPr>
        <w:t>（无）。</w:t>
      </w:r>
    </w:p>
    <w:p w14:paraId="0EE6B5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3.3产品包装物归属：</w:t>
      </w:r>
      <w:r>
        <w:rPr>
          <w:rFonts w:hint="eastAsia" w:ascii="仿宋" w:hAnsi="仿宋" w:eastAsia="仿宋" w:cs="仿宋"/>
          <w:color w:val="auto"/>
          <w:sz w:val="28"/>
          <w:highlight w:val="none"/>
          <w:u w:val="none"/>
          <w:lang w:val="en-US" w:eastAsia="zh-CN"/>
        </w:rPr>
        <w:sym w:font="Wingdings" w:char="00FE"/>
      </w:r>
      <w:r>
        <w:rPr>
          <w:rFonts w:hint="eastAsia" w:ascii="仿宋" w:hAnsi="仿宋" w:eastAsia="仿宋" w:cs="仿宋"/>
          <w:color w:val="auto"/>
          <w:sz w:val="28"/>
          <w:highlight w:val="none"/>
          <w:u w:val="none"/>
          <w:lang w:val="en-US" w:eastAsia="zh-CN"/>
        </w:rPr>
        <w:t>乙方自行清运拉走，费用已含于合同单价中。</w:t>
      </w: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包装物归甲方所有，费用已含于合同单价中。</w:t>
      </w:r>
      <w:bookmarkStart w:id="7" w:name="_Toc23033"/>
    </w:p>
    <w:p w14:paraId="3B7149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default" w:ascii="仿宋" w:hAnsi="仿宋" w:eastAsia="仿宋" w:cs="仿宋"/>
          <w:b/>
          <w:bCs/>
          <w:color w:val="auto"/>
          <w:sz w:val="28"/>
          <w:highlight w:val="none"/>
          <w:lang w:val="en-US" w:eastAsia="zh-CN"/>
        </w:rPr>
      </w:pPr>
      <w:bookmarkStart w:id="8" w:name="_Toc14452"/>
      <w:r>
        <w:rPr>
          <w:rFonts w:hint="eastAsia" w:ascii="仿宋" w:hAnsi="仿宋" w:eastAsia="仿宋" w:cs="仿宋"/>
          <w:b/>
          <w:bCs/>
          <w:color w:val="auto"/>
          <w:sz w:val="28"/>
          <w:highlight w:val="none"/>
          <w:u w:val="none"/>
          <w:lang w:val="en-US" w:eastAsia="zh-CN"/>
        </w:rPr>
        <w:t>第四章、</w:t>
      </w:r>
      <w:r>
        <w:rPr>
          <w:rFonts w:hint="eastAsia" w:ascii="仿宋" w:hAnsi="仿宋" w:eastAsia="仿宋" w:cs="仿宋"/>
          <w:b/>
          <w:bCs/>
          <w:color w:val="auto"/>
          <w:sz w:val="28"/>
          <w:highlight w:val="none"/>
          <w:u w:val="none"/>
          <w:lang w:eastAsia="zh-CN"/>
        </w:rPr>
        <w:t>订货、</w:t>
      </w:r>
      <w:r>
        <w:rPr>
          <w:rFonts w:hint="eastAsia" w:ascii="仿宋" w:hAnsi="仿宋" w:eastAsia="仿宋" w:cs="仿宋"/>
          <w:b/>
          <w:bCs/>
          <w:color w:val="auto"/>
          <w:sz w:val="28"/>
          <w:highlight w:val="none"/>
        </w:rPr>
        <w:t>交货</w:t>
      </w:r>
      <w:bookmarkEnd w:id="7"/>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lang w:val="en-US" w:eastAsia="zh-CN"/>
        </w:rPr>
        <w:t>验收</w:t>
      </w:r>
      <w:bookmarkEnd w:id="8"/>
    </w:p>
    <w:p w14:paraId="299B89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b w:val="0"/>
          <w:bCs w:val="0"/>
          <w:color w:val="auto"/>
          <w:sz w:val="28"/>
          <w:highlight w:val="none"/>
          <w:lang w:val="en-US" w:eastAsia="zh-CN"/>
        </w:rPr>
        <w:t>4.1订单确认（详见附件七）方式：</w:t>
      </w:r>
      <w:r>
        <w:rPr>
          <w:rFonts w:hint="eastAsia" w:ascii="仿宋" w:hAnsi="仿宋" w:eastAsia="仿宋" w:cs="仿宋"/>
          <w:b w:val="0"/>
          <w:bCs w:val="0"/>
          <w:color w:val="auto"/>
          <w:sz w:val="28"/>
          <w:highlight w:val="none"/>
          <w:u w:val="single"/>
          <w:lang w:val="en-US" w:eastAsia="zh-CN"/>
        </w:rPr>
        <w:t>以甲方合同执行联系人书面通知为准，详见第4.4.1条约定</w:t>
      </w:r>
      <w:r>
        <w:rPr>
          <w:rFonts w:hint="eastAsia" w:ascii="仿宋" w:hAnsi="仿宋" w:eastAsia="仿宋" w:cs="仿宋"/>
          <w:b w:val="0"/>
          <w:bCs w:val="0"/>
          <w:color w:val="auto"/>
          <w:sz w:val="28"/>
          <w:highlight w:val="none"/>
          <w:lang w:val="en-US" w:eastAsia="zh-CN"/>
        </w:rPr>
        <w:t>。</w:t>
      </w:r>
    </w:p>
    <w:p w14:paraId="1A87CF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color w:val="auto"/>
          <w:sz w:val="28"/>
          <w:highlight w:val="none"/>
          <w:u w:val="single"/>
          <w:lang w:val="en-US" w:eastAsia="zh-CN"/>
        </w:rPr>
      </w:pPr>
      <w:r>
        <w:rPr>
          <w:rFonts w:hint="eastAsia" w:ascii="仿宋" w:hAnsi="仿宋" w:eastAsia="仿宋" w:cs="仿宋"/>
          <w:color w:val="auto"/>
          <w:sz w:val="28"/>
          <w:highlight w:val="none"/>
          <w:u w:val="none"/>
          <w:lang w:val="en-US" w:eastAsia="zh-CN"/>
        </w:rPr>
        <w:t>4.2</w:t>
      </w:r>
      <w:r>
        <w:rPr>
          <w:rFonts w:hint="eastAsia" w:ascii="仿宋" w:hAnsi="仿宋" w:eastAsia="仿宋" w:cs="仿宋"/>
          <w:color w:val="auto"/>
          <w:sz w:val="28"/>
          <w:highlight w:val="none"/>
        </w:rPr>
        <w:t>交货地点</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u w:val="single"/>
          <w:lang w:val="en-US" w:eastAsia="zh-CN"/>
        </w:rPr>
        <w:t xml:space="preserve">  甲方项目部指定的堆放位置</w:t>
      </w:r>
      <w:r>
        <w:rPr>
          <w:rFonts w:hint="eastAsia" w:ascii="仿宋" w:hAnsi="仿宋" w:eastAsia="仿宋" w:cs="仿宋"/>
          <w:b/>
          <w:bCs/>
          <w:color w:val="auto"/>
          <w:sz w:val="28"/>
          <w:highlight w:val="none"/>
          <w:u w:val="single"/>
          <w:lang w:val="en-US" w:eastAsia="zh-CN"/>
        </w:rPr>
        <w:t>。</w:t>
      </w:r>
    </w:p>
    <w:p w14:paraId="7C4031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color w:val="auto"/>
          <w:sz w:val="28"/>
          <w:highlight w:val="none"/>
          <w:lang w:val="en-US" w:eastAsia="zh-CN"/>
        </w:rPr>
        <w:t>4.3</w:t>
      </w:r>
      <w:r>
        <w:rPr>
          <w:rFonts w:hint="eastAsia" w:ascii="仿宋" w:hAnsi="仿宋" w:eastAsia="仿宋" w:cs="仿宋"/>
          <w:color w:val="auto"/>
          <w:sz w:val="28"/>
          <w:highlight w:val="none"/>
        </w:rPr>
        <w:t>交货期限</w:t>
      </w:r>
      <w:r>
        <w:rPr>
          <w:rFonts w:hint="eastAsia" w:ascii="仿宋" w:hAnsi="仿宋" w:eastAsia="仿宋" w:cs="仿宋"/>
          <w:color w:val="auto"/>
          <w:sz w:val="28"/>
          <w:highlight w:val="none"/>
          <w:lang w:eastAsia="zh-CN"/>
        </w:rPr>
        <w:t>：</w:t>
      </w:r>
      <w:r>
        <w:rPr>
          <w:rFonts w:hint="eastAsia" w:ascii="仿宋" w:hAnsi="仿宋" w:eastAsia="仿宋" w:cs="仿宋"/>
          <w:b w:val="0"/>
          <w:bCs w:val="0"/>
          <w:color w:val="auto"/>
          <w:sz w:val="28"/>
          <w:highlight w:val="none"/>
          <w:u w:val="single"/>
          <w:lang w:eastAsia="zh-CN"/>
        </w:rPr>
        <w:t>乙方自</w:t>
      </w:r>
      <w:r>
        <w:rPr>
          <w:rFonts w:hint="eastAsia" w:ascii="仿宋" w:hAnsi="仿宋" w:eastAsia="仿宋" w:cs="仿宋"/>
          <w:b w:val="0"/>
          <w:bCs w:val="0"/>
          <w:color w:val="auto"/>
          <w:sz w:val="28"/>
          <w:highlight w:val="none"/>
          <w:u w:val="single"/>
          <w:lang w:val="en-US" w:eastAsia="zh-CN"/>
        </w:rPr>
        <w:t xml:space="preserve">甲方发出订单之日起 </w:t>
      </w:r>
      <w:r>
        <w:rPr>
          <w:rFonts w:hint="eastAsia" w:ascii="仿宋" w:hAnsi="仿宋" w:eastAsia="仿宋" w:cs="仿宋"/>
          <w:b/>
          <w:bCs/>
          <w:color w:val="auto"/>
          <w:sz w:val="28"/>
          <w:highlight w:val="none"/>
          <w:u w:val="single"/>
          <w:lang w:val="en-US" w:eastAsia="zh-CN"/>
        </w:rPr>
        <w:t xml:space="preserve"> XX 个日历天</w:t>
      </w:r>
      <w:r>
        <w:rPr>
          <w:rFonts w:hint="eastAsia" w:ascii="仿宋" w:hAnsi="仿宋" w:eastAsia="仿宋" w:cs="仿宋"/>
          <w:b w:val="0"/>
          <w:bCs w:val="0"/>
          <w:color w:val="auto"/>
          <w:sz w:val="28"/>
          <w:highlight w:val="none"/>
          <w:u w:val="single"/>
        </w:rPr>
        <w:t>内</w:t>
      </w:r>
      <w:r>
        <w:rPr>
          <w:rFonts w:hint="eastAsia" w:ascii="仿宋" w:hAnsi="仿宋" w:eastAsia="仿宋" w:cs="仿宋"/>
          <w:b w:val="0"/>
          <w:bCs w:val="0"/>
          <w:color w:val="auto"/>
          <w:sz w:val="28"/>
          <w:highlight w:val="none"/>
          <w:u w:val="single"/>
          <w:lang w:eastAsia="zh-CN"/>
        </w:rPr>
        <w:t>把该订单所述产品送齐至交货</w:t>
      </w:r>
      <w:r>
        <w:rPr>
          <w:rFonts w:hint="eastAsia" w:ascii="仿宋" w:hAnsi="仿宋" w:eastAsia="仿宋" w:cs="仿宋"/>
          <w:b w:val="0"/>
          <w:bCs w:val="0"/>
          <w:color w:val="auto"/>
          <w:sz w:val="28"/>
          <w:highlight w:val="none"/>
          <w:u w:val="single"/>
        </w:rPr>
        <w:t>地点</w:t>
      </w:r>
      <w:r>
        <w:rPr>
          <w:rFonts w:hint="eastAsia" w:ascii="仿宋" w:hAnsi="仿宋" w:eastAsia="仿宋" w:cs="仿宋"/>
          <w:b w:val="0"/>
          <w:bCs w:val="0"/>
          <w:color w:val="auto"/>
          <w:sz w:val="28"/>
          <w:highlight w:val="none"/>
          <w:u w:val="single"/>
          <w:lang w:val="en-US" w:eastAsia="zh-CN"/>
        </w:rPr>
        <w:t>。</w:t>
      </w:r>
      <w:r>
        <w:rPr>
          <w:rFonts w:hint="eastAsia" w:ascii="仿宋" w:hAnsi="仿宋" w:eastAsia="仿宋" w:cs="仿宋"/>
          <w:color w:val="auto"/>
          <w:sz w:val="28"/>
          <w:highlight w:val="none"/>
          <w:u w:val="single"/>
          <w:lang w:eastAsia="zh-CN"/>
        </w:rPr>
        <w:t>（按定标文件实际情况填写）</w:t>
      </w:r>
    </w:p>
    <w:p w14:paraId="5D1AA656">
      <w:pPr>
        <w:keepNext w:val="0"/>
        <w:keepLines w:val="0"/>
        <w:pageBreakBefore w:val="0"/>
        <w:wordWrap/>
        <w:topLinePunct w:val="0"/>
        <w:bidi w:val="0"/>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4.4联系人及权限</w:t>
      </w:r>
    </w:p>
    <w:p w14:paraId="0A025CC9">
      <w:pPr>
        <w:keepNext w:val="0"/>
        <w:keepLines w:val="0"/>
        <w:pageBreakBefore w:val="0"/>
        <w:widowControl/>
        <w:numPr>
          <w:ilvl w:val="0"/>
          <w:numId w:val="0"/>
        </w:numPr>
        <w:kinsoku w:val="0"/>
        <w:wordWrap/>
        <w:overflowPunct w:val="0"/>
        <w:topLinePunct w:val="0"/>
        <w:autoSpaceDE w:val="0"/>
        <w:autoSpaceDN w:val="0"/>
        <w:bidi w:val="0"/>
        <w:adjustRightInd w:val="0"/>
        <w:snapToGrid/>
        <w:spacing w:line="360" w:lineRule="auto"/>
        <w:ind w:left="0" w:leftChars="0" w:firstLine="560" w:firstLineChars="200"/>
        <w:jc w:val="both"/>
        <w:textAlignment w:val="auto"/>
        <w:rPr>
          <w:rFonts w:hint="eastAsia" w:ascii="仿宋" w:hAnsi="仿宋" w:eastAsia="仿宋" w:cs="仿宋"/>
          <w:color w:val="auto"/>
          <w:sz w:val="28"/>
          <w:highlight w:val="none"/>
          <w:shd w:val="clear" w:color="auto" w:fill="auto"/>
          <w:lang w:eastAsia="zh-CN"/>
        </w:rPr>
      </w:pPr>
      <w:r>
        <w:rPr>
          <w:rFonts w:hint="eastAsia" w:ascii="仿宋" w:hAnsi="仿宋" w:eastAsia="仿宋" w:cs="仿宋"/>
          <w:color w:val="auto"/>
          <w:sz w:val="28"/>
          <w:highlight w:val="none"/>
          <w:lang w:val="en-US" w:eastAsia="zh-CN"/>
        </w:rPr>
        <w:t>4.4.1甲方指定</w:t>
      </w:r>
      <w:r>
        <w:rPr>
          <w:rFonts w:hint="eastAsia" w:ascii="仿宋" w:hAnsi="仿宋" w:eastAsia="仿宋" w:cs="仿宋"/>
          <w:color w:val="auto"/>
          <w:sz w:val="28"/>
          <w:highlight w:val="none"/>
          <w:u w:val="single"/>
          <w:lang w:val="en-US" w:eastAsia="zh-CN"/>
        </w:rPr>
        <w:t xml:space="preserve"> 彭善海（联系电话：13592796498）</w:t>
      </w:r>
      <w:r>
        <w:rPr>
          <w:rFonts w:hint="eastAsia" w:ascii="仿宋" w:hAnsi="仿宋" w:eastAsia="仿宋" w:cs="仿宋"/>
          <w:color w:val="auto"/>
          <w:sz w:val="28"/>
          <w:highlight w:val="none"/>
          <w:lang w:val="en-US" w:eastAsia="zh-CN"/>
        </w:rPr>
        <w:t>为本合同甲方执行联系人，指定</w:t>
      </w:r>
      <w:r>
        <w:rPr>
          <w:rFonts w:hint="eastAsia" w:ascii="仿宋" w:hAnsi="仿宋" w:eastAsia="仿宋" w:cs="仿宋"/>
          <w:color w:val="auto"/>
          <w:sz w:val="28"/>
          <w:highlight w:val="none"/>
          <w:u w:val="single"/>
          <w:lang w:val="en-US" w:eastAsia="zh-CN"/>
        </w:rPr>
        <w:t xml:space="preserve"> 杨军 (仓管</w:t>
      </w:r>
      <w:r>
        <w:rPr>
          <w:rFonts w:hint="eastAsia" w:ascii="仿宋" w:hAnsi="仿宋" w:eastAsia="仿宋" w:cs="仿宋"/>
          <w:color w:val="auto"/>
          <w:sz w:val="28"/>
          <w:highlight w:val="none"/>
          <w:u w:val="single"/>
          <w:shd w:val="clear" w:color="auto" w:fill="auto"/>
          <w:lang w:eastAsia="zh-CN"/>
        </w:rPr>
        <w:t xml:space="preserve">员) </w:t>
      </w:r>
      <w:r>
        <w:rPr>
          <w:rFonts w:hint="eastAsia" w:ascii="仿宋" w:hAnsi="仿宋" w:eastAsia="仿宋" w:cs="仿宋"/>
          <w:color w:val="auto"/>
          <w:sz w:val="28"/>
          <w:highlight w:val="none"/>
          <w:shd w:val="clear" w:color="auto" w:fill="auto"/>
          <w:lang w:eastAsia="zh-CN"/>
        </w:rPr>
        <w:t>为产品签收人，联系电话:</w:t>
      </w:r>
      <w:r>
        <w:rPr>
          <w:rFonts w:hint="eastAsia" w:ascii="仿宋" w:hAnsi="仿宋" w:eastAsia="仿宋" w:cs="仿宋"/>
          <w:color w:val="auto"/>
          <w:sz w:val="28"/>
          <w:highlight w:val="none"/>
          <w:u w:val="single"/>
          <w:shd w:val="clear" w:color="auto" w:fill="auto"/>
          <w:lang w:eastAsia="zh-CN"/>
        </w:rPr>
        <w:t xml:space="preserve"> </w:t>
      </w:r>
      <w:r>
        <w:rPr>
          <w:rFonts w:hint="eastAsia" w:ascii="仿宋" w:hAnsi="仿宋" w:eastAsia="仿宋" w:cs="仿宋"/>
          <w:color w:val="auto"/>
          <w:sz w:val="28"/>
          <w:highlight w:val="none"/>
          <w:u w:val="single"/>
          <w:shd w:val="clear" w:color="auto" w:fill="auto"/>
          <w:lang w:val="en-US" w:eastAsia="zh-CN"/>
        </w:rPr>
        <w:t>13652456602</w:t>
      </w:r>
      <w:r>
        <w:rPr>
          <w:rFonts w:hint="eastAsia" w:ascii="仿宋" w:hAnsi="仿宋" w:eastAsia="仿宋" w:cs="仿宋"/>
          <w:color w:val="auto"/>
          <w:sz w:val="28"/>
          <w:highlight w:val="none"/>
          <w:shd w:val="clear" w:color="auto" w:fill="auto"/>
          <w:lang w:eastAsia="zh-CN"/>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执行联系人签名并加盖项目章（</w:t>
      </w:r>
      <w:r>
        <w:rPr>
          <w:rFonts w:hint="eastAsia" w:ascii="仿宋" w:hAnsi="仿宋" w:eastAsia="仿宋" w:cs="仿宋"/>
          <w:color w:val="auto"/>
          <w:sz w:val="28"/>
          <w:highlight w:val="none"/>
          <w:shd w:val="clear" w:color="auto" w:fill="auto"/>
          <w:lang w:val="en-US" w:eastAsia="zh-CN"/>
        </w:rPr>
        <w:t>样式详见附件</w:t>
      </w:r>
      <w:r>
        <w:rPr>
          <w:rFonts w:hint="eastAsia" w:ascii="仿宋" w:hAnsi="仿宋" w:eastAsia="仿宋" w:cs="仿宋"/>
          <w:color w:val="auto"/>
          <w:sz w:val="28"/>
          <w:highlight w:val="none"/>
          <w:shd w:val="clear" w:color="auto" w:fill="auto"/>
          <w:lang w:eastAsia="zh-CN"/>
        </w:rPr>
        <w:t>）方为有效，否则为无效文件，仅盖章或者签名的文件亦无效。甲方项目负责人、执行联系人变更的，甲方将以书面形式通知乙方。</w:t>
      </w:r>
    </w:p>
    <w:p w14:paraId="4F025C70">
      <w:pPr>
        <w:keepNext w:val="0"/>
        <w:keepLines w:val="0"/>
        <w:pageBreakBefore w:val="0"/>
        <w:widowControl/>
        <w:numPr>
          <w:ilvl w:val="0"/>
          <w:numId w:val="0"/>
        </w:numPr>
        <w:kinsoku w:val="0"/>
        <w:wordWrap/>
        <w:overflowPunct w:val="0"/>
        <w:topLinePunct w:val="0"/>
        <w:autoSpaceDE w:val="0"/>
        <w:autoSpaceDN w:val="0"/>
        <w:bidi w:val="0"/>
        <w:adjustRightInd w:val="0"/>
        <w:snapToGrid/>
        <w:spacing w:line="360" w:lineRule="auto"/>
        <w:ind w:left="0" w:leftChars="0" w:firstLine="560" w:firstLineChars="200"/>
        <w:jc w:val="both"/>
        <w:textAlignment w:val="auto"/>
        <w:rPr>
          <w:rFonts w:hint="eastAsia" w:ascii="仿宋" w:hAnsi="仿宋" w:eastAsia="仿宋" w:cs="仿宋"/>
          <w:color w:val="auto"/>
          <w:sz w:val="28"/>
          <w:highlight w:val="none"/>
          <w:shd w:val="clear" w:color="auto" w:fill="auto"/>
          <w:lang w:val="en-US" w:eastAsia="zh-CN"/>
        </w:rPr>
      </w:pPr>
      <w:r>
        <w:rPr>
          <w:rFonts w:hint="eastAsia" w:ascii="仿宋" w:hAnsi="仿宋" w:eastAsia="仿宋" w:cs="仿宋"/>
          <w:color w:val="auto"/>
          <w:sz w:val="28"/>
          <w:highlight w:val="none"/>
          <w:shd w:val="clear" w:color="auto" w:fill="auto"/>
          <w:lang w:val="en-US" w:eastAsia="zh-CN"/>
        </w:rPr>
        <w:t>双方确认，甲方项目章仅供甲方项目部与乙方联系工作和确认产品技术、资料之用。乙方知悉并同意，该项目章用于以下情形时无效：</w:t>
      </w:r>
    </w:p>
    <w:p w14:paraId="0EC877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4.4.1.1签订合同；</w:t>
      </w:r>
    </w:p>
    <w:p w14:paraId="5CAAE3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4.4.1.2任何类型的欠条或收据；</w:t>
      </w:r>
    </w:p>
    <w:p w14:paraId="1FD68B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4.4.1.3任何形式的经济结算凭证；</w:t>
      </w:r>
    </w:p>
    <w:p w14:paraId="318FC5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4.4.1.4为他人或他单位提供任何形式的担保；</w:t>
      </w:r>
    </w:p>
    <w:p w14:paraId="4F7C39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4.4.1.5确认任何形式的包含权利义务及责任承担的文件。</w:t>
      </w:r>
    </w:p>
    <w:p w14:paraId="0B0B55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lang w:val="en-US" w:eastAsia="zh-CN"/>
        </w:rPr>
        <w:t>4.4.2乙方指定</w:t>
      </w:r>
      <w:r>
        <w:rPr>
          <w:rFonts w:hint="eastAsia" w:ascii="仿宋" w:hAnsi="仿宋" w:eastAsia="仿宋" w:cs="仿宋"/>
          <w:color w:val="auto"/>
          <w:sz w:val="28"/>
          <w:highlight w:val="none"/>
          <w:u w:val="single"/>
          <w:shd w:val="clear" w:color="auto" w:fill="auto"/>
          <w:lang w:val="en-US" w:eastAsia="zh-CN"/>
        </w:rPr>
        <w:t xml:space="preserve">         </w:t>
      </w:r>
      <w:r>
        <w:rPr>
          <w:rFonts w:hint="eastAsia" w:ascii="仿宋" w:hAnsi="仿宋" w:eastAsia="仿宋" w:cs="仿宋"/>
          <w:color w:val="auto"/>
          <w:sz w:val="28"/>
          <w:highlight w:val="none"/>
          <w:u w:val="single"/>
          <w:shd w:val="clear" w:color="auto" w:fill="auto"/>
          <w:lang w:eastAsia="zh-CN"/>
        </w:rPr>
        <w:t>（身份证号码：</w:t>
      </w:r>
      <w:r>
        <w:rPr>
          <w:rFonts w:hint="eastAsia" w:ascii="仿宋" w:hAnsi="仿宋" w:eastAsia="仿宋" w:cs="仿宋"/>
          <w:color w:val="auto"/>
          <w:sz w:val="28"/>
          <w:highlight w:val="none"/>
          <w:u w:val="single"/>
          <w:shd w:val="clear" w:color="auto" w:fill="auto"/>
          <w:lang w:val="en-US" w:eastAsia="zh-CN"/>
        </w:rPr>
        <w:t xml:space="preserve">            </w:t>
      </w:r>
      <w:r>
        <w:rPr>
          <w:rFonts w:hint="eastAsia" w:ascii="仿宋" w:hAnsi="仿宋" w:eastAsia="仿宋" w:cs="仿宋"/>
          <w:color w:val="auto"/>
          <w:sz w:val="28"/>
          <w:highlight w:val="none"/>
          <w:u w:val="single"/>
          <w:shd w:val="clear" w:color="auto" w:fill="auto"/>
          <w:lang w:eastAsia="zh-CN"/>
        </w:rPr>
        <w:t>；手机号码：</w:t>
      </w:r>
      <w:r>
        <w:rPr>
          <w:rFonts w:hint="eastAsia" w:ascii="仿宋" w:hAnsi="仿宋" w:eastAsia="仿宋" w:cs="仿宋"/>
          <w:color w:val="auto"/>
          <w:sz w:val="28"/>
          <w:highlight w:val="none"/>
          <w:u w:val="single"/>
          <w:shd w:val="clear" w:color="auto" w:fill="auto"/>
          <w:lang w:val="en-US" w:eastAsia="zh-CN"/>
        </w:rPr>
        <w:t xml:space="preserve">         </w:t>
      </w:r>
      <w:r>
        <w:rPr>
          <w:rFonts w:hint="eastAsia" w:ascii="仿宋" w:hAnsi="仿宋" w:eastAsia="仿宋" w:cs="仿宋"/>
          <w:color w:val="auto"/>
          <w:sz w:val="28"/>
          <w:highlight w:val="none"/>
          <w:u w:val="single"/>
          <w:shd w:val="clear" w:color="auto" w:fill="auto"/>
          <w:lang w:eastAsia="zh-CN"/>
        </w:rPr>
        <w:t>）</w:t>
      </w:r>
      <w:r>
        <w:rPr>
          <w:rFonts w:hint="eastAsia" w:ascii="仿宋" w:hAnsi="仿宋" w:eastAsia="仿宋" w:cs="仿宋"/>
          <w:color w:val="auto"/>
          <w:sz w:val="28"/>
          <w:highlight w:val="none"/>
          <w:shd w:val="clear" w:color="auto" w:fill="auto"/>
          <w:lang w:eastAsia="zh-CN"/>
        </w:rPr>
        <w:t>作为其授权代表，在本合同有效期内执行与本合同有关的事项。乙方授权代表以乙方的名义处理</w:t>
      </w:r>
      <w:r>
        <w:rPr>
          <w:rFonts w:hint="eastAsia" w:ascii="仿宋" w:hAnsi="仿宋" w:eastAsia="仿宋" w:cs="仿宋"/>
          <w:color w:val="auto"/>
          <w:sz w:val="28"/>
          <w:highlight w:val="none"/>
          <w:shd w:val="clear" w:color="auto" w:fill="auto"/>
          <w:lang w:val="en-US" w:eastAsia="zh-CN"/>
        </w:rPr>
        <w:t>与</w:t>
      </w:r>
      <w:r>
        <w:rPr>
          <w:rFonts w:hint="eastAsia" w:ascii="仿宋" w:hAnsi="仿宋" w:eastAsia="仿宋" w:cs="仿宋"/>
          <w:color w:val="auto"/>
          <w:sz w:val="28"/>
          <w:highlight w:val="none"/>
          <w:shd w:val="clear" w:color="auto" w:fill="auto"/>
          <w:lang w:eastAsia="zh-CN"/>
        </w:rPr>
        <w:t>本合同相关的一切事务，乙方对其行为均认可并承担一切责任。</w:t>
      </w:r>
      <w:r>
        <w:rPr>
          <w:rFonts w:hint="eastAsia" w:ascii="仿宋" w:hAnsi="仿宋" w:eastAsia="仿宋" w:cs="仿宋"/>
          <w:color w:val="auto"/>
          <w:sz w:val="28"/>
          <w:highlight w:val="none"/>
          <w:u w:val="none"/>
          <w:shd w:val="clear" w:color="auto" w:fill="auto"/>
          <w:lang w:eastAsia="zh-CN"/>
        </w:rPr>
        <w:t>乙方如需更换授权代表，</w:t>
      </w:r>
      <w:r>
        <w:rPr>
          <w:rFonts w:hint="eastAsia" w:ascii="仿宋" w:hAnsi="仿宋" w:eastAsia="仿宋" w:cs="仿宋"/>
          <w:color w:val="auto"/>
          <w:sz w:val="28"/>
          <w:highlight w:val="none"/>
          <w:u w:val="none"/>
          <w:shd w:val="clear" w:color="auto" w:fill="auto"/>
          <w:lang w:val="en-US" w:eastAsia="zh-CN"/>
        </w:rPr>
        <w:t>须</w:t>
      </w:r>
      <w:r>
        <w:rPr>
          <w:rFonts w:hint="eastAsia" w:ascii="仿宋" w:hAnsi="仿宋" w:eastAsia="仿宋" w:cs="仿宋"/>
          <w:color w:val="auto"/>
          <w:sz w:val="28"/>
          <w:highlight w:val="none"/>
          <w:u w:val="none"/>
          <w:shd w:val="clear" w:color="auto" w:fill="auto"/>
          <w:lang w:eastAsia="zh-CN"/>
        </w:rPr>
        <w:t>提前</w:t>
      </w:r>
      <w:r>
        <w:rPr>
          <w:rFonts w:hint="eastAsia" w:ascii="仿宋" w:hAnsi="仿宋" w:eastAsia="仿宋" w:cs="仿宋"/>
          <w:color w:val="auto"/>
          <w:sz w:val="28"/>
          <w:highlight w:val="none"/>
          <w:u w:val="none"/>
          <w:shd w:val="clear" w:color="auto" w:fill="auto"/>
          <w:lang w:val="en-US" w:eastAsia="zh-CN"/>
        </w:rPr>
        <w:t>5</w:t>
      </w:r>
      <w:r>
        <w:rPr>
          <w:rFonts w:hint="eastAsia" w:ascii="仿宋" w:hAnsi="仿宋" w:eastAsia="仿宋" w:cs="仿宋"/>
          <w:color w:val="auto"/>
          <w:sz w:val="28"/>
          <w:highlight w:val="none"/>
          <w:u w:val="none"/>
          <w:shd w:val="clear" w:color="auto" w:fill="auto"/>
          <w:lang w:eastAsia="zh-CN"/>
        </w:rPr>
        <w:t>个日历天以书面形式通知甲方。</w:t>
      </w:r>
    </w:p>
    <w:p w14:paraId="04DFFC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4.5除甲方本合同执行联系人外，甲方项目部其他人员对涉及费用的所有文件、资料无权进行确定、批准。甲方的本合同执行联系人在履行本合同过程中，对涉及费用的所有文件、资料审批权限为不超过三千元/次（含税）。三千元/次以该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23722E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4.6乙方在选择运输产品的机具、设备时，须提前报经甲方项目部安全员同意，选择适合的路线准时抵达，避免现场拥堵，运输设备、车辆与产品总重不得超过现场道路限载，并服从甲方人员指挥，装卸时注意施工安全。</w:t>
      </w:r>
    </w:p>
    <w:p w14:paraId="0FDD81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lang w:val="en-US" w:eastAsia="zh-CN"/>
        </w:rPr>
        <w:t>4.7收货验收流程</w:t>
      </w:r>
      <w:r>
        <w:rPr>
          <w:rFonts w:hint="eastAsia" w:ascii="仿宋" w:hAnsi="仿宋" w:eastAsia="仿宋" w:cs="仿宋"/>
          <w:color w:val="auto"/>
          <w:sz w:val="28"/>
          <w:highlight w:val="none"/>
          <w:u w:val="none"/>
          <w:shd w:val="clear" w:color="auto" w:fill="auto"/>
          <w:lang w:val="en-US" w:eastAsia="zh-CN"/>
        </w:rPr>
        <w:t>及标准</w:t>
      </w:r>
    </w:p>
    <w:p w14:paraId="428067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4.7.1乙方送货前须提前向甲方项目部告知送货司机的姓名、联系电话、车辆规格、车牌号，乙方送货单须盖乙方公章。</w:t>
      </w:r>
    </w:p>
    <w:p w14:paraId="18A563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4.7.2产品进场时乙方须向甲方提供产品出厂合格证、出厂质量证明书等相关资料并在当天移交甲方存档。</w:t>
      </w:r>
    </w:p>
    <w:p w14:paraId="7B9D61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4.7.3甲方项目施工员在产品进场时对品牌、规格、型号、质量等进行全检并拍照留存。</w:t>
      </w:r>
    </w:p>
    <w:p w14:paraId="6E9353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4.7.4产品如与合同约定不符（如产品的品牌、厂地、规格、型号、质量等），甲方本合同执行联系人按合同要求直接拒收、退场并作好记录备查，甲方不折价签收不符合合同要求的产品，且乙方向甲方承担违约金（违约金额等于不符合合同约定的产品金额的三倍且最少不低于一万元/次），甲方有权在任意一笔应付乙方的合同款中自行扣取违约金。</w:t>
      </w:r>
    </w:p>
    <w:p w14:paraId="0F7C92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4.8</w:t>
      </w:r>
      <w:r>
        <w:rPr>
          <w:rFonts w:hint="eastAsia" w:ascii="仿宋" w:hAnsi="仿宋" w:eastAsia="仿宋" w:cs="仿宋"/>
          <w:b w:val="0"/>
          <w:bCs w:val="0"/>
          <w:color w:val="auto"/>
          <w:sz w:val="28"/>
          <w:highlight w:val="none"/>
          <w:u w:val="none"/>
          <w:lang w:eastAsia="zh-CN"/>
        </w:rPr>
        <w:t>乙方每批送货数量少于送货单所写数量或</w:t>
      </w:r>
      <w:r>
        <w:rPr>
          <w:rFonts w:hint="eastAsia" w:ascii="仿宋" w:hAnsi="仿宋" w:eastAsia="仿宋" w:cs="仿宋"/>
          <w:b w:val="0"/>
          <w:bCs w:val="0"/>
          <w:color w:val="auto"/>
          <w:sz w:val="28"/>
          <w:highlight w:val="none"/>
          <w:u w:val="none"/>
          <w:lang w:val="en-US" w:eastAsia="zh-CN"/>
        </w:rPr>
        <w:t>有</w:t>
      </w:r>
      <w:r>
        <w:rPr>
          <w:rFonts w:hint="eastAsia" w:ascii="仿宋" w:hAnsi="仿宋" w:eastAsia="仿宋" w:cs="仿宋"/>
          <w:b w:val="0"/>
          <w:bCs w:val="0"/>
          <w:color w:val="auto"/>
          <w:sz w:val="28"/>
          <w:highlight w:val="none"/>
          <w:u w:val="none"/>
          <w:lang w:eastAsia="zh-CN"/>
        </w:rPr>
        <w:t>破损的，</w:t>
      </w:r>
      <w:r>
        <w:rPr>
          <w:rFonts w:hint="eastAsia" w:ascii="仿宋" w:hAnsi="仿宋" w:eastAsia="仿宋" w:cs="仿宋"/>
          <w:b w:val="0"/>
          <w:bCs w:val="0"/>
          <w:color w:val="auto"/>
          <w:sz w:val="28"/>
          <w:highlight w:val="none"/>
          <w:u w:val="none"/>
          <w:lang w:val="en-US" w:eastAsia="zh-CN"/>
        </w:rPr>
        <w:t>甲方</w:t>
      </w:r>
      <w:r>
        <w:rPr>
          <w:rFonts w:hint="eastAsia" w:ascii="仿宋" w:hAnsi="仿宋" w:eastAsia="仿宋" w:cs="仿宋"/>
          <w:b w:val="0"/>
          <w:bCs w:val="0"/>
          <w:color w:val="auto"/>
          <w:sz w:val="28"/>
          <w:highlight w:val="none"/>
          <w:u w:val="none"/>
          <w:lang w:eastAsia="zh-CN"/>
        </w:rPr>
        <w:t>按缺少或破损数量的三倍扣减乙方费用，甲方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损失由乙方全部承担。产品如与合同约定不符或验收不合格，乙方自甲方要求之日起两个日历天内无条件更换</w:t>
      </w:r>
      <w:r>
        <w:rPr>
          <w:rFonts w:hint="eastAsia" w:ascii="仿宋" w:hAnsi="仿宋" w:eastAsia="仿宋" w:cs="仿宋"/>
          <w:b w:val="0"/>
          <w:bCs w:val="0"/>
          <w:color w:val="auto"/>
          <w:sz w:val="28"/>
          <w:highlight w:val="none"/>
          <w:u w:val="none"/>
          <w:lang w:val="en-US" w:eastAsia="zh-CN"/>
        </w:rPr>
        <w:t>为</w:t>
      </w:r>
      <w:r>
        <w:rPr>
          <w:rFonts w:hint="eastAsia" w:ascii="仿宋" w:hAnsi="仿宋" w:eastAsia="仿宋" w:cs="仿宋"/>
          <w:b w:val="0"/>
          <w:bCs w:val="0"/>
          <w:color w:val="auto"/>
          <w:sz w:val="28"/>
          <w:highlight w:val="none"/>
          <w:u w:val="none"/>
          <w:lang w:eastAsia="zh-CN"/>
        </w:rPr>
        <w:t>符合本合同要求的产品，乙方承担由此产生的费用及逾期责任；乙方不更换或更换一次仍不合格的，甲方有权单方终止合同，乙方自甲方要求之日起三个日历天内按当批送货金额（以乙方送货单金额为准）的10%支付违约金并赔偿甲方损失。甲方验收完成后，如对产品数量、质量等级等再次复查，乙方须无条件配合，且复查结果可作为结算依据，复查程序等要求按甲方规定执行。乙方指派人员配合、参与甲方验收，如乙方未指派人员配合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，视为乙方认可甲方自行验收、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的结果，乙方不得提出异议。</w:t>
      </w:r>
    </w:p>
    <w:p w14:paraId="35E2B5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9</w:t>
      </w:r>
      <w:r>
        <w:rPr>
          <w:rFonts w:hint="eastAsia" w:ascii="仿宋" w:hAnsi="仿宋" w:eastAsia="仿宋" w:cs="仿宋"/>
          <w:b w:val="0"/>
          <w:bCs w:val="0"/>
          <w:color w:val="auto"/>
          <w:sz w:val="28"/>
          <w:highlight w:val="none"/>
          <w:u w:val="none"/>
          <w:lang w:eastAsia="zh-CN"/>
        </w:rPr>
        <w:t>产品进场后，如甲方要求对产品进行超出合同的检验、检测，检验、检测合格则检验、检测费用由甲方承担，不合格则由乙方承担且乙方承担由此产生的责任、费用并无条件将该批产品自甲方要求之日起两个日历天内更换为合格产品，同时甲方有权单方终止合同且不付款；如甲方单方终止合同，乙方须按该批产品总价的10%支付违约金且赔偿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w:t>
      </w:r>
    </w:p>
    <w:p w14:paraId="6A4A3B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.10产品</w:t>
      </w:r>
      <w:r>
        <w:rPr>
          <w:rFonts w:hint="eastAsia" w:ascii="仿宋" w:hAnsi="仿宋" w:eastAsia="仿宋" w:cs="仿宋"/>
          <w:b w:val="0"/>
          <w:bCs w:val="0"/>
          <w:color w:val="auto"/>
          <w:sz w:val="28"/>
          <w:highlight w:val="none"/>
          <w:u w:val="none"/>
          <w:lang w:eastAsia="zh-CN"/>
        </w:rPr>
        <w:t>数量结算依据为甲方指定的本合同执行联系人和验收组人员共同签名的签收单及甲方认可的相关资料。</w:t>
      </w:r>
    </w:p>
    <w:p w14:paraId="59B83C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4.11由甲方项目技术负责人及甲方仓管员对进场产品组织验收，如甲方栋号施工员不能第一时间进行验收，由甲方项目技术负责人及甲方仓管员组织保安组长共同进行验收并签名，栋号施工员在产品进场12小时内进行复验，验收完成后在材料签收单签名。</w:t>
      </w:r>
    </w:p>
    <w:p w14:paraId="5DC48F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4.12甲方仓管员按甲方规定开具材料签收单，一式三联，白联由甲方项目部留底，红联交至甲方财务部，绿联交乙方用于请款。</w:t>
      </w:r>
    </w:p>
    <w:p w14:paraId="7EAE75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4.13所有票据、资料必须经办人亲自签名，严禁他人代签名，一旦发现则乙方向甲方承担违约金（违约金额等于代签票据所列材料金额的三倍但最少不低于二千元/次），甲方有权在任意一笔应付乙方的合同款中自行扣取违约金。</w:t>
      </w:r>
    </w:p>
    <w:p w14:paraId="526C57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val="0"/>
          <w:bCs w:val="0"/>
          <w:color w:val="auto"/>
          <w:sz w:val="28"/>
          <w:highlight w:val="none"/>
          <w:u w:val="none"/>
          <w:lang w:eastAsia="zh-CN"/>
        </w:rPr>
      </w:pPr>
      <w:bookmarkStart w:id="9" w:name="_Toc65"/>
      <w:r>
        <w:rPr>
          <w:rFonts w:hint="eastAsia" w:ascii="仿宋" w:hAnsi="仿宋" w:eastAsia="仿宋" w:cs="仿宋"/>
          <w:b/>
          <w:bCs/>
          <w:color w:val="auto"/>
          <w:sz w:val="28"/>
          <w:highlight w:val="none"/>
          <w:u w:val="none"/>
          <w:lang w:val="en-US" w:eastAsia="zh-CN"/>
        </w:rPr>
        <w:t>第五章、保</w:t>
      </w:r>
      <w:r>
        <w:rPr>
          <w:rFonts w:hint="eastAsia" w:ascii="仿宋" w:hAnsi="仿宋" w:eastAsia="仿宋" w:cs="仿宋"/>
          <w:b/>
          <w:bCs w:val="0"/>
          <w:color w:val="auto"/>
          <w:sz w:val="28"/>
          <w:szCs w:val="28"/>
          <w:highlight w:val="none"/>
          <w:lang w:val="en-US" w:eastAsia="zh-CN"/>
        </w:rPr>
        <w:t>修</w:t>
      </w:r>
      <w:bookmarkEnd w:id="9"/>
    </w:p>
    <w:p w14:paraId="0F0893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5.1</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按法律、法规和国家有关规定对产品在</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期内承担质量保修责任</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本合同有更长期限约定或更高保修要求的，按本合同执行。</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期内</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如产品或部件不能使用需维修或更换，则该产品或部件</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期自修复或更换之日起重新计算。 </w:t>
      </w:r>
    </w:p>
    <w:p w14:paraId="170543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5.2</w:t>
      </w:r>
      <w:r>
        <w:rPr>
          <w:rFonts w:hint="eastAsia" w:ascii="仿宋" w:hAnsi="仿宋" w:eastAsia="仿宋" w:cs="仿宋"/>
          <w:color w:val="auto"/>
          <w:sz w:val="28"/>
          <w:highlight w:val="none"/>
          <w:lang w:eastAsia="zh-CN"/>
        </w:rPr>
        <w:t>乙方对产品实行</w:t>
      </w:r>
      <w:r>
        <w:rPr>
          <w:rFonts w:hint="eastAsia" w:ascii="仿宋" w:hAnsi="仿宋" w:eastAsia="仿宋" w:cs="仿宋"/>
          <w:color w:val="auto"/>
          <w:sz w:val="28"/>
          <w:highlight w:val="none"/>
          <w:u w:val="single"/>
          <w:lang w:val="en-US" w:eastAsia="zh-CN"/>
        </w:rPr>
        <w:t xml:space="preserve"> 2 </w:t>
      </w:r>
      <w:r>
        <w:rPr>
          <w:rFonts w:hint="eastAsia" w:ascii="仿宋" w:hAnsi="仿宋" w:eastAsia="仿宋" w:cs="仿宋"/>
          <w:color w:val="auto"/>
          <w:sz w:val="28"/>
          <w:highlight w:val="none"/>
          <w:lang w:eastAsia="zh-CN"/>
        </w:rPr>
        <w:t>年免费保修(国家或甲方与本项目建设单位另有更长保修期限规定的，从其规定)，保修期自产品经甲方验收合格并移交</w:t>
      </w:r>
      <w:r>
        <w:rPr>
          <w:rFonts w:hint="eastAsia" w:ascii="仿宋" w:hAnsi="仿宋" w:eastAsia="仿宋" w:cs="仿宋"/>
          <w:color w:val="auto"/>
          <w:sz w:val="28"/>
          <w:highlight w:val="none"/>
          <w:lang w:val="en-US" w:eastAsia="zh-CN"/>
        </w:rPr>
        <w:t>建设单位</w:t>
      </w:r>
      <w:r>
        <w:rPr>
          <w:rFonts w:hint="eastAsia" w:ascii="仿宋" w:hAnsi="仿宋" w:eastAsia="仿宋" w:cs="仿宋"/>
          <w:color w:val="auto"/>
          <w:sz w:val="28"/>
          <w:highlight w:val="none"/>
          <w:lang w:eastAsia="zh-CN"/>
        </w:rPr>
        <w:t>之日起计。保修期内，</w:t>
      </w:r>
      <w:r>
        <w:rPr>
          <w:rFonts w:hint="eastAsia" w:ascii="仿宋" w:hAnsi="仿宋" w:eastAsia="仿宋" w:cs="仿宋"/>
          <w:color w:val="auto"/>
          <w:sz w:val="28"/>
          <w:highlight w:val="none"/>
          <w:lang w:val="en-US" w:eastAsia="zh-CN"/>
        </w:rPr>
        <w:t>如</w:t>
      </w:r>
      <w:r>
        <w:rPr>
          <w:rFonts w:hint="eastAsia" w:ascii="仿宋" w:hAnsi="仿宋" w:eastAsia="仿宋" w:cs="仿宋"/>
          <w:color w:val="auto"/>
          <w:sz w:val="28"/>
          <w:highlight w:val="none"/>
          <w:lang w:eastAsia="zh-CN"/>
        </w:rPr>
        <w:t>产品出现质量缺陷</w:t>
      </w:r>
      <w:r>
        <w:rPr>
          <w:rFonts w:hint="eastAsia" w:ascii="仿宋" w:hAnsi="仿宋" w:eastAsia="仿宋" w:cs="仿宋"/>
          <w:color w:val="auto"/>
          <w:sz w:val="28"/>
          <w:highlight w:val="none"/>
          <w:lang w:val="en-US" w:eastAsia="zh-CN"/>
        </w:rPr>
        <w:t>或问题</w:t>
      </w:r>
      <w:r>
        <w:rPr>
          <w:rFonts w:hint="eastAsia" w:ascii="仿宋" w:hAnsi="仿宋" w:eastAsia="仿宋" w:cs="仿宋"/>
          <w:color w:val="auto"/>
          <w:sz w:val="28"/>
          <w:highlight w:val="none"/>
          <w:lang w:eastAsia="zh-CN"/>
        </w:rPr>
        <w:t>，乙方履行保修义务</w:t>
      </w:r>
      <w:r>
        <w:rPr>
          <w:rFonts w:hint="eastAsia" w:ascii="仿宋" w:hAnsi="仿宋" w:eastAsia="仿宋" w:cs="仿宋"/>
          <w:color w:val="auto"/>
          <w:sz w:val="28"/>
          <w:highlight w:val="none"/>
          <w:lang w:val="en-US" w:eastAsia="zh-CN"/>
        </w:rPr>
        <w:t>且经甲方</w:t>
      </w:r>
      <w:r>
        <w:rPr>
          <w:rFonts w:hint="eastAsia" w:ascii="仿宋" w:hAnsi="仿宋" w:eastAsia="仿宋" w:cs="仿宋"/>
          <w:color w:val="auto"/>
          <w:sz w:val="28"/>
          <w:highlight w:val="none"/>
          <w:lang w:eastAsia="zh-CN"/>
        </w:rPr>
        <w:t>验收合格后，保修期自</w:t>
      </w:r>
      <w:r>
        <w:rPr>
          <w:rFonts w:hint="eastAsia" w:ascii="仿宋" w:hAnsi="仿宋" w:eastAsia="仿宋" w:cs="仿宋"/>
          <w:color w:val="auto"/>
          <w:sz w:val="28"/>
          <w:highlight w:val="none"/>
          <w:lang w:val="en-US" w:eastAsia="zh-CN"/>
        </w:rPr>
        <w:t>甲方对保修工作验收合格之日起重新计算</w:t>
      </w:r>
      <w:r>
        <w:rPr>
          <w:rFonts w:hint="eastAsia" w:ascii="仿宋" w:hAnsi="仿宋" w:eastAsia="仿宋" w:cs="仿宋"/>
          <w:color w:val="auto"/>
          <w:sz w:val="28"/>
          <w:highlight w:val="none"/>
          <w:lang w:eastAsia="zh-CN"/>
        </w:rPr>
        <w:t>。</w:t>
      </w:r>
    </w:p>
    <w:p w14:paraId="7E4379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rPr>
        <w:t>3</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期内，若产品出现质量问题，</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在收到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或使用</w:t>
      </w:r>
      <w:r>
        <w:rPr>
          <w:rFonts w:hint="eastAsia" w:ascii="仿宋" w:hAnsi="仿宋" w:eastAsia="仿宋" w:cs="仿宋"/>
          <w:color w:val="auto"/>
          <w:sz w:val="28"/>
          <w:highlight w:val="none"/>
          <w:u w:val="none"/>
          <w:lang w:eastAsia="zh-CN"/>
        </w:rPr>
        <w:t>单位</w:t>
      </w:r>
      <w:r>
        <w:rPr>
          <w:rFonts w:hint="eastAsia" w:ascii="仿宋" w:hAnsi="仿宋" w:eastAsia="仿宋" w:cs="仿宋"/>
          <w:color w:val="auto"/>
          <w:sz w:val="28"/>
          <w:highlight w:val="none"/>
          <w:u w:val="none"/>
        </w:rPr>
        <w:t>通知后24小时内必须到达现场进行</w:t>
      </w:r>
      <w:r>
        <w:rPr>
          <w:rFonts w:hint="eastAsia" w:ascii="仿宋" w:hAnsi="仿宋" w:eastAsia="仿宋" w:cs="仿宋"/>
          <w:color w:val="auto"/>
          <w:sz w:val="28"/>
          <w:highlight w:val="none"/>
          <w:u w:val="none"/>
          <w:lang w:val="en-US" w:eastAsia="zh-CN"/>
        </w:rPr>
        <w:t>处理或</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如甲乙双方共同确认非</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原因导致问题发生，</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仍应提供</w:t>
      </w:r>
      <w:r>
        <w:rPr>
          <w:rFonts w:hint="eastAsia" w:ascii="仿宋" w:hAnsi="仿宋" w:eastAsia="仿宋" w:cs="仿宋"/>
          <w:color w:val="auto"/>
          <w:sz w:val="28"/>
          <w:highlight w:val="none"/>
          <w:u w:val="none"/>
          <w:lang w:val="en-US" w:eastAsia="zh-CN"/>
        </w:rPr>
        <w:t>售后</w:t>
      </w:r>
      <w:r>
        <w:rPr>
          <w:rFonts w:hint="eastAsia" w:ascii="仿宋" w:hAnsi="仿宋" w:eastAsia="仿宋" w:cs="仿宋"/>
          <w:color w:val="auto"/>
          <w:sz w:val="28"/>
          <w:highlight w:val="none"/>
          <w:u w:val="none"/>
        </w:rPr>
        <w:t>服务，相关费用经双方商定后由</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承担。如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未准时到达现场，</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可自行处理，</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同时承担违约责任。</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自行处理所耗费用</w:t>
      </w:r>
      <w:r>
        <w:rPr>
          <w:rFonts w:hint="eastAsia" w:ascii="仿宋" w:hAnsi="仿宋" w:eastAsia="仿宋" w:cs="仿宋"/>
          <w:color w:val="auto"/>
          <w:sz w:val="28"/>
          <w:highlight w:val="none"/>
          <w:u w:val="none"/>
          <w:lang w:eastAsia="zh-CN"/>
        </w:rPr>
        <w:t>另加</w:t>
      </w:r>
      <w:r>
        <w:rPr>
          <w:rFonts w:hint="eastAsia" w:ascii="仿宋" w:hAnsi="仿宋" w:eastAsia="仿宋" w:cs="仿宋"/>
          <w:color w:val="auto"/>
          <w:sz w:val="28"/>
          <w:highlight w:val="none"/>
          <w:u w:val="none"/>
          <w:lang w:val="en-US" w:eastAsia="zh-CN"/>
        </w:rPr>
        <w:t>50%</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通知之日起</w:t>
      </w:r>
      <w:r>
        <w:rPr>
          <w:rFonts w:hint="eastAsia" w:ascii="仿宋" w:hAnsi="仿宋" w:eastAsia="仿宋" w:cs="仿宋"/>
          <w:color w:val="auto"/>
          <w:sz w:val="28"/>
          <w:highlight w:val="none"/>
          <w:u w:val="none"/>
          <w:lang w:val="en-US" w:eastAsia="zh-CN"/>
        </w:rPr>
        <w:t>10个</w:t>
      </w:r>
      <w:r>
        <w:rPr>
          <w:rFonts w:hint="eastAsia" w:ascii="仿宋" w:hAnsi="仿宋" w:eastAsia="仿宋" w:cs="仿宋"/>
          <w:color w:val="auto"/>
          <w:sz w:val="28"/>
          <w:highlight w:val="none"/>
          <w:u w:val="none"/>
        </w:rPr>
        <w:t>日</w:t>
      </w:r>
      <w:r>
        <w:rPr>
          <w:rFonts w:hint="eastAsia" w:ascii="仿宋" w:hAnsi="仿宋" w:eastAsia="仿宋" w:cs="仿宋"/>
          <w:color w:val="auto"/>
          <w:sz w:val="28"/>
          <w:highlight w:val="none"/>
          <w:u w:val="none"/>
          <w:lang w:eastAsia="zh-CN"/>
        </w:rPr>
        <w:t>历天</w:t>
      </w:r>
      <w:r>
        <w:rPr>
          <w:rFonts w:hint="eastAsia" w:ascii="仿宋" w:hAnsi="仿宋" w:eastAsia="仿宋" w:cs="仿宋"/>
          <w:color w:val="auto"/>
          <w:sz w:val="28"/>
          <w:highlight w:val="none"/>
          <w:u w:val="none"/>
        </w:rPr>
        <w:t>内支付，因此造成的损失由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负责全额赔偿。</w:t>
      </w:r>
      <w:r>
        <w:rPr>
          <w:rFonts w:hint="eastAsia" w:ascii="仿宋" w:hAnsi="仿宋" w:eastAsia="仿宋" w:cs="仿宋"/>
          <w:color w:val="auto"/>
          <w:sz w:val="28"/>
          <w:highlight w:val="none"/>
          <w:u w:val="none"/>
          <w:lang w:eastAsia="zh-CN"/>
        </w:rPr>
        <w:t>乙方未在</w:t>
      </w:r>
      <w:r>
        <w:rPr>
          <w:rFonts w:hint="eastAsia" w:ascii="仿宋" w:hAnsi="仿宋" w:eastAsia="仿宋" w:cs="仿宋"/>
          <w:color w:val="auto"/>
          <w:sz w:val="28"/>
          <w:highlight w:val="none"/>
          <w:u w:val="none"/>
          <w:lang w:val="en-US" w:eastAsia="zh-CN"/>
        </w:rPr>
        <w:t>24小时内到达现场的，出现的质量问题一律视为乙方原因导致。</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原因造成的缺陷</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问题</w:t>
      </w:r>
      <w:r>
        <w:rPr>
          <w:rFonts w:hint="eastAsia" w:ascii="仿宋" w:hAnsi="仿宋" w:eastAsia="仿宋" w:cs="仿宋"/>
          <w:color w:val="auto"/>
          <w:sz w:val="28"/>
          <w:highlight w:val="none"/>
          <w:u w:val="none"/>
        </w:rPr>
        <w:t>和事故，</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须负责维修并承担</w:t>
      </w:r>
      <w:r>
        <w:rPr>
          <w:rFonts w:hint="eastAsia" w:ascii="仿宋" w:hAnsi="仿宋" w:eastAsia="仿宋" w:cs="仿宋"/>
          <w:color w:val="auto"/>
          <w:sz w:val="28"/>
          <w:highlight w:val="none"/>
          <w:u w:val="none"/>
          <w:lang w:eastAsia="zh-CN"/>
        </w:rPr>
        <w:t>所产生的</w:t>
      </w:r>
      <w:r>
        <w:rPr>
          <w:rFonts w:hint="eastAsia" w:ascii="仿宋" w:hAnsi="仿宋" w:eastAsia="仿宋" w:cs="仿宋"/>
          <w:color w:val="auto"/>
          <w:sz w:val="28"/>
          <w:highlight w:val="none"/>
          <w:u w:val="none"/>
        </w:rPr>
        <w:t>全部费用</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不维修也不承担费用，</w:t>
      </w:r>
      <w:r>
        <w:rPr>
          <w:rFonts w:hint="eastAsia" w:ascii="仿宋" w:hAnsi="仿宋" w:eastAsia="仿宋" w:cs="仿宋"/>
          <w:color w:val="auto"/>
          <w:sz w:val="28"/>
          <w:highlight w:val="none"/>
          <w:u w:val="none"/>
          <w:lang w:val="en-US" w:eastAsia="zh-CN"/>
        </w:rPr>
        <w:t>甲方有权追索</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承担违约责任及</w:t>
      </w:r>
      <w:r>
        <w:rPr>
          <w:rFonts w:hint="eastAsia" w:ascii="仿宋" w:hAnsi="仿宋" w:eastAsia="仿宋" w:cs="仿宋"/>
          <w:color w:val="auto"/>
          <w:sz w:val="28"/>
          <w:highlight w:val="none"/>
          <w:u w:val="none"/>
          <w:lang w:val="en-US" w:eastAsia="zh-CN"/>
        </w:rPr>
        <w:t>赔偿</w:t>
      </w:r>
      <w:r>
        <w:rPr>
          <w:rFonts w:hint="eastAsia" w:ascii="仿宋" w:hAnsi="仿宋" w:eastAsia="仿宋" w:cs="仿宋"/>
          <w:color w:val="auto"/>
          <w:sz w:val="28"/>
          <w:highlight w:val="none"/>
          <w:u w:val="none"/>
          <w:lang w:eastAsia="zh-CN"/>
        </w:rPr>
        <w:t>所有损失的</w:t>
      </w:r>
      <w:r>
        <w:rPr>
          <w:rFonts w:hint="eastAsia" w:ascii="仿宋" w:hAnsi="仿宋" w:eastAsia="仿宋" w:cs="仿宋"/>
          <w:color w:val="auto"/>
          <w:sz w:val="28"/>
          <w:highlight w:val="none"/>
          <w:u w:val="none"/>
        </w:rPr>
        <w:t>责任</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维修并承担相应费用</w:t>
      </w:r>
      <w:r>
        <w:rPr>
          <w:rFonts w:hint="eastAsia" w:ascii="仿宋" w:hAnsi="仿宋" w:eastAsia="仿宋" w:cs="仿宋"/>
          <w:color w:val="auto"/>
          <w:sz w:val="28"/>
          <w:highlight w:val="none"/>
        </w:rPr>
        <w:t>后，不免除</w:t>
      </w:r>
      <w:r>
        <w:rPr>
          <w:rFonts w:hint="eastAsia" w:ascii="仿宋" w:hAnsi="仿宋" w:eastAsia="仿宋" w:cs="仿宋"/>
          <w:color w:val="auto"/>
          <w:sz w:val="28"/>
          <w:highlight w:val="none"/>
          <w:lang w:val="en-US" w:eastAsia="zh-CN"/>
        </w:rPr>
        <w:t>乙方</w:t>
      </w:r>
      <w:r>
        <w:rPr>
          <w:rFonts w:hint="eastAsia" w:ascii="仿宋" w:hAnsi="仿宋" w:eastAsia="仿宋" w:cs="仿宋"/>
          <w:color w:val="auto"/>
          <w:sz w:val="28"/>
          <w:highlight w:val="none"/>
        </w:rPr>
        <w:t>对</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/第三方的损失赔偿责任。</w:t>
      </w:r>
    </w:p>
    <w:p w14:paraId="28974B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5.4产品施工完成后3个月内，如出现质量问题或缺陷的数量超过总量的20%，乙方无条件全部更换该批产品，相关费用由乙方承担，更换造成的相关损失由乙方承担；如乙方拒绝退换，甲方有权单方解除合同，乙方退还全部已收款项并按合同暂定总价的30%支付违约金且赔偿甲方损失。</w:t>
      </w:r>
    </w:p>
    <w:p w14:paraId="18C680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5.5保修期届满后第一周内，甲乙双方对产品进行全面检查。乙方自费负责对检查中发现的问题予以及时处理和解决后，甲方出具保修合格证明文件。</w:t>
      </w:r>
    </w:p>
    <w:p w14:paraId="760CEA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u w:val="none"/>
          <w:lang w:val="en-US" w:eastAsia="zh-CN"/>
        </w:rPr>
        <w:t>5.6如产品在保修期满后发现乙方原因导致的质量问题或缺陷，乙方仍须承担修复责任，必须按甲方要求无偿修复并赔偿甲方因此遭受的损失，否则甲方有权另行安排第三方修复，同时乙方同意甲方从与乙方签订的其他合同款项中直接扣款用于抵扣上述修复费用和损失。甲乙双方特别约定本条款不因本合同的终止而失效。</w:t>
      </w:r>
    </w:p>
    <w:p w14:paraId="72799EB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8"/>
          <w:highlight w:val="none"/>
          <w:u w:val="none"/>
          <w:lang w:val="en-US" w:eastAsia="zh-CN"/>
        </w:rPr>
      </w:pPr>
      <w:bookmarkStart w:id="10" w:name="_Toc10040"/>
      <w:r>
        <w:rPr>
          <w:rFonts w:hint="eastAsia" w:ascii="仿宋" w:hAnsi="仿宋" w:eastAsia="仿宋" w:cs="仿宋"/>
          <w:b/>
          <w:bCs/>
          <w:color w:val="auto"/>
          <w:sz w:val="28"/>
          <w:highlight w:val="none"/>
          <w:lang w:val="en-US" w:eastAsia="zh-CN"/>
        </w:rPr>
        <w:t>第六章、</w:t>
      </w:r>
      <w:r>
        <w:rPr>
          <w:rFonts w:hint="eastAsia" w:ascii="仿宋" w:hAnsi="仿宋" w:eastAsia="仿宋" w:cs="仿宋"/>
          <w:b/>
          <w:bCs/>
          <w:color w:val="auto"/>
          <w:sz w:val="28"/>
          <w:highlight w:val="none"/>
        </w:rPr>
        <w:t>违约责任</w:t>
      </w:r>
      <w:bookmarkEnd w:id="10"/>
    </w:p>
    <w:p w14:paraId="4804DB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u w:val="none"/>
          <w:lang w:val="en-US" w:eastAsia="zh-CN"/>
        </w:rPr>
        <w:t>6.1</w:t>
      </w:r>
      <w:r>
        <w:rPr>
          <w:rFonts w:hint="eastAsia" w:ascii="仿宋" w:hAnsi="仿宋" w:eastAsia="仿宋" w:cs="仿宋"/>
          <w:color w:val="auto"/>
          <w:sz w:val="28"/>
          <w:highlight w:val="none"/>
          <w:u w:val="none"/>
          <w:lang w:eastAsia="zh-CN"/>
        </w:rPr>
        <w:t>乙方逾期交齐任意一批产品（含随品、配件、产品说明书、操作手册、质量证明资料等）给甲方的，每逾期1个日历天（不可抗力因素除外），属乙方违约，乙方向甲方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lang w:eastAsia="zh-CN"/>
        </w:rPr>
        <w:t>合同暂定总价的5</w:t>
      </w:r>
      <w:r>
        <w:rPr>
          <w:rFonts w:hint="eastAsia"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eastAsia="zh-CN"/>
        </w:rPr>
        <w:t>违约金；逾期2个日历天以上的，属乙方严重违约，甲方有权</w:t>
      </w:r>
      <w:r>
        <w:rPr>
          <w:rFonts w:hint="eastAsia" w:ascii="仿宋" w:hAnsi="仿宋" w:eastAsia="仿宋" w:cs="仿宋"/>
          <w:color w:val="auto"/>
          <w:sz w:val="28"/>
          <w:highlight w:val="none"/>
          <w:u w:val="none"/>
          <w:lang w:val="en-US" w:eastAsia="zh-CN"/>
        </w:rPr>
        <w:t>单方</w:t>
      </w:r>
      <w:r>
        <w:rPr>
          <w:rFonts w:hint="eastAsia" w:ascii="仿宋" w:hAnsi="仿宋" w:eastAsia="仿宋" w:cs="仿宋"/>
          <w:color w:val="auto"/>
          <w:sz w:val="28"/>
          <w:highlight w:val="none"/>
          <w:u w:val="none"/>
          <w:lang w:eastAsia="zh-CN"/>
        </w:rPr>
        <w:t>解除合同并另行向他人采购产品，乙方返还已收款给甲方及向甲方支付合同暂定总价的20%作为违约金，同时乙方赔偿甲方因此遭受的损失。</w:t>
      </w:r>
    </w:p>
    <w:p w14:paraId="75A119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6.2乙方产品出现质量问题或缺陷的，除按本合同约定进行更换、维修外，每出现一次，</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乙方须再向甲方支付金额等于</w:t>
      </w:r>
      <w:r>
        <w:rPr>
          <w:rFonts w:hint="eastAsia" w:ascii="仿宋" w:hAnsi="仿宋" w:eastAsia="仿宋" w:cs="仿宋"/>
          <w:color w:val="auto"/>
          <w:sz w:val="28"/>
          <w:highlight w:val="none"/>
          <w:u w:val="none"/>
          <w:lang w:eastAsia="zh-CN"/>
        </w:rPr>
        <w:t>合同暂定总价的</w:t>
      </w:r>
      <w:r>
        <w:rPr>
          <w:rFonts w:hint="eastAsia" w:ascii="仿宋" w:hAnsi="仿宋" w:eastAsia="仿宋" w:cs="仿宋"/>
          <w:color w:val="auto"/>
          <w:sz w:val="28"/>
          <w:highlight w:val="none"/>
          <w:u w:val="none"/>
          <w:lang w:val="en-US" w:eastAsia="zh-CN"/>
        </w:rPr>
        <w:t>10%违约金，且甲方有权退货、解除合同，产生的全部责任和经济损失由乙方承担；</w:t>
      </w:r>
      <w:r>
        <w:rPr>
          <w:rFonts w:hint="eastAsia" w:ascii="仿宋" w:hAnsi="仿宋" w:eastAsia="仿宋" w:cs="仿宋"/>
          <w:color w:val="auto"/>
          <w:sz w:val="28"/>
          <w:highlight w:val="none"/>
          <w:u w:val="none"/>
        </w:rPr>
        <w:t>因</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产品问题造成的</w:t>
      </w:r>
      <w:r>
        <w:rPr>
          <w:rFonts w:hint="eastAsia" w:ascii="仿宋" w:hAnsi="仿宋" w:eastAsia="仿宋" w:cs="仿宋"/>
          <w:color w:val="auto"/>
          <w:sz w:val="28"/>
          <w:highlight w:val="none"/>
          <w:u w:val="none"/>
          <w:lang w:eastAsia="zh-CN"/>
        </w:rPr>
        <w:t>人身、财产损害赔偿责任或刑事、行政责任等均由乙方承担。</w:t>
      </w:r>
    </w:p>
    <w:p w14:paraId="46A8A3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6.3</w:t>
      </w:r>
      <w:r>
        <w:rPr>
          <w:rFonts w:hint="eastAsia" w:ascii="仿宋" w:hAnsi="仿宋" w:eastAsia="仿宋" w:cs="仿宋"/>
          <w:color w:val="auto"/>
          <w:sz w:val="28"/>
          <w:highlight w:val="none"/>
          <w:u w:val="none"/>
        </w:rPr>
        <w:t>若</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所交产品品种、</w:t>
      </w:r>
      <w:r>
        <w:rPr>
          <w:rFonts w:hint="eastAsia" w:ascii="仿宋" w:hAnsi="仿宋" w:eastAsia="仿宋" w:cs="仿宋"/>
          <w:color w:val="auto"/>
          <w:sz w:val="28"/>
          <w:highlight w:val="none"/>
          <w:u w:val="none"/>
          <w:lang w:eastAsia="zh-CN"/>
        </w:rPr>
        <w:t>品牌、</w:t>
      </w:r>
      <w:r>
        <w:rPr>
          <w:rFonts w:hint="eastAsia" w:ascii="仿宋" w:hAnsi="仿宋" w:eastAsia="仿宋" w:cs="仿宋"/>
          <w:color w:val="auto"/>
          <w:sz w:val="28"/>
          <w:highlight w:val="none"/>
          <w:u w:val="none"/>
        </w:rPr>
        <w:t>规格、</w:t>
      </w:r>
      <w:r>
        <w:rPr>
          <w:rFonts w:hint="eastAsia" w:ascii="仿宋" w:hAnsi="仿宋" w:eastAsia="仿宋" w:cs="仿宋"/>
          <w:color w:val="auto"/>
          <w:sz w:val="28"/>
          <w:highlight w:val="none"/>
          <w:u w:val="none"/>
          <w:lang w:eastAsia="zh-CN"/>
        </w:rPr>
        <w:t>型号、</w:t>
      </w:r>
      <w:r>
        <w:rPr>
          <w:rFonts w:hint="eastAsia" w:ascii="仿宋" w:hAnsi="仿宋" w:eastAsia="仿宋" w:cs="仿宋"/>
          <w:color w:val="auto"/>
          <w:sz w:val="28"/>
          <w:highlight w:val="none"/>
          <w:u w:val="none"/>
        </w:rPr>
        <w:t>质量</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材质等</w:t>
      </w:r>
      <w:r>
        <w:rPr>
          <w:rFonts w:hint="eastAsia" w:ascii="仿宋" w:hAnsi="仿宋" w:eastAsia="仿宋" w:cs="仿宋"/>
          <w:color w:val="auto"/>
          <w:sz w:val="28"/>
          <w:highlight w:val="none"/>
          <w:u w:val="none"/>
        </w:rPr>
        <w:t>不符合</w:t>
      </w:r>
      <w:r>
        <w:rPr>
          <w:rFonts w:hint="eastAsia" w:ascii="仿宋" w:hAnsi="仿宋" w:eastAsia="仿宋" w:cs="仿宋"/>
          <w:color w:val="auto"/>
          <w:sz w:val="28"/>
          <w:highlight w:val="none"/>
          <w:u w:val="none"/>
          <w:lang w:val="en-US" w:eastAsia="zh-CN"/>
        </w:rPr>
        <w:t>合同</w:t>
      </w:r>
      <w:r>
        <w:rPr>
          <w:rFonts w:hint="eastAsia" w:ascii="仿宋" w:hAnsi="仿宋" w:eastAsia="仿宋" w:cs="仿宋"/>
          <w:color w:val="auto"/>
          <w:sz w:val="28"/>
          <w:highlight w:val="none"/>
          <w:u w:val="none"/>
        </w:rPr>
        <w:t>要求，</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w:t>
      </w:r>
      <w:r>
        <w:rPr>
          <w:rFonts w:hint="eastAsia" w:ascii="仿宋" w:hAnsi="仿宋" w:eastAsia="仿宋" w:cs="仿宋"/>
          <w:color w:val="auto"/>
          <w:sz w:val="28"/>
          <w:highlight w:val="none"/>
          <w:u w:val="none"/>
          <w:lang w:eastAsia="zh-CN"/>
        </w:rPr>
        <w:t>无偿</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或退货，</w:t>
      </w:r>
      <w:r>
        <w:rPr>
          <w:rFonts w:hint="eastAsia" w:ascii="仿宋" w:hAnsi="仿宋" w:eastAsia="仿宋" w:cs="仿宋"/>
          <w:color w:val="auto"/>
          <w:sz w:val="28"/>
          <w:highlight w:val="none"/>
          <w:u w:val="none"/>
        </w:rPr>
        <w:t>并承担退货更换所</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rPr>
        <w:t>的一切费用和损失。</w:t>
      </w:r>
      <w:r>
        <w:rPr>
          <w:rFonts w:hint="eastAsia" w:ascii="仿宋" w:hAnsi="仿宋" w:eastAsia="仿宋" w:cs="仿宋"/>
          <w:color w:val="auto"/>
          <w:sz w:val="28"/>
          <w:highlight w:val="none"/>
          <w:u w:val="none"/>
        </w:rPr>
        <w:tab/>
      </w:r>
    </w:p>
    <w:p w14:paraId="2DF9CE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履约</w:t>
      </w:r>
      <w:r>
        <w:rPr>
          <w:rFonts w:hint="eastAsia" w:ascii="仿宋" w:hAnsi="仿宋" w:eastAsia="仿宋" w:cs="仿宋"/>
          <w:color w:val="auto"/>
          <w:sz w:val="28"/>
          <w:highlight w:val="none"/>
          <w:u w:val="none"/>
        </w:rPr>
        <w:t>过程中如有弄虚作假等欺骗行为，</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另行支付至少金额等于合同暂定总价30%的违约金</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03B3AE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6.5</w:t>
      </w:r>
      <w:r>
        <w:rPr>
          <w:rFonts w:hint="eastAsia" w:ascii="仿宋" w:hAnsi="仿宋" w:eastAsia="仿宋" w:cs="仿宋"/>
          <w:color w:val="auto"/>
          <w:sz w:val="28"/>
          <w:highlight w:val="none"/>
          <w:u w:val="none"/>
        </w:rPr>
        <w:t>合同履行期间，</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必须服从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的安排，否则</w:t>
      </w:r>
      <w:r>
        <w:rPr>
          <w:rFonts w:hint="eastAsia" w:ascii="仿宋" w:hAnsi="仿宋" w:eastAsia="仿宋" w:cs="仿宋"/>
          <w:color w:val="auto"/>
          <w:sz w:val="28"/>
          <w:highlight w:val="none"/>
          <w:u w:val="none"/>
          <w:lang w:eastAsia="zh-CN"/>
        </w:rPr>
        <w:t>属乙方违约，甲方</w:t>
      </w:r>
      <w:r>
        <w:rPr>
          <w:rFonts w:hint="eastAsia" w:ascii="仿宋" w:hAnsi="仿宋" w:eastAsia="仿宋" w:cs="仿宋"/>
          <w:color w:val="auto"/>
          <w:sz w:val="28"/>
          <w:highlight w:val="none"/>
          <w:u w:val="none"/>
        </w:rPr>
        <w:t>有权对</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进行处罚。</w:t>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65933C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6.6乙方违反本合同任何约定均属违约，乙方除按相应条款承担包括但不限于以上所述的违约责任外，甲方可随时单方解除合同，同时乙方赔偿甲方因此遭受的损失。</w:t>
      </w:r>
    </w:p>
    <w:p w14:paraId="5474F8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6.7乙方违反本合同约定给甲方造成损失的，除按本合同约定承担违约责任外，甲方有权直接从应付合同款中直接扣除乙方应承担的违约金、罚款等费用，如应付合同款及乙方支付的违约金、罚款不足补偿甲方损失，乙方在甲方通知之日起七个日历天内补齐，且甲方向乙方追偿责任所产生的律师费、差旅费、诉讼费、鉴定费、财产保全担保费由乙方全额承担。</w:t>
      </w:r>
    </w:p>
    <w:p w14:paraId="4244A6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6.8基于本项目的特殊性，乙方已充分了解其供货责任并自愿承担相应风险，合同所约定的违约金标准经双方友好协商确定，乙方同意不对违约金标准提出任何主张或抗辩。</w:t>
      </w:r>
    </w:p>
    <w:p w14:paraId="48CB0C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6.9</w:t>
      </w:r>
      <w:r>
        <w:rPr>
          <w:rFonts w:hint="eastAsia" w:ascii="仿宋" w:hAnsi="仿宋" w:eastAsia="仿宋" w:cs="仿宋"/>
          <w:color w:val="auto"/>
          <w:sz w:val="28"/>
          <w:highlight w:val="none"/>
          <w:u w:val="none"/>
          <w:lang w:eastAsia="zh-CN"/>
        </w:rPr>
        <w:t>本合同履行过程中</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lang w:eastAsia="zh-CN"/>
        </w:rPr>
        <w:t>的</w:t>
      </w:r>
      <w:r>
        <w:rPr>
          <w:rFonts w:hint="eastAsia" w:ascii="仿宋" w:hAnsi="仿宋" w:eastAsia="仿宋" w:cs="仿宋"/>
          <w:color w:val="auto"/>
          <w:sz w:val="28"/>
          <w:highlight w:val="none"/>
          <w:u w:val="none"/>
          <w:lang w:val="en-US" w:eastAsia="zh-CN"/>
        </w:rPr>
        <w:t>送货单、</w:t>
      </w:r>
      <w:r>
        <w:rPr>
          <w:rFonts w:hint="eastAsia" w:ascii="仿宋" w:hAnsi="仿宋" w:eastAsia="仿宋" w:cs="仿宋"/>
          <w:color w:val="auto"/>
          <w:sz w:val="28"/>
          <w:highlight w:val="none"/>
          <w:u w:val="none"/>
          <w:lang w:eastAsia="zh-CN"/>
        </w:rPr>
        <w:t>提货单、出入库单等类似单据、小票仅作为确认双方</w:t>
      </w:r>
      <w:r>
        <w:rPr>
          <w:rFonts w:hint="eastAsia" w:ascii="仿宋" w:hAnsi="仿宋" w:eastAsia="仿宋" w:cs="仿宋"/>
          <w:color w:val="auto"/>
          <w:sz w:val="28"/>
          <w:highlight w:val="none"/>
          <w:u w:val="none"/>
          <w:lang w:val="en-US" w:eastAsia="zh-CN"/>
        </w:rPr>
        <w:t>产品</w:t>
      </w:r>
      <w:r>
        <w:rPr>
          <w:rFonts w:hint="eastAsia" w:ascii="仿宋" w:hAnsi="仿宋" w:eastAsia="仿宋" w:cs="仿宋"/>
          <w:color w:val="auto"/>
          <w:sz w:val="28"/>
          <w:highlight w:val="none"/>
          <w:u w:val="none"/>
          <w:lang w:eastAsia="zh-CN"/>
        </w:rPr>
        <w:t>数量的依据。单据、</w:t>
      </w:r>
      <w:r>
        <w:rPr>
          <w:rFonts w:hint="eastAsia" w:ascii="仿宋" w:hAnsi="仿宋" w:eastAsia="仿宋" w:cs="仿宋"/>
          <w:color w:val="auto"/>
          <w:sz w:val="28"/>
          <w:highlight w:val="none"/>
          <w:u w:val="none"/>
          <w:lang w:val="en-US" w:eastAsia="zh-CN"/>
        </w:rPr>
        <w:t>小票</w:t>
      </w:r>
      <w:r>
        <w:rPr>
          <w:rFonts w:hint="eastAsia" w:ascii="仿宋" w:hAnsi="仿宋" w:eastAsia="仿宋" w:cs="仿宋"/>
          <w:color w:val="auto"/>
          <w:sz w:val="28"/>
          <w:highlight w:val="none"/>
          <w:u w:val="none"/>
          <w:lang w:eastAsia="zh-CN"/>
        </w:rPr>
        <w:t>中对争议管辖、赔偿和违约责任等事项与本合同约定不一致的，</w:t>
      </w:r>
      <w:r>
        <w:rPr>
          <w:rFonts w:hint="eastAsia" w:ascii="仿宋" w:hAnsi="仿宋" w:eastAsia="仿宋" w:cs="仿宋"/>
          <w:color w:val="auto"/>
          <w:sz w:val="28"/>
          <w:highlight w:val="none"/>
          <w:u w:val="none"/>
          <w:lang w:val="en-US" w:eastAsia="zh-CN"/>
        </w:rPr>
        <w:t>乙方确认</w:t>
      </w:r>
      <w:r>
        <w:rPr>
          <w:rFonts w:hint="eastAsia" w:ascii="仿宋" w:hAnsi="仿宋" w:eastAsia="仿宋" w:cs="仿宋"/>
          <w:color w:val="auto"/>
          <w:sz w:val="28"/>
          <w:highlight w:val="none"/>
          <w:u w:val="none"/>
          <w:lang w:eastAsia="zh-CN"/>
        </w:rPr>
        <w:t>以本合同</w:t>
      </w:r>
      <w:r>
        <w:rPr>
          <w:rFonts w:hint="eastAsia" w:ascii="仿宋" w:hAnsi="仿宋" w:eastAsia="仿宋" w:cs="仿宋"/>
          <w:color w:val="auto"/>
          <w:sz w:val="28"/>
          <w:highlight w:val="none"/>
          <w:u w:val="none"/>
          <w:lang w:val="en-US" w:eastAsia="zh-CN"/>
        </w:rPr>
        <w:t>条款</w:t>
      </w:r>
      <w:r>
        <w:rPr>
          <w:rFonts w:hint="eastAsia" w:ascii="仿宋" w:hAnsi="仿宋" w:eastAsia="仿宋" w:cs="仿宋"/>
          <w:color w:val="auto"/>
          <w:sz w:val="28"/>
          <w:highlight w:val="none"/>
          <w:u w:val="none"/>
          <w:lang w:eastAsia="zh-CN"/>
        </w:rPr>
        <w:t>为准，但如约定的乙方赔偿和违约责任</w:t>
      </w:r>
      <w:r>
        <w:rPr>
          <w:rFonts w:hint="eastAsia" w:ascii="仿宋" w:hAnsi="仿宋" w:eastAsia="仿宋" w:cs="仿宋"/>
          <w:color w:val="auto"/>
          <w:sz w:val="28"/>
          <w:highlight w:val="none"/>
          <w:u w:val="none"/>
          <w:lang w:val="en-US" w:eastAsia="zh-CN"/>
        </w:rPr>
        <w:t>标准</w:t>
      </w:r>
      <w:r>
        <w:rPr>
          <w:rFonts w:hint="eastAsia" w:ascii="仿宋" w:hAnsi="仿宋" w:eastAsia="仿宋" w:cs="仿宋"/>
          <w:color w:val="auto"/>
          <w:sz w:val="28"/>
          <w:highlight w:val="none"/>
          <w:u w:val="none"/>
          <w:lang w:eastAsia="zh-CN"/>
        </w:rPr>
        <w:t>高于本合同约定，则适用更高标准。</w:t>
      </w:r>
    </w:p>
    <w:p w14:paraId="0887A9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color w:val="auto"/>
          <w:sz w:val="28"/>
          <w:highlight w:val="none"/>
          <w:u w:val="none"/>
          <w:lang w:val="en-US" w:eastAsia="zh-CN"/>
        </w:rPr>
        <w:t>6.10</w:t>
      </w:r>
      <w:r>
        <w:rPr>
          <w:rFonts w:hint="eastAsia" w:ascii="仿宋" w:hAnsi="仿宋" w:eastAsia="仿宋" w:cs="仿宋"/>
          <w:b w:val="0"/>
          <w:bCs w:val="0"/>
          <w:color w:val="auto"/>
          <w:sz w:val="28"/>
          <w:highlight w:val="none"/>
          <w:u w:val="none"/>
          <w:lang w:eastAsia="zh-CN"/>
        </w:rPr>
        <w:t>本合同履行过程中，可能因乙方原因造成</w:t>
      </w:r>
      <w:r>
        <w:rPr>
          <w:rFonts w:hint="eastAsia" w:ascii="仿宋" w:hAnsi="仿宋" w:eastAsia="仿宋" w:cs="仿宋"/>
          <w:b w:val="0"/>
          <w:bCs w:val="0"/>
          <w:color w:val="auto"/>
          <w:sz w:val="28"/>
          <w:highlight w:val="none"/>
          <w:u w:val="none"/>
          <w:lang w:val="en-US" w:eastAsia="zh-CN"/>
        </w:rPr>
        <w:t>产品</w:t>
      </w:r>
      <w:r>
        <w:rPr>
          <w:rFonts w:hint="eastAsia" w:ascii="仿宋" w:hAnsi="仿宋" w:eastAsia="仿宋" w:cs="仿宋"/>
          <w:b w:val="0"/>
          <w:bCs w:val="0"/>
          <w:color w:val="auto"/>
          <w:sz w:val="28"/>
          <w:highlight w:val="none"/>
          <w:u w:val="none"/>
          <w:lang w:eastAsia="zh-CN"/>
        </w:rPr>
        <w:t>质量、安全文明等无法满足甲方及规范要求的，乙方须提供不属于其责任的证明并得到甲方的书面认可，否则视为乙方违约，全部责任、费用和损失由乙方承担。</w:t>
      </w:r>
    </w:p>
    <w:p w14:paraId="2D73C3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6.11合同履行期间，因乙方原因导致建设单位或其他单位对甲方进行处罚扣款的，甲方有权按处罚金额的2倍以上向乙方收取违约金。</w:t>
      </w:r>
    </w:p>
    <w:p w14:paraId="7CDE0A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6.12</w:t>
      </w:r>
      <w:r>
        <w:rPr>
          <w:rFonts w:hint="default" w:ascii="仿宋" w:hAnsi="仿宋" w:eastAsia="仿宋" w:cs="仿宋"/>
          <w:b w:val="0"/>
          <w:bCs w:val="0"/>
          <w:color w:val="auto"/>
          <w:sz w:val="28"/>
          <w:highlight w:val="none"/>
          <w:u w:val="none"/>
          <w:lang w:val="en-US" w:eastAsia="zh-CN"/>
        </w:rPr>
        <w:t>乙方未及时发放工人工资或及时支付货款，导致影响甲方或本项目的，每发生一次劳资纠纷或货款纠纷事件，乙方向甲方另行支付违约金叁万元</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若因乙方拖欠工人工资或货款，导致媒体曝光或政府部门介入的，乙方另向甲方支付违约金不少于100000元/次。</w:t>
      </w:r>
    </w:p>
    <w:p w14:paraId="4B1850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6.13</w:t>
      </w:r>
      <w:r>
        <w:rPr>
          <w:rFonts w:hint="default" w:ascii="仿宋" w:hAnsi="仿宋" w:eastAsia="仿宋" w:cs="仿宋"/>
          <w:b w:val="0"/>
          <w:bCs w:val="0"/>
          <w:color w:val="auto"/>
          <w:sz w:val="28"/>
          <w:highlight w:val="none"/>
          <w:u w:val="none"/>
          <w:lang w:val="en-US" w:eastAsia="zh-CN"/>
        </w:rPr>
        <w:t>因乙方原因导致甲方被起诉的，乙方除赔偿甲方损失外，甲方每被起诉一次，乙方向甲方支付五万元的违约金。若</w:t>
      </w:r>
      <w:r>
        <w:rPr>
          <w:rFonts w:hint="eastAsia" w:ascii="仿宋" w:hAnsi="仿宋" w:eastAsia="仿宋" w:cs="仿宋"/>
          <w:b w:val="0"/>
          <w:bCs w:val="0"/>
          <w:color w:val="auto"/>
          <w:sz w:val="28"/>
          <w:highlight w:val="none"/>
          <w:u w:val="none"/>
          <w:lang w:val="en-US" w:eastAsia="zh-CN"/>
        </w:rPr>
        <w:t>乙方</w:t>
      </w:r>
      <w:r>
        <w:rPr>
          <w:rFonts w:hint="default" w:ascii="仿宋" w:hAnsi="仿宋" w:eastAsia="仿宋" w:cs="仿宋"/>
          <w:b w:val="0"/>
          <w:bCs w:val="0"/>
          <w:color w:val="auto"/>
          <w:sz w:val="28"/>
          <w:highlight w:val="none"/>
          <w:u w:val="none"/>
          <w:lang w:val="en-US" w:eastAsia="zh-CN"/>
        </w:rPr>
        <w:t>导致甲方</w:t>
      </w:r>
      <w:r>
        <w:rPr>
          <w:rFonts w:hint="eastAsia" w:ascii="仿宋" w:hAnsi="仿宋" w:eastAsia="仿宋" w:cs="仿宋"/>
          <w:b w:val="0"/>
          <w:bCs w:val="0"/>
          <w:color w:val="auto"/>
          <w:sz w:val="28"/>
          <w:highlight w:val="none"/>
          <w:u w:val="none"/>
          <w:lang w:val="en-US" w:eastAsia="zh-CN"/>
        </w:rPr>
        <w:t>资金</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被冻结，乙方还</w:t>
      </w:r>
      <w:r>
        <w:rPr>
          <w:rFonts w:hint="eastAsia" w:ascii="仿宋" w:hAnsi="仿宋" w:eastAsia="仿宋" w:cs="仿宋"/>
          <w:b w:val="0"/>
          <w:bCs w:val="0"/>
          <w:color w:val="auto"/>
          <w:sz w:val="28"/>
          <w:highlight w:val="none"/>
          <w:u w:val="none"/>
          <w:lang w:val="en-US" w:eastAsia="zh-CN"/>
        </w:rPr>
        <w:t>须</w:t>
      </w:r>
      <w:r>
        <w:rPr>
          <w:rFonts w:hint="default" w:ascii="仿宋" w:hAnsi="仿宋" w:eastAsia="仿宋" w:cs="仿宋"/>
          <w:b w:val="0"/>
          <w:bCs w:val="0"/>
          <w:color w:val="auto"/>
          <w:sz w:val="28"/>
          <w:highlight w:val="none"/>
          <w:u w:val="none"/>
          <w:lang w:val="en-US" w:eastAsia="zh-CN"/>
        </w:rPr>
        <w:t>按冻结资金总额的日千分之一向甲方支付利息</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乙方</w:t>
      </w:r>
      <w:r>
        <w:rPr>
          <w:rFonts w:hint="eastAsia" w:ascii="仿宋" w:hAnsi="仿宋" w:eastAsia="仿宋" w:cs="仿宋"/>
          <w:b w:val="0"/>
          <w:bCs w:val="0"/>
          <w:color w:val="auto"/>
          <w:sz w:val="28"/>
          <w:highlight w:val="none"/>
          <w:u w:val="none"/>
          <w:lang w:val="en-US" w:eastAsia="zh-CN"/>
        </w:rPr>
        <w:t>同时赔偿</w:t>
      </w:r>
      <w:r>
        <w:rPr>
          <w:rFonts w:hint="default" w:ascii="仿宋" w:hAnsi="仿宋" w:eastAsia="仿宋" w:cs="仿宋"/>
          <w:b w:val="0"/>
          <w:bCs w:val="0"/>
          <w:color w:val="auto"/>
          <w:sz w:val="28"/>
          <w:highlight w:val="none"/>
          <w:u w:val="none"/>
          <w:lang w:val="en-US" w:eastAsia="zh-CN"/>
        </w:rPr>
        <w:t>甲方遭受的所有损失，并</w:t>
      </w:r>
      <w:r>
        <w:rPr>
          <w:rFonts w:hint="eastAsia" w:ascii="仿宋" w:hAnsi="仿宋" w:eastAsia="仿宋" w:cs="仿宋"/>
          <w:b w:val="0"/>
          <w:bCs w:val="0"/>
          <w:color w:val="auto"/>
          <w:sz w:val="28"/>
          <w:highlight w:val="none"/>
          <w:u w:val="none"/>
          <w:lang w:val="en-US" w:eastAsia="zh-CN"/>
        </w:rPr>
        <w:t>按</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被冻结次数每次额外向甲方</w:t>
      </w:r>
      <w:r>
        <w:rPr>
          <w:rFonts w:hint="eastAsia" w:ascii="仿宋" w:hAnsi="仿宋" w:eastAsia="仿宋" w:cs="仿宋"/>
          <w:b w:val="0"/>
          <w:bCs w:val="0"/>
          <w:color w:val="auto"/>
          <w:sz w:val="28"/>
          <w:highlight w:val="none"/>
          <w:u w:val="none"/>
          <w:lang w:val="en-US" w:eastAsia="zh-CN"/>
        </w:rPr>
        <w:t>承担</w:t>
      </w:r>
      <w:r>
        <w:rPr>
          <w:rFonts w:hint="default" w:ascii="仿宋" w:hAnsi="仿宋" w:eastAsia="仿宋" w:cs="仿宋"/>
          <w:b w:val="0"/>
          <w:bCs w:val="0"/>
          <w:color w:val="auto"/>
          <w:sz w:val="28"/>
          <w:highlight w:val="none"/>
          <w:u w:val="none"/>
          <w:lang w:val="en-US" w:eastAsia="zh-CN"/>
        </w:rPr>
        <w:t>50000元违约金。</w:t>
      </w:r>
    </w:p>
    <w:p w14:paraId="4EC3838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color w:val="auto"/>
          <w:sz w:val="28"/>
          <w:highlight w:val="none"/>
          <w:u w:val="none"/>
        </w:rPr>
      </w:pPr>
      <w:bookmarkStart w:id="11" w:name="_Toc29740"/>
      <w:bookmarkStart w:id="12" w:name="_Toc23129"/>
      <w:r>
        <w:rPr>
          <w:rFonts w:hint="eastAsia" w:ascii="仿宋" w:hAnsi="仿宋" w:eastAsia="仿宋" w:cs="仿宋"/>
          <w:b/>
          <w:bCs/>
          <w:color w:val="auto"/>
          <w:sz w:val="28"/>
          <w:highlight w:val="none"/>
          <w:lang w:val="en-US" w:eastAsia="zh-CN"/>
        </w:rPr>
        <w:t>第七章、</w:t>
      </w:r>
      <w:r>
        <w:rPr>
          <w:rFonts w:hint="eastAsia" w:ascii="仿宋" w:hAnsi="仿宋" w:eastAsia="仿宋" w:cs="仿宋"/>
          <w:b/>
          <w:bCs/>
          <w:color w:val="auto"/>
          <w:sz w:val="28"/>
          <w:highlight w:val="none"/>
          <w:u w:val="none"/>
        </w:rPr>
        <w:t>廉洁条款</w:t>
      </w:r>
      <w:bookmarkEnd w:id="11"/>
      <w:bookmarkEnd w:id="12"/>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21F842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7.1</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合作期间（包括本合同</w:t>
      </w:r>
      <w:r>
        <w:rPr>
          <w:rFonts w:hint="eastAsia" w:ascii="仿宋" w:hAnsi="仿宋" w:eastAsia="仿宋" w:cs="仿宋"/>
          <w:color w:val="auto"/>
          <w:sz w:val="28"/>
          <w:highlight w:val="none"/>
          <w:u w:val="none"/>
          <w:lang w:val="en-US" w:eastAsia="zh-CN"/>
        </w:rPr>
        <w:t>招标、</w:t>
      </w:r>
      <w:r>
        <w:rPr>
          <w:rFonts w:hint="eastAsia" w:ascii="仿宋" w:hAnsi="仿宋" w:eastAsia="仿宋" w:cs="仿宋"/>
          <w:color w:val="auto"/>
          <w:sz w:val="28"/>
          <w:highlight w:val="none"/>
          <w:u w:val="none"/>
        </w:rPr>
        <w:t>洽谈、签约、履约期间），不得向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职员提供请吃、送礼、旅游、色情服务、行贿、回扣或其他好处，如有违反，</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支付人民币十万元作为违约金（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可从任意一笔合同款中扣款），造成</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经济或其他损失的，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全额赔偿</w:t>
      </w:r>
      <w:r>
        <w:rPr>
          <w:rFonts w:hint="eastAsia" w:ascii="仿宋" w:hAnsi="仿宋" w:eastAsia="仿宋" w:cs="仿宋"/>
          <w:color w:val="auto"/>
          <w:sz w:val="28"/>
          <w:highlight w:val="none"/>
          <w:u w:val="none"/>
          <w:lang w:eastAsia="zh-CN"/>
        </w:rPr>
        <w:t>，且甲方有权单方解除本合同。</w:t>
      </w:r>
    </w:p>
    <w:p w14:paraId="2B403B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7.2甲乙</w:t>
      </w:r>
      <w:r>
        <w:rPr>
          <w:rFonts w:hint="eastAsia" w:ascii="仿宋" w:hAnsi="仿宋" w:eastAsia="仿宋" w:cs="仿宋"/>
          <w:color w:val="auto"/>
          <w:sz w:val="28"/>
          <w:highlight w:val="none"/>
        </w:rPr>
        <w:t>双方管理人员有权拒绝执行合同以外的违法要求。</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发现</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向</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人员或</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委托的其他人员行贿或输送不正当利益的，</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有权对</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进行处罚并单方解除合同，对所发生的工程量/工作量不予结算及不支付费用</w:t>
      </w:r>
      <w:r>
        <w:rPr>
          <w:rFonts w:hint="eastAsia" w:ascii="仿宋" w:hAnsi="仿宋" w:eastAsia="仿宋" w:cs="仿宋"/>
          <w:color w:val="auto"/>
          <w:sz w:val="28"/>
          <w:highlight w:val="none"/>
          <w:lang w:eastAsia="zh-CN"/>
        </w:rPr>
        <w:t>。</w:t>
      </w:r>
    </w:p>
    <w:p w14:paraId="237F98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7.3 如甲方发现乙方可能存在违反本廉洁条款的行为时，甲方有权暂扣违约金/争议合同款/处罚款等对应等额的合同款，直至调查完毕后根据调查结果再作处理，甲方暂不付款的行为不视为甲方违约。</w:t>
      </w:r>
    </w:p>
    <w:p w14:paraId="74CA364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highlight w:val="none"/>
          <w:lang w:eastAsia="zh-CN"/>
        </w:rPr>
      </w:pPr>
      <w:bookmarkStart w:id="13" w:name="_Toc23013"/>
      <w:bookmarkStart w:id="14" w:name="_Toc32263"/>
      <w:r>
        <w:rPr>
          <w:rFonts w:hint="eastAsia" w:ascii="仿宋" w:hAnsi="仿宋" w:eastAsia="仿宋" w:cs="仿宋"/>
          <w:b/>
          <w:bCs/>
          <w:color w:val="auto"/>
          <w:sz w:val="28"/>
          <w:highlight w:val="none"/>
          <w:lang w:val="en-US" w:eastAsia="zh-CN"/>
        </w:rPr>
        <w:t>第八章</w:t>
      </w:r>
      <w:r>
        <w:rPr>
          <w:rFonts w:hint="eastAsia" w:ascii="仿宋" w:hAnsi="仿宋" w:eastAsia="仿宋" w:cs="仿宋"/>
          <w:b/>
          <w:bCs/>
          <w:color w:val="auto"/>
          <w:sz w:val="28"/>
          <w:highlight w:val="none"/>
          <w:lang w:eastAsia="zh-CN"/>
        </w:rPr>
        <w:t>、其他</w:t>
      </w:r>
      <w:bookmarkEnd w:id="13"/>
      <w:bookmarkEnd w:id="14"/>
    </w:p>
    <w:p w14:paraId="75E01C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8.1合同价款及合同条款已考虑各类疾病疫情影响，乙方不以疫情为由要求甲方对合同价款、结算办法及货期等合同条款进行调整，防疫措施的一切费用由乙方承担。</w:t>
      </w:r>
    </w:p>
    <w:p w14:paraId="495C9F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8.2乙方人员在本合同履行期间所发生的所有安全事故，均由乙方承担所涉及的全部费用及损失，对甲方造成损失的则赔偿甲方损失。</w:t>
      </w:r>
    </w:p>
    <w:p w14:paraId="4C92B4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8.3甲、乙双方对产品质量有争议的，由产品使用地点的、国家规定的质量检测机构鉴定，所需费用及因此造成的损失由责任方承担。如双方均有责任，由双方根据各自责任分别承担。不可抗力的情形按国家相应规定执行。</w:t>
      </w:r>
    </w:p>
    <w:p w14:paraId="1FCC0D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8.4甲方因参与本合同履行而发出、或与乙方达成合意所形成的一切相关文件，均须同时具备甲方公章及法定代表人（或授权代表人）签名，否则均不对甲方产生约束力，除非事后获得甲方另行追认。</w:t>
      </w:r>
    </w:p>
    <w:p w14:paraId="5D0E32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8.5本合同附件与合同正文具有同等法律效力，乙方须照章执行，此类文件格式以供应产品时甲方提供的最新版格式为准，最终解释权归甲方所有。</w:t>
      </w:r>
    </w:p>
    <w:p w14:paraId="536F6C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8.6本合同执行期间，甲方制度文件如有更新，按甲方最新版要求执行，最终解释权归甲方所有。</w:t>
      </w:r>
    </w:p>
    <w:p w14:paraId="37892E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8.7本合同条款相互矛盾、表达含糊的，以最有利于甲方的条款执行。</w:t>
      </w:r>
    </w:p>
    <w:p w14:paraId="1F1CAB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8.8专利技术及特殊工艺 </w:t>
      </w:r>
    </w:p>
    <w:p w14:paraId="084CC4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8.8.1乙方须保障甲方在使用其提供的产品、服务不受到第三方关于侵权的指控。如果出现此类情况，由乙方与第三方交涉并承担一切费用和责任，如造成甲方损失的，乙方向甲方赔偿。</w:t>
      </w:r>
    </w:p>
    <w:p w14:paraId="5FAC2D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8.8.2乙方擅自使用他人专利技术，侵犯他人专利权的，乙方依法承担相应责任。</w:t>
      </w:r>
    </w:p>
    <w:p w14:paraId="384BE7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8.9本合同履行过程中，乙方如进行企业名称变更，须提前5个日历天书面报告甲方并随附工商登记主管部门核发的相应证明文件，否则甲方有权中止合同付款义务，直至乙方就该变更事宜提交有效证明文件并配合甲方完成对乙方主体身份的核验，其过程所延误的付款时间属乙方责任，损失由乙方全部承担。本合同履行过程中，如乙方自身主体被工商登记主管部门注销，甲方有权不履行合同付款义务且属乙方责任，一切损失由乙方承担，甲方无须承担任何违约责任和费用。</w:t>
      </w:r>
    </w:p>
    <w:p w14:paraId="574A4205">
      <w:pPr>
        <w:pStyle w:val="8"/>
        <w:keepNext w:val="0"/>
        <w:keepLines w:val="0"/>
        <w:pageBreakBefore w:val="0"/>
        <w:wordWrap/>
        <w:topLinePunct w:val="0"/>
        <w:bidi w:val="0"/>
        <w:snapToGrid/>
        <w:spacing w:line="360" w:lineRule="auto"/>
        <w:textAlignment w:val="auto"/>
        <w:rPr>
          <w:rFonts w:hint="eastAsia" w:ascii="仿宋" w:hAnsi="仿宋" w:eastAsia="仿宋" w:cs="仿宋"/>
          <w:b w:val="0"/>
          <w:bCs w:val="0"/>
          <w:color w:val="auto"/>
          <w:kern w:val="2"/>
          <w:sz w:val="28"/>
          <w:szCs w:val="24"/>
          <w:highlight w:val="none"/>
          <w:lang w:val="en-US" w:eastAsia="zh-CN" w:bidi="ar-SA"/>
        </w:rPr>
      </w:pPr>
      <w:r>
        <w:rPr>
          <w:rFonts w:hint="eastAsia" w:ascii="仿宋" w:hAnsi="仿宋" w:eastAsia="仿宋" w:cs="仿宋"/>
          <w:b w:val="0"/>
          <w:bCs w:val="0"/>
          <w:color w:val="auto"/>
          <w:sz w:val="28"/>
          <w:highlight w:val="none"/>
          <w:lang w:val="en-US" w:eastAsia="zh-CN"/>
        </w:rPr>
        <w:t>8.10</w:t>
      </w:r>
      <w:r>
        <w:rPr>
          <w:rFonts w:hint="eastAsia" w:ascii="仿宋" w:hAnsi="仿宋" w:eastAsia="仿宋" w:cs="仿宋"/>
          <w:b w:val="0"/>
          <w:bCs w:val="0"/>
          <w:color w:val="auto"/>
          <w:kern w:val="2"/>
          <w:sz w:val="28"/>
          <w:szCs w:val="24"/>
          <w:highlight w:val="none"/>
          <w:lang w:val="en-US" w:eastAsia="zh-CN" w:bidi="ar-SA"/>
        </w:rPr>
        <w:t>乙方与第三方发生的任何经济往来、债务纠纷均与甲方无关。乙方须保证所供应产品无权属上的瑕疵和知识产权的争议，若因此对甲方造成损失，则由乙方全责赔偿。</w:t>
      </w:r>
    </w:p>
    <w:p w14:paraId="2DBDBAB9">
      <w:pPr>
        <w:pStyle w:val="8"/>
        <w:keepNext w:val="0"/>
        <w:keepLines w:val="0"/>
        <w:pageBreakBefore w:val="0"/>
        <w:wordWrap/>
        <w:topLinePunct w:val="0"/>
        <w:bidi w:val="0"/>
        <w:snapToGrid/>
        <w:spacing w:line="360" w:lineRule="auto"/>
        <w:textAlignment w:val="auto"/>
        <w:rPr>
          <w:rFonts w:hint="eastAsia" w:ascii="仿宋" w:hAnsi="仿宋" w:eastAsia="仿宋" w:cs="仿宋"/>
          <w:b w:val="0"/>
          <w:bCs w:val="0"/>
          <w:color w:val="auto"/>
          <w:kern w:val="2"/>
          <w:sz w:val="28"/>
          <w:szCs w:val="24"/>
          <w:highlight w:val="none"/>
          <w:lang w:val="en-US" w:eastAsia="zh-CN" w:bidi="ar-SA"/>
        </w:rPr>
      </w:pPr>
      <w:r>
        <w:rPr>
          <w:rFonts w:hint="eastAsia" w:ascii="仿宋" w:hAnsi="仿宋" w:eastAsia="仿宋" w:cs="仿宋"/>
          <w:b w:val="0"/>
          <w:bCs w:val="0"/>
          <w:color w:val="auto"/>
          <w:sz w:val="28"/>
          <w:highlight w:val="none"/>
          <w:lang w:val="en-US" w:eastAsia="zh-CN"/>
        </w:rPr>
        <w:t>8.11</w:t>
      </w:r>
      <w:r>
        <w:rPr>
          <w:rFonts w:hint="eastAsia" w:ascii="仿宋" w:hAnsi="仿宋" w:eastAsia="仿宋" w:cs="仿宋"/>
          <w:b w:val="0"/>
          <w:bCs w:val="0"/>
          <w:color w:val="auto"/>
          <w:kern w:val="2"/>
          <w:sz w:val="28"/>
          <w:szCs w:val="24"/>
          <w:highlight w:val="none"/>
          <w:lang w:val="en-US" w:eastAsia="zh-CN" w:bidi="ar-SA"/>
        </w:rPr>
        <w:t>乙方与第三人签订的劳动、租赁、买卖等一切合同，与甲方无关。乙方在履行本合同期间发生的与第三方一切合同债务，由乙方负全责处理并承担责任。</w:t>
      </w:r>
    </w:p>
    <w:p w14:paraId="65B990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8.12签订本合同后，乙方只是取得供应资格且向甲方确定了可接受的交易条件，并不意味着双方的成交，能否向甲方销售产品以甲方发出的通知为准。甲方随时有权另向第三方交易。在甲方未向乙方发出具体的订货通知之前，乙方无权以本合同为由要求甲方进行交易及支付任何费用。</w:t>
      </w:r>
    </w:p>
    <w:p w14:paraId="62AC5E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8.13本合同未尽事宜或需变更的，双方另行签订补充协议进行明确。与本合同相关的争议，双方友好协商解决，协商不成则提交甲方所在地人民法院以诉讼方式解决。</w:t>
      </w:r>
    </w:p>
    <w:p w14:paraId="7B25B2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8.14</w:t>
      </w:r>
      <w:r>
        <w:rPr>
          <w:rFonts w:hint="eastAsia" w:ascii="仿宋" w:hAnsi="仿宋" w:eastAsia="仿宋" w:cs="仿宋"/>
          <w:color w:val="auto"/>
          <w:sz w:val="28"/>
          <w:highlight w:val="none"/>
          <w:u w:val="none"/>
        </w:rPr>
        <w:t>本合同壹式</w:t>
      </w:r>
      <w:r>
        <w:rPr>
          <w:rFonts w:hint="eastAsia" w:ascii="仿宋" w:hAnsi="仿宋" w:eastAsia="仿宋" w:cs="仿宋"/>
          <w:color w:val="auto"/>
          <w:sz w:val="28"/>
          <w:highlight w:val="none"/>
          <w:u w:val="none"/>
          <w:lang w:val="en-US" w:eastAsia="zh-CN"/>
        </w:rPr>
        <w:t>贰</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壹</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壹份，均具同等效力</w:t>
      </w:r>
      <w:r>
        <w:rPr>
          <w:rFonts w:hint="eastAsia" w:ascii="仿宋" w:hAnsi="仿宋" w:eastAsia="仿宋" w:cs="仿宋"/>
          <w:color w:val="auto"/>
          <w:sz w:val="28"/>
          <w:highlight w:val="none"/>
          <w:u w:val="none"/>
          <w:lang w:eastAsia="zh-CN"/>
        </w:rPr>
        <w:t>。</w:t>
      </w:r>
      <w:r>
        <w:rPr>
          <w:rFonts w:hint="eastAsia" w:ascii="仿宋" w:hAnsi="仿宋" w:eastAsia="仿宋" w:cs="仿宋"/>
          <w:b w:val="0"/>
          <w:bCs w:val="0"/>
          <w:color w:val="auto"/>
          <w:sz w:val="28"/>
          <w:highlight w:val="none"/>
          <w:lang w:val="en-US" w:eastAsia="zh-CN"/>
        </w:rPr>
        <w:t>本合同自甲乙双方签字、加盖公章（或合同章）之日起生效，在结算价款支付完毕、乙方向甲方交付合格产品，双方履行完合同义务、责任之日起，本合同其余条款（保修条款除外）自动终止。</w:t>
      </w:r>
    </w:p>
    <w:p w14:paraId="21C4DE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8.15以下文件均为合同有效组成部分，各文件互相解释，互为说明。当合同文件中出现不一致时，除合同另有约定外，以下排列顺序就是各合同文件的优先解释顺序：</w:t>
      </w:r>
    </w:p>
    <w:p w14:paraId="496870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① 合同履行过程中，双方法人代表或授权人签字并加盖公章的补充协议；</w:t>
      </w:r>
    </w:p>
    <w:p w14:paraId="01739E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② 本合同书（含附件）；</w:t>
      </w:r>
    </w:p>
    <w:p w14:paraId="3432AE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③ 经甲方确认的方案及相关设计变更；</w:t>
      </w:r>
    </w:p>
    <w:p w14:paraId="1F418B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④ 本合同对应的招标文件（含相关答疑、补充通知等）；</w:t>
      </w:r>
    </w:p>
    <w:p w14:paraId="359A5E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⑤ 乙方发出的、经甲方确认的本合同对应的投标文件及相关澄清文件；</w:t>
      </w:r>
    </w:p>
    <w:p w14:paraId="4E8F8C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⑥ 项目所在地现行的法律、法规、标准、规范。</w:t>
      </w:r>
    </w:p>
    <w:p w14:paraId="1CC258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8.16本合同正文为清洁打印文本，如双方对此合同有任何修改及补充均应另行签订补充协议。合同正文中任何非打印的文字或者图形，除非经双方确认同意，否则不产生约束力。</w:t>
      </w:r>
    </w:p>
    <w:p w14:paraId="66BF54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8.17甲乙双方均确认已经审阅并理解本合同的条款，且已经就条款相关的任何疑问得到满意的解释，并确认本合同的条款为双方本着诚信互利的原则友好协商一致的结果，不属于任何一方的格式条款。</w:t>
      </w:r>
    </w:p>
    <w:p w14:paraId="5A81EB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eastAsia="zh-CN"/>
        </w:rPr>
        <w:t>（以下无正文）</w:t>
      </w:r>
    </w:p>
    <w:p w14:paraId="7F0EBD1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highlight w:val="none"/>
          <w:u w:val="none"/>
          <w:lang w:val="en-US" w:eastAsia="zh-CN"/>
        </w:rPr>
      </w:pPr>
      <w:r>
        <w:rPr>
          <w:rFonts w:hint="eastAsia" w:ascii="仿宋" w:hAnsi="仿宋" w:eastAsia="仿宋" w:cs="仿宋"/>
          <w:b/>
          <w:bCs/>
          <w:color w:val="auto"/>
          <w:sz w:val="28"/>
          <w:highlight w:val="none"/>
          <w:u w:val="none"/>
          <w:lang w:val="en-US" w:eastAsia="zh-CN"/>
        </w:rPr>
        <w:t>合同附件</w:t>
      </w:r>
    </w:p>
    <w:p w14:paraId="3933BCA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附件一：</w:t>
      </w:r>
      <w:r>
        <w:rPr>
          <w:rFonts w:hint="eastAsia" w:ascii="仿宋" w:hAnsi="仿宋" w:eastAsia="仿宋" w:cs="仿宋"/>
          <w:color w:val="auto"/>
          <w:sz w:val="28"/>
          <w:highlight w:val="none"/>
          <w:u w:val="none"/>
          <w:lang w:val="en-US" w:eastAsia="zh-CN"/>
        </w:rPr>
        <w:t xml:space="preserve">《结清承诺书》格式；  </w:t>
      </w:r>
    </w:p>
    <w:p w14:paraId="2960A71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附件二：《</w:t>
      </w:r>
      <w:r>
        <w:rPr>
          <w:rFonts w:hint="eastAsia" w:ascii="仿宋" w:hAnsi="仿宋" w:eastAsia="仿宋" w:cs="仿宋"/>
          <w:color w:val="auto"/>
          <w:sz w:val="28"/>
          <w:highlight w:val="none"/>
          <w:u w:val="none"/>
          <w:lang w:val="en-US" w:eastAsia="zh-CN"/>
        </w:rPr>
        <w:t>同意</w:t>
      </w:r>
      <w:r>
        <w:rPr>
          <w:rFonts w:hint="default" w:ascii="仿宋" w:hAnsi="仿宋" w:eastAsia="仿宋" w:cs="仿宋"/>
          <w:color w:val="auto"/>
          <w:sz w:val="28"/>
          <w:highlight w:val="none"/>
          <w:u w:val="none"/>
          <w:lang w:val="en-US" w:eastAsia="zh-CN"/>
        </w:rPr>
        <w:t>延迟付款声明函》格式</w:t>
      </w:r>
      <w:r>
        <w:rPr>
          <w:rFonts w:hint="eastAsia" w:ascii="仿宋" w:hAnsi="仿宋" w:eastAsia="仿宋" w:cs="仿宋"/>
          <w:color w:val="auto"/>
          <w:sz w:val="28"/>
          <w:highlight w:val="none"/>
          <w:u w:val="none"/>
          <w:lang w:val="en-US" w:eastAsia="zh-CN"/>
        </w:rPr>
        <w:t>；</w:t>
      </w:r>
    </w:p>
    <w:p w14:paraId="61AB942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附件三：《材料款申报审批表》格式；</w:t>
      </w:r>
    </w:p>
    <w:p w14:paraId="1B79B8A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附件四：《款项支付台账》格式；</w:t>
      </w:r>
    </w:p>
    <w:p w14:paraId="00F6919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附件五：《供应商月度对账单》格式；</w:t>
      </w:r>
    </w:p>
    <w:p w14:paraId="19B4CDD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附件六：</w:t>
      </w:r>
      <w:r>
        <w:rPr>
          <w:rFonts w:hint="default" w:ascii="仿宋" w:hAnsi="仿宋" w:eastAsia="仿宋" w:cs="仿宋"/>
          <w:color w:val="auto"/>
          <w:sz w:val="28"/>
          <w:highlight w:val="none"/>
          <w:u w:val="none"/>
          <w:lang w:val="en-US" w:eastAsia="zh-CN"/>
        </w:rPr>
        <w:t>《项目部用章》格式</w:t>
      </w:r>
      <w:r>
        <w:rPr>
          <w:rFonts w:hint="eastAsia" w:ascii="仿宋" w:hAnsi="仿宋" w:eastAsia="仿宋" w:cs="仿宋"/>
          <w:color w:val="auto"/>
          <w:sz w:val="28"/>
          <w:highlight w:val="none"/>
          <w:u w:val="none"/>
          <w:lang w:val="en-US" w:eastAsia="zh-CN"/>
        </w:rPr>
        <w:t>；</w:t>
      </w:r>
    </w:p>
    <w:p w14:paraId="65DB6FB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附件七：《物料申购单》</w:t>
      </w:r>
      <w:r>
        <w:rPr>
          <w:rFonts w:hint="default" w:ascii="仿宋" w:hAnsi="仿宋" w:eastAsia="仿宋" w:cs="仿宋"/>
          <w:color w:val="auto"/>
          <w:sz w:val="28"/>
          <w:highlight w:val="none"/>
          <w:u w:val="none"/>
          <w:lang w:val="en-US" w:eastAsia="zh-CN"/>
        </w:rPr>
        <w:t>格式</w:t>
      </w:r>
      <w:r>
        <w:rPr>
          <w:rFonts w:hint="eastAsia" w:ascii="仿宋" w:hAnsi="仿宋" w:eastAsia="仿宋" w:cs="仿宋"/>
          <w:color w:val="auto"/>
          <w:sz w:val="28"/>
          <w:highlight w:val="none"/>
          <w:u w:val="none"/>
          <w:lang w:val="en-US" w:eastAsia="zh-CN"/>
        </w:rPr>
        <w:t xml:space="preserve">。  </w:t>
      </w:r>
    </w:p>
    <w:p w14:paraId="37D1AF1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p>
    <w:p w14:paraId="0C09B90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甲  </w:t>
      </w:r>
      <w:r>
        <w:rPr>
          <w:rFonts w:hint="eastAsia" w:ascii="仿宋" w:hAnsi="仿宋" w:eastAsia="仿宋" w:cs="仿宋"/>
          <w:b/>
          <w:bCs/>
          <w:color w:val="auto"/>
          <w:sz w:val="24"/>
          <w:szCs w:val="24"/>
          <w:highlight w:val="none"/>
        </w:rPr>
        <w:t>方：东莞市中泰建安</w:t>
      </w:r>
      <w:r>
        <w:rPr>
          <w:rFonts w:hint="eastAsia" w:ascii="仿宋" w:hAnsi="仿宋" w:eastAsia="仿宋" w:cs="仿宋"/>
          <w:b/>
          <w:bCs/>
          <w:color w:val="auto"/>
          <w:sz w:val="24"/>
          <w:szCs w:val="24"/>
          <w:highlight w:val="none"/>
          <w:lang w:eastAsia="zh-CN"/>
        </w:rPr>
        <w:t>工程有限公司</w:t>
      </w:r>
      <w:r>
        <w:rPr>
          <w:rFonts w:hint="eastAsia" w:ascii="仿宋" w:hAnsi="仿宋" w:eastAsia="仿宋" w:cs="仿宋"/>
          <w:b/>
          <w:bCs/>
          <w:color w:val="auto"/>
          <w:sz w:val="24"/>
          <w:szCs w:val="24"/>
          <w:highlight w:val="none"/>
          <w:lang w:val="en-US" w:eastAsia="zh-CN"/>
        </w:rPr>
        <w:t xml:space="preserve">         乙  </w:t>
      </w:r>
      <w:r>
        <w:rPr>
          <w:rFonts w:hint="eastAsia" w:ascii="仿宋" w:hAnsi="仿宋" w:eastAsia="仿宋" w:cs="仿宋"/>
          <w:b/>
          <w:bCs/>
          <w:color w:val="auto"/>
          <w:sz w:val="24"/>
          <w:szCs w:val="24"/>
          <w:highlight w:val="none"/>
        </w:rPr>
        <w:t>方：</w:t>
      </w:r>
      <w:r>
        <w:rPr>
          <w:rFonts w:hint="eastAsia" w:ascii="仿宋" w:hAnsi="仿宋" w:eastAsia="仿宋" w:cs="仿宋"/>
          <w:b/>
          <w:bCs/>
          <w:color w:val="auto"/>
          <w:sz w:val="24"/>
          <w:szCs w:val="24"/>
          <w:highlight w:val="none"/>
          <w:lang w:val="en-US" w:eastAsia="zh-CN"/>
        </w:rPr>
        <w:t>XXX</w:t>
      </w:r>
    </w:p>
    <w:p w14:paraId="29B3F11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盖章</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盖章</w:t>
      </w:r>
      <w:r>
        <w:rPr>
          <w:rFonts w:hint="eastAsia" w:ascii="仿宋" w:hAnsi="仿宋" w:eastAsia="仿宋" w:cs="仿宋"/>
          <w:b/>
          <w:bCs/>
          <w:color w:val="auto"/>
          <w:sz w:val="24"/>
          <w:szCs w:val="24"/>
          <w:highlight w:val="none"/>
          <w:lang w:eastAsia="zh-CN"/>
        </w:rPr>
        <w:t>）</w:t>
      </w:r>
    </w:p>
    <w:p w14:paraId="358E300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highlight w:val="none"/>
        </w:rPr>
      </w:pPr>
    </w:p>
    <w:p w14:paraId="78AFE76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签约代表：</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签约代表:</w:t>
      </w:r>
      <w:r>
        <w:rPr>
          <w:rFonts w:hint="eastAsia" w:ascii="仿宋" w:hAnsi="仿宋" w:eastAsia="仿宋" w:cs="仿宋"/>
          <w:b/>
          <w:bCs/>
          <w:color w:val="auto"/>
          <w:sz w:val="24"/>
          <w:szCs w:val="24"/>
          <w:highlight w:val="none"/>
          <w:lang w:val="en-US" w:eastAsia="zh-CN"/>
        </w:rPr>
        <w:t>XXX</w:t>
      </w:r>
    </w:p>
    <w:p w14:paraId="51C90DC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highlight w:val="none"/>
        </w:rPr>
      </w:pPr>
    </w:p>
    <w:p w14:paraId="09A4338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纳税号：91441900732168546R</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纳税号：</w:t>
      </w:r>
      <w:r>
        <w:rPr>
          <w:rFonts w:hint="eastAsia" w:ascii="仿宋" w:hAnsi="仿宋" w:eastAsia="仿宋" w:cs="仿宋"/>
          <w:b/>
          <w:bCs/>
          <w:color w:val="auto"/>
          <w:sz w:val="24"/>
          <w:szCs w:val="24"/>
          <w:highlight w:val="none"/>
          <w:lang w:val="en-US" w:eastAsia="zh-CN"/>
        </w:rPr>
        <w:t>XXX</w:t>
      </w:r>
    </w:p>
    <w:p w14:paraId="56A7FC33">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账  号：548000013639239</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账  号</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XXX</w:t>
      </w:r>
    </w:p>
    <w:p w14:paraId="47659CF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开户行：东莞银行股份有限公司元美支行</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开户行：</w:t>
      </w:r>
      <w:r>
        <w:rPr>
          <w:rFonts w:hint="eastAsia" w:ascii="仿宋" w:hAnsi="仿宋" w:eastAsia="仿宋" w:cs="仿宋"/>
          <w:b/>
          <w:bCs/>
          <w:color w:val="auto"/>
          <w:sz w:val="24"/>
          <w:szCs w:val="24"/>
          <w:highlight w:val="none"/>
          <w:lang w:val="en-US" w:eastAsia="zh-CN"/>
        </w:rPr>
        <w:t>XXX</w:t>
      </w:r>
    </w:p>
    <w:p w14:paraId="125C322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地  址：</w:t>
      </w:r>
      <w:r>
        <w:rPr>
          <w:rFonts w:hint="eastAsia" w:ascii="仿宋" w:hAnsi="仿宋" w:eastAsia="仿宋" w:cs="仿宋"/>
          <w:b/>
          <w:bCs/>
          <w:color w:val="auto"/>
          <w:sz w:val="22"/>
          <w:szCs w:val="22"/>
          <w:highlight w:val="none"/>
        </w:rPr>
        <w:t>广东省东莞市南城街道鸿福路106号</w:t>
      </w:r>
      <w:r>
        <w:rPr>
          <w:rFonts w:hint="eastAsia" w:ascii="仿宋" w:hAnsi="仿宋" w:eastAsia="仿宋" w:cs="仿宋"/>
          <w:b/>
          <w:bCs/>
          <w:color w:val="auto"/>
          <w:sz w:val="24"/>
          <w:szCs w:val="24"/>
          <w:highlight w:val="none"/>
          <w:lang w:val="en-US" w:eastAsia="zh-CN"/>
        </w:rPr>
        <w:t xml:space="preserve">      地  址：XXX</w:t>
      </w:r>
    </w:p>
    <w:p w14:paraId="178C25B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83" w:firstLineChars="4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2"/>
          <w:szCs w:val="22"/>
          <w:highlight w:val="none"/>
        </w:rPr>
        <w:t>1栋1712室01</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p>
    <w:p w14:paraId="42D0995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99" w:leftChars="-95" w:firstLine="241" w:firstLineChars="1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 xml:space="preserve">电  话：0769-22311322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电  话：</w:t>
      </w:r>
      <w:r>
        <w:rPr>
          <w:rFonts w:hint="eastAsia" w:ascii="仿宋" w:hAnsi="仿宋" w:eastAsia="仿宋" w:cs="仿宋"/>
          <w:b/>
          <w:bCs/>
          <w:color w:val="auto"/>
          <w:sz w:val="24"/>
          <w:szCs w:val="24"/>
          <w:highlight w:val="none"/>
          <w:lang w:val="en-US" w:eastAsia="zh-CN"/>
        </w:rPr>
        <w:t>XXX</w:t>
      </w:r>
    </w:p>
    <w:p w14:paraId="6D87F2E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99" w:leftChars="-95" w:firstLine="0" w:firstLineChars="0"/>
        <w:textAlignment w:val="auto"/>
        <w:rPr>
          <w:rFonts w:hint="eastAsia" w:ascii="仿宋" w:hAnsi="仿宋" w:eastAsia="仿宋" w:cs="仿宋"/>
          <w:b/>
          <w:bCs/>
          <w:color w:val="auto"/>
          <w:sz w:val="24"/>
          <w:szCs w:val="24"/>
          <w:highlight w:val="none"/>
        </w:rPr>
      </w:pPr>
    </w:p>
    <w:p w14:paraId="540EA36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99" w:leftChars="-95" w:firstLine="0" w:firstLineChars="0"/>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28"/>
          <w:szCs w:val="22"/>
          <w:highlight w:val="none"/>
          <w:shd w:val="clear" w:color="auto" w:fill="auto"/>
          <w:lang w:val="en-US" w:eastAsia="zh-CN"/>
        </w:rPr>
        <w:t>【甲方人员如有营私舞弊、吃拿卡要等损害乙方合法权益的行为，乙方可拨打投诉专线4000968086或发邮件至投诉邮箱：</w:t>
      </w:r>
      <w:r>
        <w:rPr>
          <w:rFonts w:hint="eastAsia" w:ascii="仿宋" w:hAnsi="仿宋" w:eastAsia="仿宋" w:cs="仿宋"/>
          <w:b/>
          <w:bCs/>
          <w:color w:val="auto"/>
          <w:sz w:val="28"/>
          <w:szCs w:val="22"/>
          <w:highlight w:val="none"/>
          <w:u w:val="none"/>
          <w:shd w:val="clear" w:color="auto" w:fill="auto"/>
          <w:lang w:val="en-US" w:eastAsia="zh-CN"/>
        </w:rPr>
        <w:fldChar w:fldCharType="begin"/>
      </w:r>
      <w:r>
        <w:rPr>
          <w:rFonts w:hint="eastAsia" w:ascii="仿宋" w:hAnsi="仿宋" w:eastAsia="仿宋" w:cs="仿宋"/>
          <w:b/>
          <w:bCs/>
          <w:color w:val="auto"/>
          <w:sz w:val="28"/>
          <w:szCs w:val="22"/>
          <w:highlight w:val="none"/>
          <w:u w:val="none"/>
          <w:shd w:val="clear" w:color="auto" w:fill="auto"/>
          <w:lang w:val="en-US" w:eastAsia="zh-CN"/>
        </w:rPr>
        <w:instrText xml:space="preserve"> HYPERLINK "mailto:zhglzx@nanfeng.cn，也可至广东省东莞市南城街道鸿福路106号南峰中心17楼综合管理中心办公室面告。】" </w:instrText>
      </w:r>
      <w:r>
        <w:rPr>
          <w:rFonts w:hint="eastAsia" w:ascii="仿宋" w:hAnsi="仿宋" w:eastAsia="仿宋" w:cs="仿宋"/>
          <w:b/>
          <w:bCs/>
          <w:color w:val="auto"/>
          <w:sz w:val="28"/>
          <w:szCs w:val="22"/>
          <w:highlight w:val="none"/>
          <w:u w:val="none"/>
          <w:shd w:val="clear" w:color="auto" w:fill="auto"/>
          <w:lang w:val="en-US" w:eastAsia="zh-CN"/>
        </w:rPr>
        <w:fldChar w:fldCharType="separate"/>
      </w:r>
      <w:r>
        <w:rPr>
          <w:rStyle w:val="12"/>
          <w:rFonts w:hint="eastAsia" w:ascii="仿宋" w:hAnsi="仿宋" w:eastAsia="仿宋" w:cs="仿宋"/>
          <w:b/>
          <w:bCs/>
          <w:color w:val="auto"/>
          <w:sz w:val="28"/>
          <w:szCs w:val="22"/>
          <w:highlight w:val="none"/>
          <w:u w:val="none"/>
          <w:shd w:val="clear" w:color="auto" w:fill="auto"/>
          <w:lang w:val="en-US" w:eastAsia="zh-CN"/>
        </w:rPr>
        <w:t>zhglzx@nanfeng.cn，也可至广东省东莞市南城街道鸿福路 106 号南峰中心 12楼内控中心办公室面诉。】</w:t>
      </w:r>
      <w:r>
        <w:rPr>
          <w:rFonts w:hint="eastAsia" w:ascii="仿宋" w:hAnsi="仿宋" w:eastAsia="仿宋" w:cs="仿宋"/>
          <w:b/>
          <w:bCs/>
          <w:color w:val="auto"/>
          <w:sz w:val="28"/>
          <w:szCs w:val="22"/>
          <w:highlight w:val="none"/>
          <w:u w:val="none"/>
          <w:shd w:val="clear" w:color="auto" w:fill="auto"/>
          <w:lang w:val="en-US" w:eastAsia="zh-CN"/>
        </w:rPr>
        <w:fldChar w:fldCharType="end"/>
      </w:r>
    </w:p>
    <w:p w14:paraId="13181FE4">
      <w:pPr>
        <w:jc w:val="right"/>
        <w:rPr>
          <w:rFonts w:hint="eastAsia" w:ascii="仿宋" w:hAnsi="仿宋" w:eastAsia="仿宋" w:cs="仿宋"/>
          <w:b/>
          <w:bCs/>
          <w:color w:val="auto"/>
          <w:sz w:val="44"/>
          <w:szCs w:val="44"/>
          <w:highlight w:val="none"/>
          <w:lang w:val="en-US" w:eastAsia="zh-CN"/>
        </w:rPr>
      </w:pPr>
      <w:bookmarkStart w:id="17" w:name="_GoBack"/>
      <w:bookmarkEnd w:id="17"/>
      <w:r>
        <w:rPr>
          <w:rFonts w:hint="eastAsia" w:ascii="仿宋" w:hAnsi="仿宋" w:eastAsia="仿宋" w:cs="仿宋"/>
          <w:b/>
          <w:bCs/>
          <w:color w:val="auto"/>
          <w:sz w:val="44"/>
          <w:szCs w:val="44"/>
          <w:highlight w:val="none"/>
          <w:lang w:val="en-US" w:eastAsia="zh-CN"/>
        </w:rPr>
        <w:t>附件一</w:t>
      </w:r>
    </w:p>
    <w:p w14:paraId="022469A3">
      <w:pPr>
        <w:jc w:val="right"/>
        <w:rPr>
          <w:rFonts w:hint="default" w:ascii="仿宋" w:hAnsi="仿宋" w:eastAsia="仿宋" w:cs="仿宋"/>
          <w:b/>
          <w:bCs/>
          <w:color w:val="auto"/>
          <w:sz w:val="44"/>
          <w:szCs w:val="44"/>
          <w:highlight w:val="none"/>
          <w:lang w:val="en-US" w:eastAsia="zh-CN"/>
        </w:rPr>
      </w:pPr>
    </w:p>
    <w:p w14:paraId="2AFECF84">
      <w:pPr>
        <w:jc w:val="center"/>
        <w:rPr>
          <w:rFonts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44"/>
          <w:szCs w:val="44"/>
          <w:highlight w:val="none"/>
        </w:rPr>
        <w:t>结清承诺书</w:t>
      </w:r>
    </w:p>
    <w:p w14:paraId="29668AED">
      <w:pPr>
        <w:pStyle w:val="3"/>
        <w:spacing w:before="97" w:line="222" w:lineRule="auto"/>
        <w:ind w:left="23"/>
        <w:rPr>
          <w:color w:val="auto"/>
          <w:sz w:val="28"/>
          <w:szCs w:val="28"/>
          <w:highlight w:val="none"/>
        </w:rPr>
      </w:pPr>
      <w:r>
        <w:rPr>
          <w:color w:val="auto"/>
          <w:spacing w:val="-2"/>
          <w:sz w:val="28"/>
          <w:szCs w:val="28"/>
          <w:highlight w:val="none"/>
        </w:rPr>
        <w:t>致：东莞市中泰建安工程有限公司</w:t>
      </w:r>
    </w:p>
    <w:p w14:paraId="6A7BCB79">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感谢贵司选择我司作为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项目的</w:t>
      </w:r>
      <w:r>
        <w:rPr>
          <w:rFonts w:hint="eastAsia" w:ascii="仿宋" w:hAnsi="仿宋" w:eastAsia="仿宋" w:cs="仿宋"/>
          <w:color w:val="auto"/>
          <w:kern w:val="2"/>
          <w:sz w:val="30"/>
          <w:szCs w:val="30"/>
          <w:highlight w:val="none"/>
          <w:u w:val="single"/>
          <w:lang w:val="en-US" w:eastAsia="zh-CN" w:bidi="ar-SA"/>
        </w:rPr>
        <w:t xml:space="preserve">          （材料名称）</w:t>
      </w:r>
      <w:r>
        <w:rPr>
          <w:rFonts w:hint="eastAsia" w:ascii="仿宋" w:hAnsi="仿宋" w:eastAsia="仿宋" w:cs="仿宋"/>
          <w:color w:val="auto"/>
          <w:kern w:val="2"/>
          <w:sz w:val="30"/>
          <w:szCs w:val="30"/>
          <w:highlight w:val="none"/>
          <w:lang w:val="en-US" w:eastAsia="zh-CN" w:bidi="ar-SA"/>
        </w:rPr>
        <w:t xml:space="preserve">  供应商，履约期间的材料费合计</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元，其中我司已收款项为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 待收款项为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p>
    <w:p w14:paraId="2A67EA7B">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现我司在此确认并郑重承诺：收到贵司支付的尾款</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元起，该项目 的</w:t>
      </w:r>
      <w:r>
        <w:rPr>
          <w:rFonts w:hint="eastAsia" w:ascii="仿宋" w:hAnsi="仿宋" w:eastAsia="仿宋" w:cs="仿宋"/>
          <w:color w:val="auto"/>
          <w:kern w:val="2"/>
          <w:sz w:val="30"/>
          <w:szCs w:val="30"/>
          <w:highlight w:val="none"/>
          <w:u w:val="single"/>
          <w:lang w:val="en-US" w:eastAsia="zh-CN" w:bidi="ar-SA"/>
        </w:rPr>
        <w:t>（材料名称）</w:t>
      </w:r>
      <w:r>
        <w:rPr>
          <w:rFonts w:hint="eastAsia" w:ascii="仿宋" w:hAnsi="仿宋" w:eastAsia="仿宋" w:cs="仿宋"/>
          <w:color w:val="auto"/>
          <w:kern w:val="2"/>
          <w:sz w:val="30"/>
          <w:szCs w:val="30"/>
          <w:highlight w:val="none"/>
          <w:lang w:val="en-US" w:eastAsia="zh-CN" w:bidi="ar-SA"/>
        </w:rPr>
        <w:t>所涉及的材料费用全部结清，我司合同中的所有权利全部消灭，我司将不再以任何理由、任何方式就该项目的合作向贵司提出任何权利主张或追索其他任何费用，同时我司相应的义务和责任按照合同执行。</w:t>
      </w:r>
    </w:p>
    <w:p w14:paraId="1D27F88F">
      <w:pPr>
        <w:pStyle w:val="3"/>
        <w:spacing w:before="50" w:line="223" w:lineRule="auto"/>
        <w:ind w:left="619"/>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特此声明！</w:t>
      </w:r>
    </w:p>
    <w:p w14:paraId="304A1332">
      <w:pPr>
        <w:spacing w:line="261" w:lineRule="auto"/>
        <w:rPr>
          <w:rFonts w:ascii="Arial"/>
          <w:color w:val="auto"/>
          <w:sz w:val="20"/>
          <w:szCs w:val="22"/>
          <w:highlight w:val="none"/>
        </w:rPr>
      </w:pPr>
    </w:p>
    <w:p w14:paraId="2E09D7F6">
      <w:pPr>
        <w:spacing w:line="261" w:lineRule="auto"/>
        <w:rPr>
          <w:rFonts w:ascii="Arial"/>
          <w:color w:val="auto"/>
          <w:sz w:val="20"/>
          <w:szCs w:val="22"/>
          <w:highlight w:val="none"/>
        </w:rPr>
      </w:pPr>
    </w:p>
    <w:p w14:paraId="672E19C8">
      <w:pPr>
        <w:pStyle w:val="3"/>
        <w:spacing w:before="98" w:line="221" w:lineRule="auto"/>
        <w:ind w:left="4819"/>
        <w:rPr>
          <w:color w:val="auto"/>
          <w:sz w:val="28"/>
          <w:szCs w:val="28"/>
          <w:highlight w:val="none"/>
        </w:rPr>
      </w:pPr>
      <w:r>
        <w:rPr>
          <w:color w:val="auto"/>
          <w:spacing w:val="-3"/>
          <w:sz w:val="28"/>
          <w:szCs w:val="28"/>
          <w:highlight w:val="none"/>
        </w:rPr>
        <w:t>承诺单位（盖章</w:t>
      </w:r>
      <w:r>
        <w:rPr>
          <w:color w:val="auto"/>
          <w:sz w:val="28"/>
          <w:szCs w:val="28"/>
          <w:highlight w:val="none"/>
        </w:rPr>
        <w:t>）：</w:t>
      </w:r>
    </w:p>
    <w:p w14:paraId="7C1286F8">
      <w:pPr>
        <w:pStyle w:val="3"/>
        <w:spacing w:before="265" w:line="222" w:lineRule="auto"/>
        <w:ind w:left="6083"/>
        <w:rPr>
          <w:color w:val="auto"/>
          <w:sz w:val="28"/>
          <w:szCs w:val="28"/>
          <w:highlight w:val="none"/>
        </w:rPr>
      </w:pPr>
      <w:r>
        <w:rPr>
          <w:color w:val="auto"/>
          <w:spacing w:val="-35"/>
          <w:sz w:val="28"/>
          <w:szCs w:val="28"/>
          <w:highlight w:val="none"/>
        </w:rPr>
        <w:t>日</w:t>
      </w:r>
      <w:r>
        <w:rPr>
          <w:rFonts w:hint="eastAsia" w:ascii="仿宋" w:hAnsi="仿宋" w:eastAsia="仿宋" w:cs="仿宋"/>
          <w:color w:val="auto"/>
          <w:kern w:val="2"/>
          <w:sz w:val="28"/>
          <w:szCs w:val="28"/>
          <w:highlight w:val="none"/>
          <w:lang w:val="en-US" w:eastAsia="zh-CN" w:bidi="ar-SA"/>
        </w:rPr>
        <w:t xml:space="preserve">   期 ：</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年</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月  日</w:t>
      </w:r>
    </w:p>
    <w:p w14:paraId="36500A2E">
      <w:pPr>
        <w:spacing w:line="281" w:lineRule="auto"/>
        <w:rPr>
          <w:rFonts w:ascii="Arial"/>
          <w:color w:val="auto"/>
          <w:sz w:val="20"/>
          <w:szCs w:val="22"/>
          <w:highlight w:val="none"/>
        </w:rPr>
      </w:pPr>
    </w:p>
    <w:p w14:paraId="26DC81F4">
      <w:pPr>
        <w:spacing w:line="281" w:lineRule="auto"/>
        <w:rPr>
          <w:rFonts w:ascii="Arial"/>
          <w:color w:val="auto"/>
          <w:sz w:val="20"/>
          <w:szCs w:val="22"/>
          <w:highlight w:val="none"/>
        </w:rPr>
      </w:pPr>
    </w:p>
    <w:p w14:paraId="322BA300">
      <w:pPr>
        <w:spacing w:line="281" w:lineRule="auto"/>
        <w:rPr>
          <w:rFonts w:ascii="Arial"/>
          <w:color w:val="auto"/>
          <w:sz w:val="20"/>
          <w:szCs w:val="22"/>
          <w:highlight w:val="none"/>
        </w:rPr>
      </w:pPr>
      <w:r>
        <w:rPr>
          <w:color w:val="auto"/>
          <w:sz w:val="20"/>
          <w:szCs w:val="22"/>
          <w:highlight w:val="none"/>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29210</wp:posOffset>
                </wp:positionV>
                <wp:extent cx="633095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6330950" cy="9525"/>
                        </a:xfrm>
                        <a:custGeom>
                          <a:avLst/>
                          <a:gdLst/>
                          <a:ahLst/>
                          <a:cxnLst/>
                          <a:pathLst>
                            <a:path w="9970" h="15">
                              <a:moveTo>
                                <a:pt x="0" y="7"/>
                              </a:moveTo>
                              <a:lnTo>
                                <a:pt x="9969" y="7"/>
                              </a:lnTo>
                            </a:path>
                          </a:pathLst>
                        </a:custGeom>
                        <a:noFill/>
                        <a:ln w="9144"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35pt;margin-top:2.3pt;height:0.75pt;width:498.5pt;z-index:251660288;mso-width-relative:page;mso-height-relative:page;" filled="f" stroked="t" coordsize="9970,15" o:gfxdata="UEsDBAoAAAAAAIdO4kAAAAAAAAAAAAAAAAAEAAAAZHJzL1BLAwQUAAAACACHTuJAFaje/tQAAAAE&#10;AQAADwAAAGRycy9kb3ducmV2LnhtbE2OwU7DMBBE70j8g7VIXBB1gqqUptlUAokLJygV6tGJ3Thq&#10;vDax2wa+nuVEj6MZvXnVenKDOJkx9p4Q8lkGwlDrdU8dwvbj5f4RREyKtBo8GYRvE2FdX19VqtT+&#10;TO/mtEmdYAjFUiHYlEIpZWytcSrOfDDE3d6PTiWOYyf1qM4Md4N8yLJCOtUTP1gVzLM17WFzdAj7&#10;p7v5a+hCY9+24+5nF6avz9wi3t7k2QpEMlP6H8OfPqtDzU6NP5KOYkBY8A5hXoDgcrlccG4Qihxk&#10;XclL+foXUEsDBBQAAAAIAIdO4kAWCe4JPAIAAJUEAAAOAAAAZHJzL2Uyb0RvYy54bWytVM2O0zAQ&#10;viPxDpbvNP3Z7pKo6R4oywXBSrs8gGs7iSX/yXaT9s6dO0fES6AVPA2LeAzGTvrDcumBHJKxZ/zN&#10;941nsrjeKola7rwwusST0RgjrqlhQtcl/nB/8+IlRj4QzYg0mpd4xz2+Xj5/tuhswaemMZJxhwBE&#10;+6KzJW5CsEWWedpwRfzIWK7BWRmnSIClqzPmSAfoSmbT8fgy64xj1hnKvYfdVe/EA6I7B9BUlaB8&#10;ZehGcR16VMclCSDJN8J6vExsq4rT8L6qPA9IlhiUhvSGJGCv4ztbLkhRO2IbQQcK5BwKTzQpIjQk&#10;PUCtSCBo48Q/UEpQZ7ypwogalfVCUkVAxWT8pDZ3DbE8aYFSe3souv9/sPRde+uQYCWeYaSJggv/&#10;+fDw6+Onx6+ff//49vj9C5rFInXWFxB7Z2/dsPJgRsXbyqn4BS1omwq7OxSWbwOisHk5m43zOdSc&#10;gi+fT+cRMjuepRsf3nCTcEj71of+WtjeIs3eolu9Ny0JcTvmjibqADq/giQNtPU83YYyLb83KSIc&#10;yV0N2Y9eqU+j8vwyxwiY7gN7N/CNeRLxQ27YPCWvzY2QMrGXOjGaXFyAbAKDUkGDgqksFNvrOhH0&#10;RgoWj0SO3tXrV9KhlsRmTc/A9K8w63xYEd/0cQysGEWKNW95n7rhhL3WDIWdhfvUMMY4clGcYSQ5&#10;TH200plAhDwnEmRKDcpjG/QXH621YTvono11om5gtCaJbvRAt6Y6DZMVx+F0nZCOf5P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Wo3v7UAAAABAEAAA8AAAAAAAAAAQAgAAAAIgAAAGRycy9kb3du&#10;cmV2LnhtbFBLAQIUABQAAAAIAIdO4kAWCe4JPAIAAJUEAAAOAAAAAAAAAAEAIAAAACMBAABkcnMv&#10;ZTJvRG9jLnhtbFBLBQYAAAAABgAGAFkBAADRBQAAAAA=&#10;" path="m0,7l9969,7e">
                <v:fill on="f" focussize="0,0"/>
                <v:stroke weight="0.72pt" color="#000000" joinstyle="bevel" dashstyle="dash"/>
                <v:imagedata o:title=""/>
                <o:lock v:ext="edit" aspectratio="f"/>
              </v:shape>
            </w:pict>
          </mc:Fallback>
        </mc:AlternateContent>
      </w:r>
    </w:p>
    <w:p w14:paraId="008C8547">
      <w:pPr>
        <w:pStyle w:val="3"/>
        <w:spacing w:before="98" w:line="222" w:lineRule="auto"/>
        <w:ind w:left="2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使用说明：</w:t>
      </w:r>
    </w:p>
    <w:p w14:paraId="227C6778">
      <w:pPr>
        <w:pStyle w:val="3"/>
        <w:spacing w:before="263" w:line="220" w:lineRule="auto"/>
        <w:ind w:left="32"/>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1、本费用结清声明仅适用于“材料类 ”的购销合同。</w:t>
      </w:r>
    </w:p>
    <w:p w14:paraId="1B689B22">
      <w:pPr>
        <w:pStyle w:val="3"/>
        <w:spacing w:before="266" w:line="302" w:lineRule="auto"/>
        <w:ind w:left="25" w:right="14" w:hanging="1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2、承诺方须在“ 中泰建安 ”支付该合同最后一笔款前完成本承诺书签章，且 原件交给“ 中泰建安 ”作为支付最后一笔款的前提条件。</w:t>
      </w:r>
    </w:p>
    <w:p w14:paraId="5FC6897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color w:val="auto"/>
          <w:sz w:val="44"/>
          <w:szCs w:val="40"/>
          <w:highlight w:val="none"/>
          <w:lang w:val="en-US" w:eastAsia="zh-CN"/>
        </w:rPr>
      </w:pPr>
    </w:p>
    <w:p w14:paraId="7090D34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r>
        <w:rPr>
          <w:rFonts w:hint="default" w:ascii="仿宋" w:hAnsi="仿宋" w:eastAsia="仿宋" w:cs="仿宋"/>
          <w:b/>
          <w:bCs/>
          <w:color w:val="auto"/>
          <w:sz w:val="44"/>
          <w:szCs w:val="40"/>
          <w:highlight w:val="none"/>
          <w:lang w:val="en-US" w:eastAsia="zh-CN"/>
        </w:rPr>
        <w:t>附件</w:t>
      </w:r>
      <w:r>
        <w:rPr>
          <w:rFonts w:hint="eastAsia" w:ascii="仿宋" w:hAnsi="仿宋" w:eastAsia="仿宋" w:cs="仿宋"/>
          <w:b/>
          <w:bCs/>
          <w:color w:val="auto"/>
          <w:sz w:val="44"/>
          <w:szCs w:val="40"/>
          <w:highlight w:val="none"/>
          <w:lang w:val="en-US" w:eastAsia="zh-CN"/>
        </w:rPr>
        <w:t>二</w:t>
      </w:r>
    </w:p>
    <w:p w14:paraId="7289526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default" w:ascii="仿宋" w:hAnsi="仿宋" w:eastAsia="仿宋" w:cs="仿宋"/>
          <w:b/>
          <w:bCs/>
          <w:color w:val="auto"/>
          <w:sz w:val="44"/>
          <w:szCs w:val="40"/>
          <w:highlight w:val="none"/>
          <w:lang w:val="en-US" w:eastAsia="zh-CN"/>
        </w:rPr>
      </w:pPr>
    </w:p>
    <w:p w14:paraId="3E4B08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44"/>
          <w:szCs w:val="44"/>
          <w:highlight w:val="none"/>
          <w:lang w:val="en-US" w:eastAsia="zh-CN"/>
        </w:rPr>
      </w:pPr>
      <w:r>
        <w:rPr>
          <w:rFonts w:hint="eastAsia" w:ascii="仿宋" w:hAnsi="仿宋" w:eastAsia="仿宋" w:cs="仿宋"/>
          <w:color w:val="auto"/>
          <w:sz w:val="44"/>
          <w:szCs w:val="44"/>
          <w:highlight w:val="none"/>
          <w:lang w:val="en-US" w:eastAsia="zh-CN"/>
        </w:rPr>
        <w:t>同意延迟付款声明函</w:t>
      </w:r>
    </w:p>
    <w:p w14:paraId="09E8655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p>
    <w:p w14:paraId="03C5E9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致东莞市中泰建安工程有限公司：</w:t>
      </w:r>
    </w:p>
    <w:p w14:paraId="5786CE9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u w:val="single"/>
          <w:lang w:val="en-US" w:eastAsia="zh-CN"/>
        </w:rPr>
        <w:t>对    年  月  日至    年  月  日送至贵司             （项目/工程名称）的     材料/设备（材料签收单单号：       ，货款金额：￥     元）</w:t>
      </w:r>
      <w:r>
        <w:rPr>
          <w:rFonts w:hint="eastAsia" w:ascii="仿宋" w:hAnsi="仿宋" w:eastAsia="仿宋" w:cs="仿宋"/>
          <w:color w:val="auto"/>
          <w:sz w:val="30"/>
          <w:szCs w:val="30"/>
          <w:highlight w:val="none"/>
          <w:u w:val="none"/>
          <w:lang w:val="en-US" w:eastAsia="zh-CN"/>
        </w:rPr>
        <w:t>，因</w:t>
      </w:r>
      <w:r>
        <w:rPr>
          <w:rFonts w:hint="eastAsia" w:ascii="仿宋" w:hAnsi="仿宋" w:eastAsia="仿宋" w:cs="仿宋"/>
          <w:color w:val="auto"/>
          <w:sz w:val="30"/>
          <w:szCs w:val="30"/>
          <w:highlight w:val="none"/>
          <w:lang w:val="en-US" w:eastAsia="zh-CN"/>
        </w:rPr>
        <w:t>我司</w:t>
      </w:r>
      <w:r>
        <w:rPr>
          <w:rFonts w:hint="eastAsia" w:ascii="仿宋" w:hAnsi="仿宋" w:eastAsia="仿宋" w:cs="仿宋"/>
          <w:color w:val="auto"/>
          <w:sz w:val="30"/>
          <w:szCs w:val="30"/>
          <w:highlight w:val="none"/>
          <w:u w:val="none"/>
          <w:lang w:val="en-US" w:eastAsia="zh-CN"/>
        </w:rPr>
        <w:t>原因导致无法</w:t>
      </w:r>
      <w:r>
        <w:rPr>
          <w:rFonts w:hint="eastAsia" w:ascii="仿宋" w:hAnsi="仿宋" w:eastAsia="仿宋" w:cs="仿宋"/>
          <w:color w:val="auto"/>
          <w:sz w:val="30"/>
          <w:szCs w:val="30"/>
          <w:highlight w:val="none"/>
          <w:lang w:val="en-US" w:eastAsia="zh-CN"/>
        </w:rPr>
        <w:t>按照贵我双方合同约定的时限与贵司完成对账并确定相应金额,属我司责任，与贵司无关。我司自愿接受贵司按照合同约定延期支付该款项，我司承担因此导致的所有责任和损失。</w:t>
      </w:r>
    </w:p>
    <w:p w14:paraId="122D623A">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default" w:eastAsia="宋体"/>
          <w:color w:val="auto"/>
          <w:highlight w:val="none"/>
          <w:lang w:val="en-US" w:eastAsia="zh-CN"/>
        </w:rPr>
      </w:pPr>
      <w:r>
        <w:rPr>
          <w:rFonts w:hint="eastAsia" w:ascii="仿宋" w:hAnsi="仿宋" w:eastAsia="仿宋" w:cs="仿宋"/>
          <w:color w:val="auto"/>
          <w:sz w:val="30"/>
          <w:szCs w:val="30"/>
          <w:highlight w:val="none"/>
          <w:lang w:val="en-US" w:eastAsia="zh-CN"/>
        </w:rPr>
        <w:t>特此声明。</w:t>
      </w:r>
    </w:p>
    <w:p w14:paraId="5697D27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6D5FEE5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1C3F009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44111BB3">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声明单位：</w:t>
      </w:r>
    </w:p>
    <w:p w14:paraId="429F1F50">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负责人：</w:t>
      </w:r>
    </w:p>
    <w:p w14:paraId="5FA7EA9C">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right"/>
        <w:textAlignment w:val="auto"/>
        <w:rPr>
          <w:rFonts w:hint="eastAsia" w:ascii="仿宋" w:hAnsi="仿宋" w:eastAsia="仿宋" w:cs="仿宋"/>
          <w:color w:val="auto"/>
          <w:sz w:val="30"/>
          <w:szCs w:val="30"/>
          <w:highlight w:val="none"/>
          <w:lang w:val="en-US" w:eastAsia="zh-CN"/>
        </w:rPr>
      </w:pPr>
      <w:r>
        <w:rPr>
          <w:rFonts w:hint="eastAsia" w:eastAsia="宋体"/>
          <w:color w:val="auto"/>
          <w:sz w:val="30"/>
          <w:szCs w:val="30"/>
          <w:highlight w:val="none"/>
          <w:lang w:val="en-US" w:eastAsia="zh-CN"/>
        </w:rPr>
        <w:t xml:space="preserve">                 </w:t>
      </w:r>
      <w:r>
        <w:rPr>
          <w:rFonts w:hint="eastAsia" w:ascii="仿宋" w:hAnsi="仿宋" w:eastAsia="仿宋" w:cs="仿宋"/>
          <w:color w:val="auto"/>
          <w:sz w:val="30"/>
          <w:szCs w:val="30"/>
          <w:highlight w:val="none"/>
          <w:lang w:val="en-US" w:eastAsia="zh-CN"/>
        </w:rPr>
        <w:t xml:space="preserve">（加盖公章及法定代表人或授权代表签字）     </w:t>
      </w:r>
    </w:p>
    <w:p w14:paraId="5BD64D20">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年   月   日</w:t>
      </w:r>
    </w:p>
    <w:p w14:paraId="32BD505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 w:val="30"/>
          <w:highlight w:val="none"/>
          <w:lang w:val="en-US" w:eastAsia="zh-CN"/>
        </w:rPr>
      </w:pPr>
    </w:p>
    <w:p w14:paraId="0AECC26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 w:val="30"/>
          <w:highlight w:val="none"/>
          <w:lang w:val="en-US" w:eastAsia="zh-CN"/>
        </w:rPr>
      </w:pPr>
    </w:p>
    <w:p w14:paraId="132E6D1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 w:val="30"/>
          <w:highlight w:val="none"/>
          <w:lang w:val="en-US" w:eastAsia="zh-CN"/>
        </w:rPr>
      </w:pPr>
    </w:p>
    <w:p w14:paraId="24E11A3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 w:val="30"/>
          <w:highlight w:val="none"/>
          <w:lang w:val="en-US" w:eastAsia="zh-CN"/>
        </w:rPr>
      </w:pPr>
    </w:p>
    <w:p w14:paraId="34B3BD4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 w:val="30"/>
          <w:highlight w:val="none"/>
          <w:lang w:val="en-US" w:eastAsia="zh-CN"/>
        </w:rPr>
      </w:pPr>
    </w:p>
    <w:p w14:paraId="497D164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 w:val="30"/>
          <w:highlight w:val="none"/>
          <w:lang w:val="en-US" w:eastAsia="zh-CN"/>
        </w:rPr>
      </w:pPr>
    </w:p>
    <w:p w14:paraId="1FA0E44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color w:val="auto"/>
          <w:sz w:val="30"/>
          <w:highlight w:val="none"/>
          <w:lang w:val="en-US" w:eastAsia="zh-CN"/>
        </w:rPr>
      </w:pPr>
    </w:p>
    <w:p w14:paraId="241E0FEC">
      <w:pPr>
        <w:pStyle w:val="8"/>
        <w:ind w:left="0" w:leftChars="0" w:firstLine="0" w:firstLineChars="0"/>
        <w:rPr>
          <w:rFonts w:hint="default" w:ascii="仿宋" w:hAnsi="仿宋" w:eastAsia="仿宋" w:cs="仿宋"/>
          <w:b/>
          <w:bCs/>
          <w:color w:val="auto"/>
          <w:sz w:val="30"/>
          <w:highlight w:val="none"/>
          <w:lang w:val="en-US" w:eastAsia="zh-CN"/>
        </w:rPr>
      </w:pPr>
    </w:p>
    <w:p w14:paraId="38B5A400">
      <w:pPr>
        <w:keepNext/>
        <w:keepLines/>
        <w:widowControl w:val="0"/>
        <w:spacing w:before="120"/>
        <w:jc w:val="right"/>
        <w:outlineLvl w:val="2"/>
        <w:rPr>
          <w:rFonts w:hint="eastAsia" w:ascii="Calibri" w:hAnsi="Calibri" w:eastAsia="宋体" w:cs="宋体"/>
          <w:b/>
          <w:bCs/>
          <w:color w:val="auto"/>
          <w:kern w:val="2"/>
          <w:sz w:val="44"/>
          <w:szCs w:val="48"/>
          <w:highlight w:val="none"/>
          <w:lang w:val="en-US" w:eastAsia="zh-CN" w:bidi="ar-SA"/>
        </w:rPr>
      </w:pPr>
      <w:bookmarkStart w:id="15" w:name="_Toc86334254"/>
      <w:r>
        <w:rPr>
          <w:rFonts w:hint="eastAsia" w:ascii="Calibri" w:hAnsi="Calibri" w:eastAsia="宋体" w:cs="宋体"/>
          <w:b/>
          <w:bCs/>
          <w:color w:val="auto"/>
          <w:kern w:val="2"/>
          <w:sz w:val="44"/>
          <w:szCs w:val="48"/>
          <w:highlight w:val="none"/>
          <w:lang w:val="en-US" w:eastAsia="zh-CN" w:bidi="ar-SA"/>
        </w:rPr>
        <w:t>附件三</w:t>
      </w:r>
      <w:bookmarkEnd w:id="15"/>
    </w:p>
    <w:p w14:paraId="2DEA6593">
      <w:pPr>
        <w:rPr>
          <w:rFonts w:cs="宋体"/>
          <w:color w:val="auto"/>
          <w:highlight w:val="none"/>
        </w:rPr>
      </w:pPr>
    </w:p>
    <w:p w14:paraId="750061C3">
      <w:pPr>
        <w:tabs>
          <w:tab w:val="left" w:pos="720"/>
        </w:tabs>
        <w:adjustRightInd w:val="0"/>
        <w:snapToGrid w:val="0"/>
        <w:spacing w:line="360" w:lineRule="auto"/>
        <w:ind w:left="482" w:hanging="663" w:hangingChars="15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材料款申报</w:t>
      </w:r>
      <w:r>
        <w:rPr>
          <w:rFonts w:hint="eastAsia" w:ascii="仿宋" w:hAnsi="仿宋" w:eastAsia="仿宋" w:cs="仿宋"/>
          <w:b/>
          <w:color w:val="auto"/>
          <w:sz w:val="44"/>
          <w:szCs w:val="44"/>
          <w:highlight w:val="none"/>
          <w:lang w:val="en-US" w:eastAsia="zh-CN"/>
        </w:rPr>
        <w:t>审批</w:t>
      </w:r>
      <w:r>
        <w:rPr>
          <w:rFonts w:hint="eastAsia" w:ascii="仿宋" w:hAnsi="仿宋" w:eastAsia="仿宋" w:cs="仿宋"/>
          <w:b/>
          <w:color w:val="auto"/>
          <w:sz w:val="44"/>
          <w:szCs w:val="44"/>
          <w:highlight w:val="none"/>
        </w:rPr>
        <w:t>表</w:t>
      </w:r>
    </w:p>
    <w:tbl>
      <w:tblPr>
        <w:tblStyle w:val="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3402"/>
        <w:gridCol w:w="1276"/>
        <w:gridCol w:w="2835"/>
      </w:tblGrid>
      <w:tr w14:paraId="3456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14:paraId="776F6BC8">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工程名称</w:t>
            </w:r>
          </w:p>
        </w:tc>
        <w:tc>
          <w:tcPr>
            <w:tcW w:w="3402" w:type="dxa"/>
            <w:noWrap w:val="0"/>
            <w:vAlign w:val="top"/>
          </w:tcPr>
          <w:p w14:paraId="705719DE">
            <w:pPr>
              <w:tabs>
                <w:tab w:val="left" w:pos="720"/>
              </w:tabs>
              <w:adjustRightInd w:val="0"/>
              <w:snapToGrid w:val="0"/>
              <w:spacing w:line="360" w:lineRule="auto"/>
              <w:jc w:val="left"/>
              <w:rPr>
                <w:rFonts w:hint="eastAsia" w:ascii="仿宋" w:hAnsi="仿宋" w:eastAsia="仿宋" w:cs="仿宋"/>
                <w:b/>
                <w:color w:val="auto"/>
                <w:sz w:val="24"/>
                <w:highlight w:val="none"/>
              </w:rPr>
            </w:pPr>
          </w:p>
        </w:tc>
        <w:tc>
          <w:tcPr>
            <w:tcW w:w="1276" w:type="dxa"/>
            <w:noWrap w:val="0"/>
            <w:vAlign w:val="top"/>
          </w:tcPr>
          <w:p w14:paraId="69766E05">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合同名称</w:t>
            </w:r>
          </w:p>
        </w:tc>
        <w:tc>
          <w:tcPr>
            <w:tcW w:w="2835" w:type="dxa"/>
            <w:noWrap w:val="0"/>
            <w:vAlign w:val="top"/>
          </w:tcPr>
          <w:p w14:paraId="55549E4F">
            <w:pPr>
              <w:tabs>
                <w:tab w:val="left" w:pos="720"/>
              </w:tabs>
              <w:adjustRightInd w:val="0"/>
              <w:snapToGrid w:val="0"/>
              <w:spacing w:line="360" w:lineRule="auto"/>
              <w:jc w:val="left"/>
              <w:rPr>
                <w:rFonts w:hint="eastAsia" w:ascii="仿宋" w:hAnsi="仿宋" w:eastAsia="仿宋" w:cs="仿宋"/>
                <w:b/>
                <w:color w:val="auto"/>
                <w:sz w:val="24"/>
                <w:highlight w:val="none"/>
              </w:rPr>
            </w:pPr>
          </w:p>
        </w:tc>
      </w:tr>
      <w:tr w14:paraId="633A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14:paraId="16A848DC">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供货单位</w:t>
            </w:r>
          </w:p>
        </w:tc>
        <w:tc>
          <w:tcPr>
            <w:tcW w:w="3402" w:type="dxa"/>
            <w:noWrap w:val="0"/>
            <w:vAlign w:val="top"/>
          </w:tcPr>
          <w:p w14:paraId="4F2FC406">
            <w:pPr>
              <w:tabs>
                <w:tab w:val="left" w:pos="720"/>
              </w:tabs>
              <w:adjustRightInd w:val="0"/>
              <w:snapToGrid w:val="0"/>
              <w:spacing w:line="360" w:lineRule="auto"/>
              <w:jc w:val="left"/>
              <w:rPr>
                <w:rFonts w:hint="eastAsia" w:ascii="仿宋" w:hAnsi="仿宋" w:eastAsia="仿宋" w:cs="仿宋"/>
                <w:b/>
                <w:color w:val="auto"/>
                <w:sz w:val="24"/>
                <w:highlight w:val="none"/>
              </w:rPr>
            </w:pPr>
          </w:p>
        </w:tc>
        <w:tc>
          <w:tcPr>
            <w:tcW w:w="1276" w:type="dxa"/>
            <w:noWrap w:val="0"/>
            <w:vAlign w:val="top"/>
          </w:tcPr>
          <w:p w14:paraId="42295525">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合同编号</w:t>
            </w:r>
          </w:p>
        </w:tc>
        <w:tc>
          <w:tcPr>
            <w:tcW w:w="2835" w:type="dxa"/>
            <w:noWrap w:val="0"/>
            <w:vAlign w:val="top"/>
          </w:tcPr>
          <w:p w14:paraId="0A837F36">
            <w:pPr>
              <w:tabs>
                <w:tab w:val="left" w:pos="720"/>
              </w:tabs>
              <w:adjustRightInd w:val="0"/>
              <w:snapToGrid w:val="0"/>
              <w:spacing w:line="360" w:lineRule="auto"/>
              <w:jc w:val="left"/>
              <w:rPr>
                <w:rFonts w:hint="eastAsia" w:ascii="仿宋" w:hAnsi="仿宋" w:eastAsia="仿宋" w:cs="仿宋"/>
                <w:b/>
                <w:color w:val="auto"/>
                <w:sz w:val="24"/>
                <w:highlight w:val="none"/>
              </w:rPr>
            </w:pPr>
          </w:p>
        </w:tc>
      </w:tr>
      <w:tr w14:paraId="7809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8789" w:type="dxa"/>
            <w:gridSpan w:val="4"/>
            <w:noWrap w:val="0"/>
            <w:vAlign w:val="top"/>
          </w:tcPr>
          <w:p w14:paraId="5107F0C1">
            <w:pPr>
              <w:tabs>
                <w:tab w:val="left" w:pos="720"/>
              </w:tabs>
              <w:adjustRightInd w:val="0"/>
              <w:snapToGrid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材料申报内容：</w:t>
            </w:r>
          </w:p>
          <w:p w14:paraId="6DDB8C59">
            <w:pPr>
              <w:tabs>
                <w:tab w:val="left" w:pos="720"/>
              </w:tabs>
              <w:adjustRightInd w:val="0"/>
              <w:snapToGrid w:val="0"/>
              <w:spacing w:line="360" w:lineRule="auto"/>
              <w:jc w:val="left"/>
              <w:rPr>
                <w:rFonts w:hint="eastAsia" w:ascii="仿宋" w:hAnsi="仿宋" w:eastAsia="仿宋" w:cs="仿宋"/>
                <w:b/>
                <w:color w:val="auto"/>
                <w:sz w:val="24"/>
                <w:highlight w:val="none"/>
              </w:rPr>
            </w:pPr>
          </w:p>
          <w:p w14:paraId="0067A78B">
            <w:pPr>
              <w:tabs>
                <w:tab w:val="left" w:pos="720"/>
              </w:tabs>
              <w:adjustRightInd w:val="0"/>
              <w:snapToGrid w:val="0"/>
              <w:spacing w:line="360" w:lineRule="auto"/>
              <w:jc w:val="left"/>
              <w:rPr>
                <w:rFonts w:hint="eastAsia" w:ascii="仿宋" w:hAnsi="仿宋" w:eastAsia="仿宋" w:cs="仿宋"/>
                <w:b/>
                <w:color w:val="auto"/>
                <w:sz w:val="24"/>
                <w:highlight w:val="none"/>
              </w:rPr>
            </w:pPr>
          </w:p>
          <w:p w14:paraId="36177A19">
            <w:pPr>
              <w:tabs>
                <w:tab w:val="left" w:pos="720"/>
              </w:tabs>
              <w:adjustRightInd w:val="0"/>
              <w:snapToGrid w:val="0"/>
              <w:spacing w:line="360" w:lineRule="auto"/>
              <w:jc w:val="left"/>
              <w:rPr>
                <w:rFonts w:hint="eastAsia" w:ascii="仿宋" w:hAnsi="仿宋" w:eastAsia="仿宋" w:cs="仿宋"/>
                <w:b/>
                <w:color w:val="auto"/>
                <w:sz w:val="24"/>
                <w:highlight w:val="none"/>
              </w:rPr>
            </w:pPr>
          </w:p>
          <w:p w14:paraId="39B14C28">
            <w:pPr>
              <w:tabs>
                <w:tab w:val="left" w:pos="720"/>
              </w:tabs>
              <w:adjustRightInd w:val="0"/>
              <w:snapToGrid w:val="0"/>
              <w:spacing w:line="360" w:lineRule="auto"/>
              <w:jc w:val="left"/>
              <w:rPr>
                <w:rFonts w:hint="eastAsia" w:ascii="仿宋" w:hAnsi="仿宋" w:eastAsia="仿宋" w:cs="仿宋"/>
                <w:b/>
                <w:color w:val="auto"/>
                <w:sz w:val="24"/>
                <w:highlight w:val="none"/>
              </w:rPr>
            </w:pPr>
          </w:p>
          <w:p w14:paraId="7D6ACE20">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供货单位（章）：</w:t>
            </w:r>
          </w:p>
          <w:p w14:paraId="716F5574">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供货单位负责人：</w:t>
            </w:r>
          </w:p>
        </w:tc>
      </w:tr>
      <w:tr w14:paraId="2B60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789" w:type="dxa"/>
            <w:gridSpan w:val="4"/>
            <w:noWrap w:val="0"/>
            <w:vAlign w:val="top"/>
          </w:tcPr>
          <w:p w14:paraId="596FE054">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仓管员①/经办人审核意见：</w:t>
            </w:r>
          </w:p>
          <w:p w14:paraId="0AB4F148">
            <w:pPr>
              <w:tabs>
                <w:tab w:val="left" w:pos="720"/>
              </w:tabs>
              <w:adjustRightInd w:val="0"/>
              <w:snapToGrid w:val="0"/>
              <w:spacing w:line="360" w:lineRule="auto"/>
              <w:ind w:left="5421" w:hanging="5421" w:hangingChars="2250"/>
              <w:jc w:val="left"/>
              <w:rPr>
                <w:rFonts w:hint="eastAsia" w:ascii="仿宋" w:hAnsi="仿宋" w:eastAsia="仿宋" w:cs="仿宋"/>
                <w:b/>
                <w:color w:val="auto"/>
                <w:sz w:val="24"/>
                <w:highlight w:val="none"/>
              </w:rPr>
            </w:pPr>
          </w:p>
          <w:p w14:paraId="27FEC9B3">
            <w:pPr>
              <w:tabs>
                <w:tab w:val="left" w:pos="720"/>
              </w:tabs>
              <w:adjustRightInd w:val="0"/>
              <w:snapToGrid w:val="0"/>
              <w:spacing w:line="360" w:lineRule="auto"/>
              <w:ind w:left="5421" w:hanging="5421" w:hangingChars="22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51F7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8789" w:type="dxa"/>
            <w:gridSpan w:val="4"/>
            <w:noWrap w:val="0"/>
            <w:vAlign w:val="top"/>
          </w:tcPr>
          <w:p w14:paraId="57FB5212">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仓管员②审核意见：</w:t>
            </w:r>
          </w:p>
          <w:p w14:paraId="5F7E9A4D">
            <w:pPr>
              <w:tabs>
                <w:tab w:val="left" w:pos="720"/>
              </w:tabs>
              <w:adjustRightInd w:val="0"/>
              <w:snapToGrid w:val="0"/>
              <w:spacing w:line="360" w:lineRule="auto"/>
              <w:jc w:val="left"/>
              <w:rPr>
                <w:rFonts w:hint="eastAsia" w:ascii="仿宋" w:hAnsi="仿宋" w:eastAsia="仿宋" w:cs="仿宋"/>
                <w:b/>
                <w:color w:val="auto"/>
                <w:sz w:val="24"/>
                <w:highlight w:val="none"/>
              </w:rPr>
            </w:pPr>
          </w:p>
          <w:p w14:paraId="1AC4D002">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 </w:t>
            </w:r>
          </w:p>
        </w:tc>
      </w:tr>
      <w:tr w14:paraId="49C5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8789" w:type="dxa"/>
            <w:gridSpan w:val="4"/>
            <w:noWrap w:val="0"/>
            <w:vAlign w:val="top"/>
          </w:tcPr>
          <w:p w14:paraId="49AD9C4B">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项目成本管理员审核意见：</w:t>
            </w:r>
          </w:p>
          <w:p w14:paraId="3964D1D3">
            <w:pPr>
              <w:tabs>
                <w:tab w:val="left" w:pos="720"/>
              </w:tabs>
              <w:adjustRightInd w:val="0"/>
              <w:snapToGrid w:val="0"/>
              <w:spacing w:line="360" w:lineRule="auto"/>
              <w:jc w:val="left"/>
              <w:rPr>
                <w:rFonts w:hint="eastAsia" w:ascii="仿宋" w:hAnsi="仿宋" w:eastAsia="仿宋" w:cs="仿宋"/>
                <w:b/>
                <w:color w:val="auto"/>
                <w:sz w:val="24"/>
                <w:highlight w:val="none"/>
              </w:rPr>
            </w:pPr>
          </w:p>
          <w:p w14:paraId="726FD305">
            <w:pPr>
              <w:tabs>
                <w:tab w:val="left" w:pos="720"/>
              </w:tabs>
              <w:adjustRightInd w:val="0"/>
              <w:snapToGrid w:val="0"/>
              <w:spacing w:line="360" w:lineRule="auto"/>
              <w:jc w:val="left"/>
              <w:rPr>
                <w:rFonts w:hint="eastAsia" w:ascii="仿宋" w:hAnsi="仿宋" w:eastAsia="仿宋" w:cs="仿宋"/>
                <w:b/>
                <w:color w:val="auto"/>
                <w:sz w:val="24"/>
                <w:highlight w:val="none"/>
              </w:rPr>
            </w:pPr>
          </w:p>
          <w:p w14:paraId="6843F531">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03F7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8789" w:type="dxa"/>
            <w:gridSpan w:val="4"/>
            <w:noWrap w:val="0"/>
            <w:vAlign w:val="top"/>
          </w:tcPr>
          <w:p w14:paraId="0798D5AE">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项目经理审核意见：</w:t>
            </w:r>
          </w:p>
          <w:p w14:paraId="683CD9E4">
            <w:pPr>
              <w:tabs>
                <w:tab w:val="left" w:pos="720"/>
              </w:tabs>
              <w:adjustRightInd w:val="0"/>
              <w:snapToGrid w:val="0"/>
              <w:spacing w:line="360" w:lineRule="auto"/>
              <w:jc w:val="left"/>
              <w:rPr>
                <w:rFonts w:hint="eastAsia" w:ascii="仿宋" w:hAnsi="仿宋" w:eastAsia="仿宋" w:cs="仿宋"/>
                <w:b/>
                <w:color w:val="auto"/>
                <w:sz w:val="24"/>
                <w:highlight w:val="none"/>
              </w:rPr>
            </w:pPr>
          </w:p>
          <w:p w14:paraId="5C73E540">
            <w:pPr>
              <w:tabs>
                <w:tab w:val="left" w:pos="720"/>
              </w:tabs>
              <w:adjustRightInd w:val="0"/>
              <w:snapToGrid w:val="0"/>
              <w:spacing w:line="360" w:lineRule="auto"/>
              <w:jc w:val="left"/>
              <w:rPr>
                <w:rFonts w:hint="eastAsia" w:ascii="仿宋" w:hAnsi="仿宋" w:eastAsia="仿宋" w:cs="仿宋"/>
                <w:b/>
                <w:color w:val="auto"/>
                <w:sz w:val="24"/>
                <w:highlight w:val="none"/>
              </w:rPr>
            </w:pPr>
          </w:p>
          <w:p w14:paraId="74D7D017">
            <w:pPr>
              <w:tabs>
                <w:tab w:val="left" w:pos="720"/>
              </w:tabs>
              <w:adjustRightInd w:val="0"/>
              <w:snapToGrid w:val="0"/>
              <w:spacing w:line="360" w:lineRule="auto"/>
              <w:jc w:val="left"/>
              <w:rPr>
                <w:rFonts w:hint="eastAsia" w:ascii="仿宋" w:hAnsi="仿宋" w:eastAsia="仿宋" w:cs="仿宋"/>
                <w:b/>
                <w:color w:val="auto"/>
                <w:sz w:val="24"/>
                <w:highlight w:val="none"/>
              </w:rPr>
            </w:pPr>
          </w:p>
          <w:p w14:paraId="14151DAA">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bl>
    <w:p w14:paraId="2F9D2000">
      <w:pPr>
        <w:tabs>
          <w:tab w:val="left" w:pos="720"/>
        </w:tabs>
        <w:adjustRightInd w:val="0"/>
        <w:snapToGrid w:val="0"/>
        <w:spacing w:line="360" w:lineRule="auto"/>
        <w:ind w:left="-630" w:leftChars="-300" w:right="-630" w:rightChars="-300" w:firstLine="542" w:firstLineChars="300"/>
        <w:jc w:val="left"/>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填表要求：1、此表由</w:t>
      </w:r>
      <w:r>
        <w:rPr>
          <w:rFonts w:hint="eastAsia" w:ascii="仿宋" w:hAnsi="仿宋" w:eastAsia="仿宋" w:cs="仿宋"/>
          <w:b/>
          <w:color w:val="auto"/>
          <w:sz w:val="18"/>
          <w:szCs w:val="18"/>
          <w:highlight w:val="none"/>
          <w:lang w:val="en-US" w:eastAsia="zh-CN"/>
        </w:rPr>
        <w:t>乙方</w:t>
      </w:r>
      <w:r>
        <w:rPr>
          <w:rFonts w:hint="eastAsia" w:ascii="仿宋" w:hAnsi="仿宋" w:eastAsia="仿宋" w:cs="仿宋"/>
          <w:b/>
          <w:color w:val="auto"/>
          <w:sz w:val="18"/>
          <w:szCs w:val="18"/>
          <w:highlight w:val="none"/>
        </w:rPr>
        <w:t>发起，如实填写，不允许涂改，如有涂改或虚报，此表无效。</w:t>
      </w:r>
    </w:p>
    <w:p w14:paraId="0A4EA770">
      <w:pPr>
        <w:numPr>
          <w:ilvl w:val="0"/>
          <w:numId w:val="2"/>
        </w:numPr>
        <w:tabs>
          <w:tab w:val="left" w:pos="720"/>
        </w:tabs>
        <w:adjustRightInd w:val="0"/>
        <w:snapToGrid w:val="0"/>
        <w:spacing w:line="360" w:lineRule="auto"/>
        <w:ind w:left="-315" w:leftChars="-150" w:right="-630" w:rightChars="-300" w:firstLine="1175" w:firstLineChars="650"/>
        <w:jc w:val="left"/>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此确认表作为向公司申报款项支付审批单的附件。</w:t>
      </w:r>
    </w:p>
    <w:p w14:paraId="10D78DC5">
      <w:pPr>
        <w:numPr>
          <w:ilvl w:val="0"/>
          <w:numId w:val="0"/>
        </w:numPr>
        <w:tabs>
          <w:tab w:val="left" w:pos="720"/>
        </w:tabs>
        <w:adjustRightInd w:val="0"/>
        <w:snapToGrid w:val="0"/>
        <w:spacing w:line="360" w:lineRule="auto"/>
        <w:ind w:leftChars="500" w:right="-630" w:rightChars="-300"/>
        <w:jc w:val="left"/>
        <w:rPr>
          <w:rFonts w:hint="eastAsia" w:ascii="仿宋" w:hAnsi="仿宋" w:eastAsia="仿宋" w:cs="仿宋"/>
          <w:b/>
          <w:color w:val="auto"/>
          <w:sz w:val="18"/>
          <w:szCs w:val="18"/>
          <w:highlight w:val="none"/>
          <w:lang w:val="en-US" w:eastAsia="zh-CN"/>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4"/>
        <w:gridCol w:w="1378"/>
        <w:gridCol w:w="1037"/>
        <w:gridCol w:w="1037"/>
        <w:gridCol w:w="1458"/>
        <w:gridCol w:w="1872"/>
        <w:gridCol w:w="1037"/>
        <w:gridCol w:w="1062"/>
      </w:tblGrid>
      <w:tr w14:paraId="15104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nil"/>
              <w:left w:val="nil"/>
              <w:bottom w:val="nil"/>
              <w:right w:val="nil"/>
            </w:tcBorders>
            <w:noWrap/>
            <w:vAlign w:val="center"/>
          </w:tcPr>
          <w:p w14:paraId="06A7E556">
            <w:pPr>
              <w:keepNext w:val="0"/>
              <w:keepLines w:val="0"/>
              <w:widowControl/>
              <w:suppressLineNumbers w:val="0"/>
              <w:jc w:val="right"/>
              <w:textAlignment w:val="center"/>
              <w:rPr>
                <w:rFonts w:hint="default" w:ascii="仿宋" w:hAnsi="仿宋" w:eastAsia="仿宋" w:cs="仿宋"/>
                <w:b/>
                <w:bCs/>
                <w:i w:val="0"/>
                <w:iCs w:val="0"/>
                <w:color w:val="auto"/>
                <w:kern w:val="0"/>
                <w:sz w:val="44"/>
                <w:szCs w:val="44"/>
                <w:highlight w:val="none"/>
                <w:u w:val="none"/>
                <w:lang w:val="en-US" w:eastAsia="zh-CN" w:bidi="ar"/>
              </w:rPr>
            </w:pPr>
            <w:r>
              <w:rPr>
                <w:rFonts w:hint="eastAsia" w:ascii="仿宋" w:hAnsi="仿宋" w:eastAsia="仿宋" w:cs="仿宋"/>
                <w:b/>
                <w:bCs/>
                <w:i w:val="0"/>
                <w:iCs w:val="0"/>
                <w:color w:val="auto"/>
                <w:kern w:val="0"/>
                <w:sz w:val="44"/>
                <w:szCs w:val="44"/>
                <w:highlight w:val="none"/>
                <w:u w:val="none"/>
                <w:lang w:val="en-US" w:eastAsia="zh-CN" w:bidi="ar"/>
              </w:rPr>
              <w:t>附件四</w:t>
            </w:r>
          </w:p>
          <w:p w14:paraId="390994C0">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44"/>
                <w:szCs w:val="44"/>
                <w:highlight w:val="none"/>
                <w:u w:val="none"/>
                <w:lang w:val="en-US" w:eastAsia="zh-CN" w:bidi="ar"/>
              </w:rPr>
              <w:t>款项支付台账</w:t>
            </w:r>
          </w:p>
        </w:tc>
      </w:tr>
      <w:tr w14:paraId="3D6DC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0D28A752">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项目名称：</w:t>
            </w:r>
          </w:p>
        </w:tc>
      </w:tr>
      <w:tr w14:paraId="77426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1538139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合同名称：</w:t>
            </w:r>
          </w:p>
        </w:tc>
      </w:tr>
      <w:tr w14:paraId="430A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5D36524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付款公司名称：东莞市中泰建安工程有限公司</w:t>
            </w:r>
          </w:p>
        </w:tc>
      </w:tr>
      <w:tr w14:paraId="69363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63AB10E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49CE574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收/付款日期</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（年/月）</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4732C5A">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发票代码</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8DAADE9">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发票号码</w:t>
            </w: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F7082F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当期应付金额</w:t>
            </w: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AF0A44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已支付金额</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FC4CD1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未付金额</w:t>
            </w: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1EBDD1D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付款内容</w:t>
            </w:r>
          </w:p>
        </w:tc>
      </w:tr>
      <w:tr w14:paraId="29302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15A8C26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4510FAB9">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D719ECA">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26190CC">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7503F58D">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29BD1EA3">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94CB39B">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5CB6745">
            <w:pPr>
              <w:jc w:val="center"/>
              <w:rPr>
                <w:rFonts w:hint="eastAsia" w:ascii="仿宋" w:hAnsi="仿宋" w:eastAsia="仿宋" w:cs="仿宋"/>
                <w:i w:val="0"/>
                <w:iCs w:val="0"/>
                <w:color w:val="auto"/>
                <w:sz w:val="22"/>
                <w:szCs w:val="22"/>
                <w:highlight w:val="none"/>
                <w:u w:val="none"/>
              </w:rPr>
            </w:pPr>
          </w:p>
        </w:tc>
      </w:tr>
      <w:tr w14:paraId="53C3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37F046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6DD50675">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1EC7FA8">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4E9E208">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09A3730D">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53CD36C">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7584B04">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7DB633B9">
            <w:pPr>
              <w:jc w:val="center"/>
              <w:rPr>
                <w:rFonts w:hint="eastAsia" w:ascii="仿宋" w:hAnsi="仿宋" w:eastAsia="仿宋" w:cs="仿宋"/>
                <w:i w:val="0"/>
                <w:iCs w:val="0"/>
                <w:color w:val="auto"/>
                <w:sz w:val="22"/>
                <w:szCs w:val="22"/>
                <w:highlight w:val="none"/>
                <w:u w:val="none"/>
              </w:rPr>
            </w:pPr>
          </w:p>
        </w:tc>
      </w:tr>
      <w:tr w14:paraId="035FE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2BB52A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55A55C62">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1F88026">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E8C5E5E">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52CE71E3">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79BF547">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BAF1724">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0B532B83">
            <w:pPr>
              <w:jc w:val="center"/>
              <w:rPr>
                <w:rFonts w:hint="eastAsia" w:ascii="仿宋" w:hAnsi="仿宋" w:eastAsia="仿宋" w:cs="仿宋"/>
                <w:i w:val="0"/>
                <w:iCs w:val="0"/>
                <w:color w:val="auto"/>
                <w:sz w:val="22"/>
                <w:szCs w:val="22"/>
                <w:highlight w:val="none"/>
                <w:u w:val="none"/>
              </w:rPr>
            </w:pPr>
          </w:p>
        </w:tc>
      </w:tr>
      <w:tr w14:paraId="18E36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3FCCC78C">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5F5DFD69">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1FCB864">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42DB02A">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61756458">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5210D53">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44FAEEC">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0E7E6132">
            <w:pPr>
              <w:jc w:val="center"/>
              <w:rPr>
                <w:rFonts w:hint="eastAsia" w:ascii="仿宋" w:hAnsi="仿宋" w:eastAsia="仿宋" w:cs="仿宋"/>
                <w:i w:val="0"/>
                <w:iCs w:val="0"/>
                <w:color w:val="auto"/>
                <w:sz w:val="22"/>
                <w:szCs w:val="22"/>
                <w:highlight w:val="none"/>
                <w:u w:val="none"/>
              </w:rPr>
            </w:pPr>
          </w:p>
        </w:tc>
      </w:tr>
      <w:tr w14:paraId="40BBA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0C8DFC3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7A419F21">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6421771">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E14E119">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7728F3FF">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48BC348F">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2AC2DFC">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85C449E">
            <w:pPr>
              <w:jc w:val="center"/>
              <w:rPr>
                <w:rFonts w:hint="eastAsia" w:ascii="仿宋" w:hAnsi="仿宋" w:eastAsia="仿宋" w:cs="仿宋"/>
                <w:i w:val="0"/>
                <w:iCs w:val="0"/>
                <w:color w:val="auto"/>
                <w:sz w:val="22"/>
                <w:szCs w:val="22"/>
                <w:highlight w:val="none"/>
                <w:u w:val="none"/>
              </w:rPr>
            </w:pPr>
          </w:p>
        </w:tc>
      </w:tr>
      <w:tr w14:paraId="5BDF2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3CCBDC9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17F4C77D">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29794A8">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71B2AD1">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477DC7D1">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39F4F521">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0290EAA">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39BCA145">
            <w:pPr>
              <w:jc w:val="center"/>
              <w:rPr>
                <w:rFonts w:hint="eastAsia" w:ascii="仿宋" w:hAnsi="仿宋" w:eastAsia="仿宋" w:cs="仿宋"/>
                <w:i w:val="0"/>
                <w:iCs w:val="0"/>
                <w:color w:val="auto"/>
                <w:sz w:val="22"/>
                <w:szCs w:val="22"/>
                <w:highlight w:val="none"/>
                <w:u w:val="none"/>
              </w:rPr>
            </w:pPr>
          </w:p>
        </w:tc>
      </w:tr>
      <w:tr w14:paraId="1CAF8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2" w:type="pct"/>
            <w:gridSpan w:val="2"/>
            <w:tcBorders>
              <w:top w:val="nil"/>
              <w:left w:val="nil"/>
              <w:bottom w:val="nil"/>
              <w:right w:val="nil"/>
            </w:tcBorders>
            <w:noWrap/>
            <w:vAlign w:val="center"/>
          </w:tcPr>
          <w:p w14:paraId="65E8D0DA">
            <w:pPr>
              <w:jc w:val="left"/>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制表人：</w:t>
            </w:r>
          </w:p>
        </w:tc>
        <w:tc>
          <w:tcPr>
            <w:tcW w:w="535" w:type="pct"/>
            <w:tcBorders>
              <w:top w:val="nil"/>
              <w:left w:val="nil"/>
              <w:bottom w:val="nil"/>
              <w:right w:val="nil"/>
            </w:tcBorders>
            <w:noWrap/>
            <w:vAlign w:val="center"/>
          </w:tcPr>
          <w:p w14:paraId="39477D83">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736DDB7D">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56CC4716">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31404DC4">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制表日期：</w:t>
            </w:r>
          </w:p>
        </w:tc>
        <w:tc>
          <w:tcPr>
            <w:tcW w:w="535" w:type="pct"/>
            <w:tcBorders>
              <w:top w:val="nil"/>
              <w:left w:val="nil"/>
              <w:bottom w:val="nil"/>
              <w:right w:val="nil"/>
            </w:tcBorders>
            <w:noWrap/>
            <w:vAlign w:val="center"/>
          </w:tcPr>
          <w:p w14:paraId="516AB166">
            <w:pPr>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061ADFB5">
            <w:pPr>
              <w:jc w:val="center"/>
              <w:rPr>
                <w:rFonts w:hint="eastAsia" w:ascii="仿宋" w:hAnsi="仿宋" w:eastAsia="仿宋" w:cs="仿宋"/>
                <w:i w:val="0"/>
                <w:iCs w:val="0"/>
                <w:color w:val="auto"/>
                <w:sz w:val="22"/>
                <w:szCs w:val="22"/>
                <w:highlight w:val="none"/>
                <w:u w:val="none"/>
              </w:rPr>
            </w:pPr>
          </w:p>
        </w:tc>
      </w:tr>
      <w:tr w14:paraId="68906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7CB0254E">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48DCBE12">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7EBEA658">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582DCEDD">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35E08481">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3996EB4E">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1EC0A494">
            <w:pPr>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04F2ADF0">
            <w:pPr>
              <w:jc w:val="center"/>
              <w:rPr>
                <w:rFonts w:hint="eastAsia" w:ascii="仿宋" w:hAnsi="仿宋" w:eastAsia="仿宋" w:cs="仿宋"/>
                <w:i w:val="0"/>
                <w:iCs w:val="0"/>
                <w:color w:val="auto"/>
                <w:sz w:val="22"/>
                <w:szCs w:val="22"/>
                <w:highlight w:val="none"/>
                <w:u w:val="none"/>
              </w:rPr>
            </w:pPr>
          </w:p>
        </w:tc>
      </w:tr>
      <w:tr w14:paraId="2C0D7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23A7A576">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1A90E06C">
            <w:pP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5B66827">
            <w:pP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4751396">
            <w:pP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39C913B0">
            <w:pP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2D8F2E65">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收款公司名称：</w:t>
            </w:r>
          </w:p>
        </w:tc>
        <w:tc>
          <w:tcPr>
            <w:tcW w:w="535" w:type="pct"/>
            <w:tcBorders>
              <w:top w:val="nil"/>
              <w:left w:val="nil"/>
              <w:bottom w:val="nil"/>
              <w:right w:val="nil"/>
            </w:tcBorders>
            <w:noWrap/>
            <w:vAlign w:val="center"/>
          </w:tcPr>
          <w:p w14:paraId="7CD4F775">
            <w:pP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3562E38B">
            <w:pPr>
              <w:rPr>
                <w:rFonts w:hint="eastAsia" w:ascii="仿宋" w:hAnsi="仿宋" w:eastAsia="仿宋" w:cs="仿宋"/>
                <w:i w:val="0"/>
                <w:iCs w:val="0"/>
                <w:color w:val="auto"/>
                <w:sz w:val="22"/>
                <w:szCs w:val="22"/>
                <w:highlight w:val="none"/>
                <w:u w:val="none"/>
              </w:rPr>
            </w:pPr>
          </w:p>
        </w:tc>
      </w:tr>
      <w:tr w14:paraId="5A127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0" w:type="pct"/>
            <w:tcBorders>
              <w:top w:val="nil"/>
              <w:left w:val="nil"/>
              <w:bottom w:val="nil"/>
              <w:right w:val="nil"/>
            </w:tcBorders>
            <w:noWrap/>
            <w:vAlign w:val="bottom"/>
          </w:tcPr>
          <w:p w14:paraId="45DDB0C5">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449FCA48">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3FB8F05A">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30415AF8">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08A87041">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1B7D2F7E">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（加盖公章）</w:t>
            </w:r>
          </w:p>
        </w:tc>
        <w:tc>
          <w:tcPr>
            <w:tcW w:w="535" w:type="pct"/>
            <w:tcBorders>
              <w:top w:val="nil"/>
              <w:left w:val="nil"/>
              <w:bottom w:val="nil"/>
              <w:right w:val="nil"/>
            </w:tcBorders>
            <w:noWrap/>
            <w:vAlign w:val="center"/>
          </w:tcPr>
          <w:p w14:paraId="5C718DDB">
            <w:pPr>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0202CF69">
            <w:pPr>
              <w:rPr>
                <w:rFonts w:hint="eastAsia" w:ascii="仿宋" w:hAnsi="仿宋" w:eastAsia="仿宋" w:cs="仿宋"/>
                <w:i w:val="0"/>
                <w:iCs w:val="0"/>
                <w:color w:val="auto"/>
                <w:sz w:val="22"/>
                <w:szCs w:val="22"/>
                <w:highlight w:val="none"/>
                <w:u w:val="none"/>
              </w:rPr>
            </w:pPr>
          </w:p>
        </w:tc>
      </w:tr>
      <w:tr w14:paraId="397ED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center"/>
          </w:tcPr>
          <w:p w14:paraId="2BB6C803">
            <w:pPr>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7EFC0E4E">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597EB001">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7DADFC65">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1DC7D9B5">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4FD3BB2B">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收款公司负责人：</w:t>
            </w:r>
          </w:p>
        </w:tc>
        <w:tc>
          <w:tcPr>
            <w:tcW w:w="535" w:type="pct"/>
            <w:tcBorders>
              <w:top w:val="nil"/>
              <w:left w:val="nil"/>
              <w:bottom w:val="nil"/>
              <w:right w:val="nil"/>
            </w:tcBorders>
            <w:noWrap/>
            <w:vAlign w:val="center"/>
          </w:tcPr>
          <w:p w14:paraId="7A9A851A">
            <w:pPr>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318AF09A">
            <w:pPr>
              <w:rPr>
                <w:rFonts w:hint="eastAsia" w:ascii="仿宋" w:hAnsi="仿宋" w:eastAsia="仿宋" w:cs="仿宋"/>
                <w:i w:val="0"/>
                <w:iCs w:val="0"/>
                <w:color w:val="auto"/>
                <w:sz w:val="22"/>
                <w:szCs w:val="22"/>
                <w:highlight w:val="none"/>
                <w:u w:val="none"/>
              </w:rPr>
            </w:pPr>
          </w:p>
        </w:tc>
      </w:tr>
      <w:tr w14:paraId="17193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0" w:type="pct"/>
            <w:tcBorders>
              <w:top w:val="nil"/>
              <w:left w:val="nil"/>
              <w:bottom w:val="nil"/>
              <w:right w:val="nil"/>
            </w:tcBorders>
            <w:noWrap/>
            <w:vAlign w:val="center"/>
          </w:tcPr>
          <w:p w14:paraId="61901939">
            <w:pPr>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676363CF">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1DF2FD11">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1667C3C0">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6F4FFF4E">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234C8E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（签名）</w:t>
            </w:r>
          </w:p>
        </w:tc>
        <w:tc>
          <w:tcPr>
            <w:tcW w:w="535" w:type="pct"/>
            <w:tcBorders>
              <w:top w:val="nil"/>
              <w:left w:val="nil"/>
              <w:bottom w:val="nil"/>
              <w:right w:val="nil"/>
            </w:tcBorders>
            <w:noWrap/>
            <w:vAlign w:val="center"/>
          </w:tcPr>
          <w:p w14:paraId="13EAF7DE">
            <w:pPr>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7CB2D756">
            <w:pPr>
              <w:rPr>
                <w:rFonts w:hint="eastAsia" w:ascii="仿宋" w:hAnsi="仿宋" w:eastAsia="仿宋" w:cs="仿宋"/>
                <w:i w:val="0"/>
                <w:iCs w:val="0"/>
                <w:color w:val="auto"/>
                <w:sz w:val="22"/>
                <w:szCs w:val="22"/>
                <w:highlight w:val="none"/>
                <w:u w:val="none"/>
              </w:rPr>
            </w:pPr>
          </w:p>
        </w:tc>
      </w:tr>
    </w:tbl>
    <w:p w14:paraId="4ABCB8C4">
      <w:pPr>
        <w:pStyle w:val="8"/>
        <w:tabs>
          <w:tab w:val="left" w:pos="840"/>
          <w:tab w:val="clear" w:pos="-116"/>
          <w:tab w:val="clear" w:pos="420"/>
        </w:tabs>
        <w:rPr>
          <w:rFonts w:hint="eastAsia" w:ascii="仿宋" w:hAnsi="仿宋" w:eastAsia="仿宋" w:cs="仿宋"/>
          <w:bCs/>
          <w:color w:val="auto"/>
          <w:kern w:val="0"/>
          <w:sz w:val="24"/>
          <w:szCs w:val="24"/>
          <w:highlight w:val="none"/>
          <w:lang w:val="en-US" w:eastAsia="zh-CN"/>
        </w:rPr>
      </w:pPr>
    </w:p>
    <w:p w14:paraId="22C34D6E">
      <w:pPr>
        <w:jc w:val="right"/>
        <w:rPr>
          <w:rFonts w:hint="eastAsia" w:ascii="仿宋" w:hAnsi="仿宋" w:eastAsia="仿宋" w:cs="仿宋"/>
          <w:b/>
          <w:bCs/>
          <w:color w:val="auto"/>
          <w:sz w:val="44"/>
          <w:szCs w:val="44"/>
          <w:highlight w:val="none"/>
          <w:lang w:val="en-US" w:eastAsia="zh-CN"/>
        </w:rPr>
      </w:pPr>
    </w:p>
    <w:p w14:paraId="2BEA95FA">
      <w:pPr>
        <w:jc w:val="right"/>
        <w:rPr>
          <w:rFonts w:hint="eastAsia" w:ascii="仿宋" w:hAnsi="仿宋" w:eastAsia="仿宋" w:cs="仿宋"/>
          <w:b/>
          <w:bCs/>
          <w:color w:val="auto"/>
          <w:sz w:val="44"/>
          <w:szCs w:val="44"/>
          <w:highlight w:val="none"/>
          <w:lang w:val="en-US" w:eastAsia="zh-CN"/>
        </w:rPr>
      </w:pPr>
    </w:p>
    <w:p w14:paraId="51428C2F">
      <w:pPr>
        <w:jc w:val="right"/>
        <w:rPr>
          <w:rFonts w:hint="eastAsia" w:ascii="仿宋" w:hAnsi="仿宋" w:eastAsia="仿宋" w:cs="仿宋"/>
          <w:b/>
          <w:bCs/>
          <w:color w:val="auto"/>
          <w:sz w:val="44"/>
          <w:szCs w:val="44"/>
          <w:highlight w:val="none"/>
          <w:lang w:val="en-US" w:eastAsia="zh-CN"/>
        </w:rPr>
      </w:pPr>
    </w:p>
    <w:p w14:paraId="67C94013">
      <w:pPr>
        <w:jc w:val="right"/>
        <w:rPr>
          <w:rFonts w:hint="eastAsia" w:ascii="仿宋" w:hAnsi="仿宋" w:eastAsia="仿宋" w:cs="仿宋"/>
          <w:b/>
          <w:bCs/>
          <w:color w:val="auto"/>
          <w:sz w:val="44"/>
          <w:szCs w:val="44"/>
          <w:highlight w:val="none"/>
          <w:lang w:val="en-US" w:eastAsia="zh-CN"/>
        </w:rPr>
      </w:pPr>
    </w:p>
    <w:p w14:paraId="3EA31F47">
      <w:pPr>
        <w:jc w:val="right"/>
        <w:rPr>
          <w:rFonts w:hint="eastAsia" w:ascii="仿宋" w:hAnsi="仿宋" w:eastAsia="仿宋" w:cs="仿宋"/>
          <w:b/>
          <w:bCs/>
          <w:color w:val="auto"/>
          <w:sz w:val="44"/>
          <w:szCs w:val="44"/>
          <w:highlight w:val="none"/>
          <w:lang w:val="en-US" w:eastAsia="zh-CN"/>
        </w:rPr>
      </w:pPr>
    </w:p>
    <w:p w14:paraId="17E3E842">
      <w:pPr>
        <w:jc w:val="both"/>
        <w:rPr>
          <w:rFonts w:hint="eastAsia" w:ascii="仿宋" w:hAnsi="仿宋" w:eastAsia="仿宋" w:cs="仿宋"/>
          <w:b/>
          <w:bCs/>
          <w:color w:val="auto"/>
          <w:sz w:val="44"/>
          <w:szCs w:val="44"/>
          <w:highlight w:val="none"/>
          <w:lang w:val="en-US" w:eastAsia="zh-CN"/>
        </w:rPr>
        <w:sectPr>
          <w:headerReference r:id="rId6" w:type="default"/>
          <w:footerReference r:id="rId7" w:type="default"/>
          <w:pgSz w:w="11906" w:h="16838"/>
          <w:pgMar w:top="1134" w:right="1246" w:bottom="850" w:left="1200"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3DD7FAE7">
      <w:pPr>
        <w:spacing w:before="63" w:line="219" w:lineRule="auto"/>
        <w:jc w:val="right"/>
        <w:rPr>
          <w:rFonts w:ascii="Arial"/>
          <w:color w:val="auto"/>
          <w:sz w:val="24"/>
          <w:szCs w:val="32"/>
          <w:highlight w:val="none"/>
        </w:rPr>
      </w:pPr>
      <w:r>
        <w:rPr>
          <w:rFonts w:ascii="宋体" w:hAnsi="宋体" w:eastAsia="宋体" w:cs="宋体"/>
          <w:color w:val="auto"/>
          <w:spacing w:val="-13"/>
          <w:sz w:val="40"/>
          <w:szCs w:val="40"/>
          <w:highlight w:val="none"/>
          <w14:textOutline w14:w="5803" w14:cap="flat" w14:cmpd="sng">
            <w14:solidFill>
              <w14:srgbClr w14:val="000000"/>
            </w14:solidFill>
            <w14:prstDash w14:val="solid"/>
            <w14:miter w14:val="0"/>
          </w14:textOutline>
        </w:rPr>
        <w:t>附件五</w:t>
      </w:r>
    </w:p>
    <w:p w14:paraId="127B9EBF">
      <w:pPr>
        <w:pStyle w:val="3"/>
        <w:tabs>
          <w:tab w:val="left" w:pos="5740"/>
        </w:tabs>
        <w:spacing w:before="111" w:line="184" w:lineRule="auto"/>
        <w:ind w:left="4625"/>
        <w:outlineLvl w:val="0"/>
        <w:rPr>
          <w:rFonts w:hint="eastAsia" w:ascii="宋体" w:hAnsi="宋体" w:eastAsia="宋体" w:cs="宋体"/>
          <w:b/>
          <w:bCs/>
          <w:color w:val="auto"/>
          <w:sz w:val="44"/>
          <w:szCs w:val="40"/>
          <w:highlight w:val="none"/>
          <w:lang w:val="en-US" w:eastAsia="zh-CN"/>
        </w:rPr>
      </w:pPr>
      <w:r>
        <w:rPr>
          <w:rFonts w:hint="eastAsia" w:ascii="宋体" w:hAnsi="宋体" w:eastAsia="宋体" w:cs="宋体"/>
          <w:color w:val="auto"/>
          <w:sz w:val="32"/>
          <w:szCs w:val="32"/>
          <w:highlight w:val="none"/>
          <w:u w:val="single" w:color="auto"/>
        </w:rPr>
        <w:tab/>
      </w:r>
      <w:r>
        <w:rPr>
          <w:rFonts w:hint="eastAsia" w:ascii="宋体" w:hAnsi="宋体" w:eastAsia="宋体" w:cs="宋体"/>
          <w:color w:val="auto"/>
          <w:sz w:val="32"/>
          <w:szCs w:val="32"/>
          <w:highlight w:val="none"/>
          <w:u w:val="single" w:color="auto"/>
          <w:lang w:val="en-US" w:eastAsia="zh-CN"/>
        </w:rPr>
        <w:t xml:space="preserve">     </w:t>
      </w:r>
      <w:bookmarkStart w:id="16" w:name="_Toc27091"/>
      <w:r>
        <w:rPr>
          <w:rFonts w:hint="eastAsia" w:ascii="宋体" w:hAnsi="宋体" w:eastAsia="宋体" w:cs="宋体"/>
          <w:b/>
          <w:bCs/>
          <w:color w:val="auto"/>
          <w:sz w:val="32"/>
          <w:szCs w:val="32"/>
          <w:highlight w:val="none"/>
        </w:rPr>
        <w:t>有限公司</w:t>
      </w:r>
      <w:r>
        <w:rPr>
          <w:rFonts w:hint="eastAsia" w:ascii="宋体" w:hAnsi="宋体" w:eastAsia="宋体" w:cs="宋体"/>
          <w:b/>
          <w:bCs/>
          <w:color w:val="auto"/>
          <w:sz w:val="32"/>
          <w:szCs w:val="32"/>
          <w:highlight w:val="none"/>
          <w:u w:val="single" w:color="auto"/>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pacing w:val="4"/>
          <w:sz w:val="32"/>
          <w:szCs w:val="32"/>
          <w:highlight w:val="none"/>
          <w:u w:val="single" w:color="auto"/>
        </w:rPr>
        <w:t xml:space="preserve">   </w:t>
      </w:r>
      <w:r>
        <w:rPr>
          <w:rFonts w:hint="eastAsia" w:ascii="宋体" w:hAnsi="宋体" w:eastAsia="宋体" w:cs="宋体"/>
          <w:b/>
          <w:bCs/>
          <w:color w:val="auto"/>
          <w:spacing w:val="-72"/>
          <w:sz w:val="32"/>
          <w:szCs w:val="32"/>
          <w:highlight w:val="none"/>
        </w:rPr>
        <w:t xml:space="preserve"> </w:t>
      </w:r>
      <w:r>
        <w:rPr>
          <w:rFonts w:hint="eastAsia" w:ascii="宋体" w:hAnsi="宋体" w:eastAsia="宋体" w:cs="宋体"/>
          <w:b/>
          <w:bCs/>
          <w:color w:val="auto"/>
          <w:sz w:val="32"/>
          <w:szCs w:val="32"/>
          <w:highlight w:val="none"/>
        </w:rPr>
        <w:t>月对账单</w:t>
      </w:r>
      <w:bookmarkEnd w:id="16"/>
    </w:p>
    <w:p w14:paraId="13C77C33">
      <w:pPr>
        <w:rPr>
          <w:rFonts w:hint="default"/>
          <w:color w:val="auto"/>
          <w:highlight w:val="none"/>
          <w:lang w:val="en-US" w:eastAsia="zh-CN"/>
        </w:rPr>
      </w:pPr>
    </w:p>
    <w:p w14:paraId="0CE18EB9">
      <w:pPr>
        <w:pStyle w:val="3"/>
        <w:spacing w:before="35" w:line="309" w:lineRule="exact"/>
        <w:ind w:left="67"/>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项目名称：</w:t>
      </w:r>
    </w:p>
    <w:p w14:paraId="5379C3B2">
      <w:pPr>
        <w:pStyle w:val="3"/>
        <w:spacing w:before="35" w:line="309" w:lineRule="exact"/>
        <w:ind w:left="67"/>
        <w:rPr>
          <w:rFonts w:hint="eastAsia" w:ascii="宋体" w:hAnsi="宋体" w:eastAsia="宋体" w:cs="宋体"/>
          <w:color w:val="auto"/>
          <w:spacing w:val="8"/>
          <w:position w:val="10"/>
          <w:sz w:val="20"/>
          <w:szCs w:val="20"/>
          <w:highlight w:val="none"/>
        </w:rPr>
      </w:pPr>
    </w:p>
    <w:p w14:paraId="654CC225">
      <w:pPr>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收货单位：</w:t>
      </w:r>
    </w:p>
    <w:tbl>
      <w:tblPr>
        <w:tblStyle w:val="14"/>
        <w:tblW w:w="14142" w:type="dxa"/>
        <w:tblInd w:w="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831"/>
        <w:gridCol w:w="930"/>
        <w:gridCol w:w="931"/>
        <w:gridCol w:w="900"/>
        <w:gridCol w:w="1065"/>
        <w:gridCol w:w="854"/>
        <w:gridCol w:w="1201"/>
        <w:gridCol w:w="846"/>
        <w:gridCol w:w="916"/>
        <w:gridCol w:w="1142"/>
        <w:gridCol w:w="1142"/>
        <w:gridCol w:w="2777"/>
      </w:tblGrid>
      <w:tr w14:paraId="0CBFB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07" w:type="dxa"/>
            <w:vAlign w:val="top"/>
          </w:tcPr>
          <w:p w14:paraId="36EAFC2E">
            <w:pPr>
              <w:spacing w:before="154" w:line="191" w:lineRule="auto"/>
              <w:ind w:left="124"/>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序号</w:t>
            </w:r>
          </w:p>
        </w:tc>
        <w:tc>
          <w:tcPr>
            <w:tcW w:w="831" w:type="dxa"/>
            <w:vAlign w:val="top"/>
          </w:tcPr>
          <w:p w14:paraId="618D2E9F">
            <w:pPr>
              <w:spacing w:before="154" w:line="191" w:lineRule="auto"/>
              <w:ind w:left="38"/>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送货日期</w:t>
            </w:r>
          </w:p>
        </w:tc>
        <w:tc>
          <w:tcPr>
            <w:tcW w:w="930" w:type="dxa"/>
            <w:vAlign w:val="top"/>
          </w:tcPr>
          <w:p w14:paraId="69D3B653">
            <w:pPr>
              <w:spacing w:before="154" w:line="191" w:lineRule="auto"/>
              <w:ind w:left="41"/>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送货单号</w:t>
            </w:r>
          </w:p>
        </w:tc>
        <w:tc>
          <w:tcPr>
            <w:tcW w:w="931" w:type="dxa"/>
            <w:vAlign w:val="top"/>
          </w:tcPr>
          <w:p w14:paraId="755AA515">
            <w:pPr>
              <w:spacing w:before="154" w:line="191" w:lineRule="auto"/>
              <w:ind w:left="4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签收单号</w:t>
            </w:r>
          </w:p>
        </w:tc>
        <w:tc>
          <w:tcPr>
            <w:tcW w:w="900" w:type="dxa"/>
            <w:vAlign w:val="top"/>
          </w:tcPr>
          <w:p w14:paraId="046AD9C6">
            <w:pPr>
              <w:spacing w:before="154" w:line="191" w:lineRule="auto"/>
              <w:ind w:left="43"/>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过磅单号</w:t>
            </w:r>
          </w:p>
        </w:tc>
        <w:tc>
          <w:tcPr>
            <w:tcW w:w="1065" w:type="dxa"/>
            <w:vAlign w:val="top"/>
          </w:tcPr>
          <w:p w14:paraId="1D6065B0">
            <w:pPr>
              <w:spacing w:before="156" w:line="190" w:lineRule="auto"/>
              <w:ind w:firstLine="188" w:firstLineChars="100"/>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货物名称</w:t>
            </w:r>
          </w:p>
        </w:tc>
        <w:tc>
          <w:tcPr>
            <w:tcW w:w="854" w:type="dxa"/>
            <w:vAlign w:val="top"/>
          </w:tcPr>
          <w:p w14:paraId="713BAB0E">
            <w:pPr>
              <w:spacing w:before="154" w:line="191" w:lineRule="auto"/>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5"/>
                <w:sz w:val="17"/>
                <w:szCs w:val="17"/>
                <w:highlight w:val="none"/>
              </w:rPr>
              <w:t>品牌</w:t>
            </w:r>
          </w:p>
        </w:tc>
        <w:tc>
          <w:tcPr>
            <w:tcW w:w="1201" w:type="dxa"/>
            <w:vAlign w:val="top"/>
          </w:tcPr>
          <w:p w14:paraId="72F00521">
            <w:pPr>
              <w:spacing w:before="154" w:line="191" w:lineRule="auto"/>
              <w:ind w:left="235"/>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规格型号</w:t>
            </w:r>
          </w:p>
        </w:tc>
        <w:tc>
          <w:tcPr>
            <w:tcW w:w="846" w:type="dxa"/>
            <w:vAlign w:val="top"/>
          </w:tcPr>
          <w:p w14:paraId="097135B2">
            <w:pPr>
              <w:spacing w:before="154" w:line="191" w:lineRule="auto"/>
              <w:ind w:left="59"/>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单位</w:t>
            </w:r>
          </w:p>
        </w:tc>
        <w:tc>
          <w:tcPr>
            <w:tcW w:w="916" w:type="dxa"/>
            <w:vAlign w:val="top"/>
          </w:tcPr>
          <w:p w14:paraId="61D64D50">
            <w:pPr>
              <w:spacing w:before="156" w:line="190" w:lineRule="auto"/>
              <w:ind w:left="281"/>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数量</w:t>
            </w:r>
          </w:p>
        </w:tc>
        <w:tc>
          <w:tcPr>
            <w:tcW w:w="1142" w:type="dxa"/>
            <w:vAlign w:val="top"/>
          </w:tcPr>
          <w:p w14:paraId="339CBC47">
            <w:pPr>
              <w:spacing w:before="154" w:line="191" w:lineRule="auto"/>
              <w:ind w:left="397"/>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单价</w:t>
            </w:r>
          </w:p>
        </w:tc>
        <w:tc>
          <w:tcPr>
            <w:tcW w:w="1142" w:type="dxa"/>
            <w:vAlign w:val="top"/>
          </w:tcPr>
          <w:p w14:paraId="1361CC40">
            <w:pPr>
              <w:spacing w:before="156" w:line="190" w:lineRule="auto"/>
              <w:ind w:left="395"/>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金额</w:t>
            </w:r>
          </w:p>
        </w:tc>
        <w:tc>
          <w:tcPr>
            <w:tcW w:w="2777" w:type="dxa"/>
            <w:vAlign w:val="top"/>
          </w:tcPr>
          <w:p w14:paraId="0F88A876">
            <w:pPr>
              <w:spacing w:before="154" w:line="191" w:lineRule="auto"/>
              <w:ind w:left="1213"/>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备注</w:t>
            </w:r>
          </w:p>
        </w:tc>
      </w:tr>
      <w:tr w14:paraId="58BF9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4AB8C943">
            <w:pPr>
              <w:spacing w:before="163" w:line="180" w:lineRule="auto"/>
              <w:ind w:left="270"/>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1</w:t>
            </w:r>
          </w:p>
        </w:tc>
        <w:tc>
          <w:tcPr>
            <w:tcW w:w="831" w:type="dxa"/>
            <w:vAlign w:val="top"/>
          </w:tcPr>
          <w:p w14:paraId="26C2BC4D">
            <w:pPr>
              <w:pStyle w:val="15"/>
              <w:rPr>
                <w:color w:val="auto"/>
                <w:highlight w:val="none"/>
              </w:rPr>
            </w:pPr>
          </w:p>
        </w:tc>
        <w:tc>
          <w:tcPr>
            <w:tcW w:w="930" w:type="dxa"/>
            <w:vAlign w:val="top"/>
          </w:tcPr>
          <w:p w14:paraId="7923A136">
            <w:pPr>
              <w:pStyle w:val="15"/>
              <w:rPr>
                <w:color w:val="auto"/>
                <w:highlight w:val="none"/>
              </w:rPr>
            </w:pPr>
          </w:p>
        </w:tc>
        <w:tc>
          <w:tcPr>
            <w:tcW w:w="931" w:type="dxa"/>
            <w:vAlign w:val="top"/>
          </w:tcPr>
          <w:p w14:paraId="26301E43">
            <w:pPr>
              <w:pStyle w:val="15"/>
              <w:rPr>
                <w:color w:val="auto"/>
                <w:highlight w:val="none"/>
              </w:rPr>
            </w:pPr>
          </w:p>
        </w:tc>
        <w:tc>
          <w:tcPr>
            <w:tcW w:w="900" w:type="dxa"/>
            <w:vAlign w:val="top"/>
          </w:tcPr>
          <w:p w14:paraId="4933FDCD">
            <w:pPr>
              <w:pStyle w:val="15"/>
              <w:rPr>
                <w:color w:val="auto"/>
                <w:highlight w:val="none"/>
              </w:rPr>
            </w:pPr>
          </w:p>
        </w:tc>
        <w:tc>
          <w:tcPr>
            <w:tcW w:w="1065" w:type="dxa"/>
            <w:vAlign w:val="top"/>
          </w:tcPr>
          <w:p w14:paraId="3EF98731">
            <w:pPr>
              <w:pStyle w:val="15"/>
              <w:rPr>
                <w:color w:val="auto"/>
                <w:highlight w:val="none"/>
              </w:rPr>
            </w:pPr>
          </w:p>
        </w:tc>
        <w:tc>
          <w:tcPr>
            <w:tcW w:w="854" w:type="dxa"/>
            <w:vAlign w:val="top"/>
          </w:tcPr>
          <w:p w14:paraId="5B7AD8AC">
            <w:pPr>
              <w:pStyle w:val="15"/>
              <w:rPr>
                <w:color w:val="auto"/>
                <w:highlight w:val="none"/>
              </w:rPr>
            </w:pPr>
          </w:p>
        </w:tc>
        <w:tc>
          <w:tcPr>
            <w:tcW w:w="1201" w:type="dxa"/>
            <w:vAlign w:val="top"/>
          </w:tcPr>
          <w:p w14:paraId="5C0FBBBF">
            <w:pPr>
              <w:pStyle w:val="15"/>
              <w:rPr>
                <w:color w:val="auto"/>
                <w:highlight w:val="none"/>
              </w:rPr>
            </w:pPr>
          </w:p>
        </w:tc>
        <w:tc>
          <w:tcPr>
            <w:tcW w:w="846" w:type="dxa"/>
            <w:vAlign w:val="top"/>
          </w:tcPr>
          <w:p w14:paraId="465BC053">
            <w:pPr>
              <w:pStyle w:val="15"/>
              <w:rPr>
                <w:color w:val="auto"/>
                <w:highlight w:val="none"/>
              </w:rPr>
            </w:pPr>
          </w:p>
        </w:tc>
        <w:tc>
          <w:tcPr>
            <w:tcW w:w="916" w:type="dxa"/>
            <w:vAlign w:val="top"/>
          </w:tcPr>
          <w:p w14:paraId="0EE868EA">
            <w:pPr>
              <w:pStyle w:val="15"/>
              <w:rPr>
                <w:color w:val="auto"/>
                <w:highlight w:val="none"/>
              </w:rPr>
            </w:pPr>
          </w:p>
        </w:tc>
        <w:tc>
          <w:tcPr>
            <w:tcW w:w="1142" w:type="dxa"/>
            <w:vAlign w:val="top"/>
          </w:tcPr>
          <w:p w14:paraId="0F60CFE9">
            <w:pPr>
              <w:pStyle w:val="15"/>
              <w:rPr>
                <w:color w:val="auto"/>
                <w:highlight w:val="none"/>
              </w:rPr>
            </w:pPr>
          </w:p>
        </w:tc>
        <w:tc>
          <w:tcPr>
            <w:tcW w:w="1142" w:type="dxa"/>
            <w:vAlign w:val="top"/>
          </w:tcPr>
          <w:p w14:paraId="65AFB037">
            <w:pPr>
              <w:pStyle w:val="15"/>
              <w:rPr>
                <w:color w:val="auto"/>
                <w:highlight w:val="none"/>
              </w:rPr>
            </w:pPr>
          </w:p>
        </w:tc>
        <w:tc>
          <w:tcPr>
            <w:tcW w:w="2777" w:type="dxa"/>
            <w:vAlign w:val="top"/>
          </w:tcPr>
          <w:p w14:paraId="69459FE0">
            <w:pPr>
              <w:pStyle w:val="15"/>
              <w:rPr>
                <w:color w:val="auto"/>
                <w:highlight w:val="none"/>
              </w:rPr>
            </w:pPr>
          </w:p>
        </w:tc>
      </w:tr>
      <w:tr w14:paraId="04B88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68FE8A29">
            <w:pPr>
              <w:spacing w:before="164" w:line="180" w:lineRule="auto"/>
              <w:ind w:left="262"/>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2</w:t>
            </w:r>
          </w:p>
        </w:tc>
        <w:tc>
          <w:tcPr>
            <w:tcW w:w="831" w:type="dxa"/>
            <w:vAlign w:val="top"/>
          </w:tcPr>
          <w:p w14:paraId="2FCE90BE">
            <w:pPr>
              <w:pStyle w:val="15"/>
              <w:rPr>
                <w:color w:val="auto"/>
                <w:highlight w:val="none"/>
              </w:rPr>
            </w:pPr>
          </w:p>
        </w:tc>
        <w:tc>
          <w:tcPr>
            <w:tcW w:w="930" w:type="dxa"/>
            <w:vAlign w:val="top"/>
          </w:tcPr>
          <w:p w14:paraId="1404BD8C">
            <w:pPr>
              <w:pStyle w:val="15"/>
              <w:rPr>
                <w:color w:val="auto"/>
                <w:highlight w:val="none"/>
              </w:rPr>
            </w:pPr>
          </w:p>
        </w:tc>
        <w:tc>
          <w:tcPr>
            <w:tcW w:w="931" w:type="dxa"/>
            <w:vAlign w:val="top"/>
          </w:tcPr>
          <w:p w14:paraId="452C9285">
            <w:pPr>
              <w:pStyle w:val="15"/>
              <w:rPr>
                <w:color w:val="auto"/>
                <w:highlight w:val="none"/>
              </w:rPr>
            </w:pPr>
          </w:p>
        </w:tc>
        <w:tc>
          <w:tcPr>
            <w:tcW w:w="900" w:type="dxa"/>
            <w:vAlign w:val="top"/>
          </w:tcPr>
          <w:p w14:paraId="3E3C4F62">
            <w:pPr>
              <w:pStyle w:val="15"/>
              <w:rPr>
                <w:color w:val="auto"/>
                <w:highlight w:val="none"/>
              </w:rPr>
            </w:pPr>
          </w:p>
        </w:tc>
        <w:tc>
          <w:tcPr>
            <w:tcW w:w="1065" w:type="dxa"/>
            <w:vAlign w:val="top"/>
          </w:tcPr>
          <w:p w14:paraId="1016CE24">
            <w:pPr>
              <w:pStyle w:val="15"/>
              <w:rPr>
                <w:color w:val="auto"/>
                <w:highlight w:val="none"/>
              </w:rPr>
            </w:pPr>
          </w:p>
        </w:tc>
        <w:tc>
          <w:tcPr>
            <w:tcW w:w="854" w:type="dxa"/>
            <w:vAlign w:val="top"/>
          </w:tcPr>
          <w:p w14:paraId="6127D75B">
            <w:pPr>
              <w:pStyle w:val="15"/>
              <w:rPr>
                <w:color w:val="auto"/>
                <w:highlight w:val="none"/>
              </w:rPr>
            </w:pPr>
          </w:p>
        </w:tc>
        <w:tc>
          <w:tcPr>
            <w:tcW w:w="1201" w:type="dxa"/>
            <w:vAlign w:val="top"/>
          </w:tcPr>
          <w:p w14:paraId="31EA91EC">
            <w:pPr>
              <w:pStyle w:val="15"/>
              <w:rPr>
                <w:color w:val="auto"/>
                <w:highlight w:val="none"/>
              </w:rPr>
            </w:pPr>
          </w:p>
        </w:tc>
        <w:tc>
          <w:tcPr>
            <w:tcW w:w="846" w:type="dxa"/>
            <w:vAlign w:val="top"/>
          </w:tcPr>
          <w:p w14:paraId="1B720515">
            <w:pPr>
              <w:pStyle w:val="15"/>
              <w:rPr>
                <w:color w:val="auto"/>
                <w:highlight w:val="none"/>
              </w:rPr>
            </w:pPr>
          </w:p>
        </w:tc>
        <w:tc>
          <w:tcPr>
            <w:tcW w:w="916" w:type="dxa"/>
            <w:vAlign w:val="top"/>
          </w:tcPr>
          <w:p w14:paraId="042B8959">
            <w:pPr>
              <w:pStyle w:val="15"/>
              <w:rPr>
                <w:color w:val="auto"/>
                <w:highlight w:val="none"/>
              </w:rPr>
            </w:pPr>
          </w:p>
        </w:tc>
        <w:tc>
          <w:tcPr>
            <w:tcW w:w="1142" w:type="dxa"/>
            <w:vAlign w:val="top"/>
          </w:tcPr>
          <w:p w14:paraId="7CB19F3A">
            <w:pPr>
              <w:pStyle w:val="15"/>
              <w:rPr>
                <w:color w:val="auto"/>
                <w:highlight w:val="none"/>
              </w:rPr>
            </w:pPr>
          </w:p>
        </w:tc>
        <w:tc>
          <w:tcPr>
            <w:tcW w:w="1142" w:type="dxa"/>
            <w:vAlign w:val="top"/>
          </w:tcPr>
          <w:p w14:paraId="55E245CC">
            <w:pPr>
              <w:pStyle w:val="15"/>
              <w:rPr>
                <w:color w:val="auto"/>
                <w:highlight w:val="none"/>
              </w:rPr>
            </w:pPr>
          </w:p>
        </w:tc>
        <w:tc>
          <w:tcPr>
            <w:tcW w:w="2777" w:type="dxa"/>
            <w:vAlign w:val="top"/>
          </w:tcPr>
          <w:p w14:paraId="4DC405FE">
            <w:pPr>
              <w:pStyle w:val="15"/>
              <w:rPr>
                <w:color w:val="auto"/>
                <w:highlight w:val="none"/>
              </w:rPr>
            </w:pPr>
          </w:p>
        </w:tc>
      </w:tr>
      <w:tr w14:paraId="3A987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01604A83">
            <w:pPr>
              <w:spacing w:before="165" w:line="180" w:lineRule="auto"/>
              <w:ind w:left="264"/>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3</w:t>
            </w:r>
          </w:p>
        </w:tc>
        <w:tc>
          <w:tcPr>
            <w:tcW w:w="831" w:type="dxa"/>
            <w:vAlign w:val="top"/>
          </w:tcPr>
          <w:p w14:paraId="03237302">
            <w:pPr>
              <w:pStyle w:val="15"/>
              <w:rPr>
                <w:color w:val="auto"/>
                <w:highlight w:val="none"/>
              </w:rPr>
            </w:pPr>
          </w:p>
        </w:tc>
        <w:tc>
          <w:tcPr>
            <w:tcW w:w="930" w:type="dxa"/>
            <w:vAlign w:val="top"/>
          </w:tcPr>
          <w:p w14:paraId="214DDF17">
            <w:pPr>
              <w:pStyle w:val="15"/>
              <w:rPr>
                <w:color w:val="auto"/>
                <w:highlight w:val="none"/>
              </w:rPr>
            </w:pPr>
          </w:p>
        </w:tc>
        <w:tc>
          <w:tcPr>
            <w:tcW w:w="931" w:type="dxa"/>
            <w:vAlign w:val="top"/>
          </w:tcPr>
          <w:p w14:paraId="65207D4B">
            <w:pPr>
              <w:pStyle w:val="15"/>
              <w:rPr>
                <w:color w:val="auto"/>
                <w:highlight w:val="none"/>
              </w:rPr>
            </w:pPr>
          </w:p>
        </w:tc>
        <w:tc>
          <w:tcPr>
            <w:tcW w:w="900" w:type="dxa"/>
            <w:vAlign w:val="top"/>
          </w:tcPr>
          <w:p w14:paraId="4623BCE7">
            <w:pPr>
              <w:pStyle w:val="15"/>
              <w:rPr>
                <w:color w:val="auto"/>
                <w:highlight w:val="none"/>
              </w:rPr>
            </w:pPr>
          </w:p>
        </w:tc>
        <w:tc>
          <w:tcPr>
            <w:tcW w:w="1065" w:type="dxa"/>
            <w:vAlign w:val="top"/>
          </w:tcPr>
          <w:p w14:paraId="56BB0D76">
            <w:pPr>
              <w:pStyle w:val="15"/>
              <w:rPr>
                <w:color w:val="auto"/>
                <w:highlight w:val="none"/>
              </w:rPr>
            </w:pPr>
          </w:p>
        </w:tc>
        <w:tc>
          <w:tcPr>
            <w:tcW w:w="854" w:type="dxa"/>
            <w:vAlign w:val="top"/>
          </w:tcPr>
          <w:p w14:paraId="579C3DD8">
            <w:pPr>
              <w:pStyle w:val="15"/>
              <w:rPr>
                <w:color w:val="auto"/>
                <w:highlight w:val="none"/>
              </w:rPr>
            </w:pPr>
          </w:p>
        </w:tc>
        <w:tc>
          <w:tcPr>
            <w:tcW w:w="1201" w:type="dxa"/>
            <w:vAlign w:val="top"/>
          </w:tcPr>
          <w:p w14:paraId="4216DF0B">
            <w:pPr>
              <w:pStyle w:val="15"/>
              <w:rPr>
                <w:color w:val="auto"/>
                <w:highlight w:val="none"/>
              </w:rPr>
            </w:pPr>
          </w:p>
        </w:tc>
        <w:tc>
          <w:tcPr>
            <w:tcW w:w="846" w:type="dxa"/>
            <w:vAlign w:val="top"/>
          </w:tcPr>
          <w:p w14:paraId="7C959394">
            <w:pPr>
              <w:pStyle w:val="15"/>
              <w:rPr>
                <w:color w:val="auto"/>
                <w:highlight w:val="none"/>
              </w:rPr>
            </w:pPr>
          </w:p>
        </w:tc>
        <w:tc>
          <w:tcPr>
            <w:tcW w:w="916" w:type="dxa"/>
            <w:vAlign w:val="top"/>
          </w:tcPr>
          <w:p w14:paraId="2D7B8A52">
            <w:pPr>
              <w:pStyle w:val="15"/>
              <w:rPr>
                <w:color w:val="auto"/>
                <w:highlight w:val="none"/>
              </w:rPr>
            </w:pPr>
          </w:p>
        </w:tc>
        <w:tc>
          <w:tcPr>
            <w:tcW w:w="1142" w:type="dxa"/>
            <w:vAlign w:val="top"/>
          </w:tcPr>
          <w:p w14:paraId="3BFA4033">
            <w:pPr>
              <w:pStyle w:val="15"/>
              <w:rPr>
                <w:color w:val="auto"/>
                <w:highlight w:val="none"/>
              </w:rPr>
            </w:pPr>
          </w:p>
        </w:tc>
        <w:tc>
          <w:tcPr>
            <w:tcW w:w="1142" w:type="dxa"/>
            <w:vAlign w:val="top"/>
          </w:tcPr>
          <w:p w14:paraId="1BFCF040">
            <w:pPr>
              <w:pStyle w:val="15"/>
              <w:rPr>
                <w:color w:val="auto"/>
                <w:highlight w:val="none"/>
              </w:rPr>
            </w:pPr>
          </w:p>
        </w:tc>
        <w:tc>
          <w:tcPr>
            <w:tcW w:w="2777" w:type="dxa"/>
            <w:vAlign w:val="top"/>
          </w:tcPr>
          <w:p w14:paraId="537C7532">
            <w:pPr>
              <w:pStyle w:val="15"/>
              <w:rPr>
                <w:color w:val="auto"/>
                <w:highlight w:val="none"/>
              </w:rPr>
            </w:pPr>
          </w:p>
        </w:tc>
      </w:tr>
      <w:tr w14:paraId="49AAF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14:paraId="0FFF82BA">
            <w:pPr>
              <w:spacing w:before="169" w:line="178" w:lineRule="auto"/>
              <w:ind w:left="253"/>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4"/>
                <w:sz w:val="17"/>
                <w:szCs w:val="17"/>
                <w:highlight w:val="none"/>
              </w:rPr>
              <w:t>4</w:t>
            </w:r>
          </w:p>
        </w:tc>
        <w:tc>
          <w:tcPr>
            <w:tcW w:w="831" w:type="dxa"/>
            <w:vAlign w:val="top"/>
          </w:tcPr>
          <w:p w14:paraId="061BF9D0">
            <w:pPr>
              <w:pStyle w:val="15"/>
              <w:rPr>
                <w:color w:val="auto"/>
                <w:highlight w:val="none"/>
              </w:rPr>
            </w:pPr>
          </w:p>
        </w:tc>
        <w:tc>
          <w:tcPr>
            <w:tcW w:w="930" w:type="dxa"/>
            <w:vAlign w:val="top"/>
          </w:tcPr>
          <w:p w14:paraId="6BB5D964">
            <w:pPr>
              <w:pStyle w:val="15"/>
              <w:rPr>
                <w:color w:val="auto"/>
                <w:highlight w:val="none"/>
              </w:rPr>
            </w:pPr>
          </w:p>
        </w:tc>
        <w:tc>
          <w:tcPr>
            <w:tcW w:w="931" w:type="dxa"/>
            <w:vAlign w:val="top"/>
          </w:tcPr>
          <w:p w14:paraId="7B9E0ACC">
            <w:pPr>
              <w:pStyle w:val="15"/>
              <w:rPr>
                <w:color w:val="auto"/>
                <w:highlight w:val="none"/>
              </w:rPr>
            </w:pPr>
          </w:p>
        </w:tc>
        <w:tc>
          <w:tcPr>
            <w:tcW w:w="900" w:type="dxa"/>
            <w:vAlign w:val="top"/>
          </w:tcPr>
          <w:p w14:paraId="747757E9">
            <w:pPr>
              <w:pStyle w:val="15"/>
              <w:rPr>
                <w:color w:val="auto"/>
                <w:highlight w:val="none"/>
              </w:rPr>
            </w:pPr>
          </w:p>
        </w:tc>
        <w:tc>
          <w:tcPr>
            <w:tcW w:w="1065" w:type="dxa"/>
            <w:vAlign w:val="top"/>
          </w:tcPr>
          <w:p w14:paraId="1EDAD90D">
            <w:pPr>
              <w:pStyle w:val="15"/>
              <w:rPr>
                <w:color w:val="auto"/>
                <w:highlight w:val="none"/>
              </w:rPr>
            </w:pPr>
          </w:p>
        </w:tc>
        <w:tc>
          <w:tcPr>
            <w:tcW w:w="854" w:type="dxa"/>
            <w:vAlign w:val="top"/>
          </w:tcPr>
          <w:p w14:paraId="4DBC0D4A">
            <w:pPr>
              <w:pStyle w:val="15"/>
              <w:rPr>
                <w:color w:val="auto"/>
                <w:highlight w:val="none"/>
              </w:rPr>
            </w:pPr>
          </w:p>
        </w:tc>
        <w:tc>
          <w:tcPr>
            <w:tcW w:w="1201" w:type="dxa"/>
            <w:vAlign w:val="top"/>
          </w:tcPr>
          <w:p w14:paraId="3093CF82">
            <w:pPr>
              <w:pStyle w:val="15"/>
              <w:rPr>
                <w:color w:val="auto"/>
                <w:highlight w:val="none"/>
              </w:rPr>
            </w:pPr>
          </w:p>
        </w:tc>
        <w:tc>
          <w:tcPr>
            <w:tcW w:w="846" w:type="dxa"/>
            <w:vAlign w:val="top"/>
          </w:tcPr>
          <w:p w14:paraId="53B2A26B">
            <w:pPr>
              <w:pStyle w:val="15"/>
              <w:rPr>
                <w:color w:val="auto"/>
                <w:highlight w:val="none"/>
              </w:rPr>
            </w:pPr>
          </w:p>
        </w:tc>
        <w:tc>
          <w:tcPr>
            <w:tcW w:w="916" w:type="dxa"/>
            <w:vAlign w:val="top"/>
          </w:tcPr>
          <w:p w14:paraId="3079F792">
            <w:pPr>
              <w:pStyle w:val="15"/>
              <w:rPr>
                <w:color w:val="auto"/>
                <w:highlight w:val="none"/>
              </w:rPr>
            </w:pPr>
          </w:p>
        </w:tc>
        <w:tc>
          <w:tcPr>
            <w:tcW w:w="1142" w:type="dxa"/>
            <w:vAlign w:val="top"/>
          </w:tcPr>
          <w:p w14:paraId="37C70BE3">
            <w:pPr>
              <w:pStyle w:val="15"/>
              <w:rPr>
                <w:color w:val="auto"/>
                <w:highlight w:val="none"/>
              </w:rPr>
            </w:pPr>
          </w:p>
        </w:tc>
        <w:tc>
          <w:tcPr>
            <w:tcW w:w="1142" w:type="dxa"/>
            <w:vAlign w:val="top"/>
          </w:tcPr>
          <w:p w14:paraId="6DA92DE1">
            <w:pPr>
              <w:pStyle w:val="15"/>
              <w:rPr>
                <w:color w:val="auto"/>
                <w:highlight w:val="none"/>
              </w:rPr>
            </w:pPr>
          </w:p>
        </w:tc>
        <w:tc>
          <w:tcPr>
            <w:tcW w:w="2777" w:type="dxa"/>
            <w:vAlign w:val="top"/>
          </w:tcPr>
          <w:p w14:paraId="322DC462">
            <w:pPr>
              <w:pStyle w:val="15"/>
              <w:rPr>
                <w:color w:val="auto"/>
                <w:highlight w:val="none"/>
              </w:rPr>
            </w:pPr>
          </w:p>
        </w:tc>
      </w:tr>
      <w:tr w14:paraId="14839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67A588A9">
            <w:pPr>
              <w:spacing w:before="169" w:line="178" w:lineRule="auto"/>
              <w:ind w:left="267"/>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5</w:t>
            </w:r>
          </w:p>
        </w:tc>
        <w:tc>
          <w:tcPr>
            <w:tcW w:w="831" w:type="dxa"/>
            <w:vAlign w:val="top"/>
          </w:tcPr>
          <w:p w14:paraId="02567BE8">
            <w:pPr>
              <w:pStyle w:val="15"/>
              <w:rPr>
                <w:color w:val="auto"/>
                <w:highlight w:val="none"/>
              </w:rPr>
            </w:pPr>
          </w:p>
        </w:tc>
        <w:tc>
          <w:tcPr>
            <w:tcW w:w="930" w:type="dxa"/>
            <w:vAlign w:val="top"/>
          </w:tcPr>
          <w:p w14:paraId="3A85387D">
            <w:pPr>
              <w:pStyle w:val="15"/>
              <w:rPr>
                <w:color w:val="auto"/>
                <w:highlight w:val="none"/>
              </w:rPr>
            </w:pPr>
          </w:p>
        </w:tc>
        <w:tc>
          <w:tcPr>
            <w:tcW w:w="931" w:type="dxa"/>
            <w:vAlign w:val="top"/>
          </w:tcPr>
          <w:p w14:paraId="5C1BF6F8">
            <w:pPr>
              <w:pStyle w:val="15"/>
              <w:rPr>
                <w:color w:val="auto"/>
                <w:highlight w:val="none"/>
              </w:rPr>
            </w:pPr>
          </w:p>
        </w:tc>
        <w:tc>
          <w:tcPr>
            <w:tcW w:w="900" w:type="dxa"/>
            <w:vAlign w:val="top"/>
          </w:tcPr>
          <w:p w14:paraId="08BBBE72">
            <w:pPr>
              <w:pStyle w:val="15"/>
              <w:rPr>
                <w:color w:val="auto"/>
                <w:highlight w:val="none"/>
              </w:rPr>
            </w:pPr>
          </w:p>
        </w:tc>
        <w:tc>
          <w:tcPr>
            <w:tcW w:w="1065" w:type="dxa"/>
            <w:vAlign w:val="top"/>
          </w:tcPr>
          <w:p w14:paraId="767970B7">
            <w:pPr>
              <w:pStyle w:val="15"/>
              <w:rPr>
                <w:color w:val="auto"/>
                <w:highlight w:val="none"/>
              </w:rPr>
            </w:pPr>
          </w:p>
        </w:tc>
        <w:tc>
          <w:tcPr>
            <w:tcW w:w="854" w:type="dxa"/>
            <w:vAlign w:val="top"/>
          </w:tcPr>
          <w:p w14:paraId="45BAA02D">
            <w:pPr>
              <w:pStyle w:val="15"/>
              <w:rPr>
                <w:color w:val="auto"/>
                <w:highlight w:val="none"/>
              </w:rPr>
            </w:pPr>
          </w:p>
        </w:tc>
        <w:tc>
          <w:tcPr>
            <w:tcW w:w="1201" w:type="dxa"/>
            <w:vAlign w:val="top"/>
          </w:tcPr>
          <w:p w14:paraId="0AB09A5A">
            <w:pPr>
              <w:pStyle w:val="15"/>
              <w:rPr>
                <w:color w:val="auto"/>
                <w:highlight w:val="none"/>
              </w:rPr>
            </w:pPr>
          </w:p>
        </w:tc>
        <w:tc>
          <w:tcPr>
            <w:tcW w:w="846" w:type="dxa"/>
            <w:vAlign w:val="top"/>
          </w:tcPr>
          <w:p w14:paraId="41D9D45F">
            <w:pPr>
              <w:pStyle w:val="15"/>
              <w:rPr>
                <w:color w:val="auto"/>
                <w:highlight w:val="none"/>
              </w:rPr>
            </w:pPr>
          </w:p>
        </w:tc>
        <w:tc>
          <w:tcPr>
            <w:tcW w:w="916" w:type="dxa"/>
            <w:vAlign w:val="top"/>
          </w:tcPr>
          <w:p w14:paraId="59033AD1">
            <w:pPr>
              <w:pStyle w:val="15"/>
              <w:rPr>
                <w:color w:val="auto"/>
                <w:highlight w:val="none"/>
              </w:rPr>
            </w:pPr>
          </w:p>
        </w:tc>
        <w:tc>
          <w:tcPr>
            <w:tcW w:w="1142" w:type="dxa"/>
            <w:vAlign w:val="top"/>
          </w:tcPr>
          <w:p w14:paraId="15DCA80A">
            <w:pPr>
              <w:pStyle w:val="15"/>
              <w:rPr>
                <w:color w:val="auto"/>
                <w:highlight w:val="none"/>
              </w:rPr>
            </w:pPr>
          </w:p>
        </w:tc>
        <w:tc>
          <w:tcPr>
            <w:tcW w:w="1142" w:type="dxa"/>
            <w:vAlign w:val="top"/>
          </w:tcPr>
          <w:p w14:paraId="34D0D944">
            <w:pPr>
              <w:pStyle w:val="15"/>
              <w:rPr>
                <w:color w:val="auto"/>
                <w:highlight w:val="none"/>
              </w:rPr>
            </w:pPr>
          </w:p>
        </w:tc>
        <w:tc>
          <w:tcPr>
            <w:tcW w:w="2777" w:type="dxa"/>
            <w:vAlign w:val="top"/>
          </w:tcPr>
          <w:p w14:paraId="3FF2FB6F">
            <w:pPr>
              <w:pStyle w:val="15"/>
              <w:rPr>
                <w:color w:val="auto"/>
                <w:highlight w:val="none"/>
              </w:rPr>
            </w:pPr>
          </w:p>
        </w:tc>
      </w:tr>
      <w:tr w14:paraId="64C42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14:paraId="72EF1C4F">
            <w:pPr>
              <w:spacing w:before="168" w:line="180" w:lineRule="auto"/>
              <w:ind w:left="262"/>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6</w:t>
            </w:r>
          </w:p>
        </w:tc>
        <w:tc>
          <w:tcPr>
            <w:tcW w:w="831" w:type="dxa"/>
            <w:vAlign w:val="top"/>
          </w:tcPr>
          <w:p w14:paraId="484F945E">
            <w:pPr>
              <w:pStyle w:val="15"/>
              <w:rPr>
                <w:color w:val="auto"/>
                <w:highlight w:val="none"/>
              </w:rPr>
            </w:pPr>
          </w:p>
        </w:tc>
        <w:tc>
          <w:tcPr>
            <w:tcW w:w="930" w:type="dxa"/>
            <w:vAlign w:val="top"/>
          </w:tcPr>
          <w:p w14:paraId="31432A59">
            <w:pPr>
              <w:pStyle w:val="15"/>
              <w:rPr>
                <w:color w:val="auto"/>
                <w:highlight w:val="none"/>
              </w:rPr>
            </w:pPr>
          </w:p>
        </w:tc>
        <w:tc>
          <w:tcPr>
            <w:tcW w:w="931" w:type="dxa"/>
            <w:vAlign w:val="top"/>
          </w:tcPr>
          <w:p w14:paraId="387F9219">
            <w:pPr>
              <w:pStyle w:val="15"/>
              <w:rPr>
                <w:color w:val="auto"/>
                <w:highlight w:val="none"/>
              </w:rPr>
            </w:pPr>
          </w:p>
        </w:tc>
        <w:tc>
          <w:tcPr>
            <w:tcW w:w="900" w:type="dxa"/>
            <w:vAlign w:val="top"/>
          </w:tcPr>
          <w:p w14:paraId="73C7E118">
            <w:pPr>
              <w:pStyle w:val="15"/>
              <w:rPr>
                <w:color w:val="auto"/>
                <w:highlight w:val="none"/>
              </w:rPr>
            </w:pPr>
          </w:p>
        </w:tc>
        <w:tc>
          <w:tcPr>
            <w:tcW w:w="1065" w:type="dxa"/>
            <w:vAlign w:val="top"/>
          </w:tcPr>
          <w:p w14:paraId="0E641DAD">
            <w:pPr>
              <w:pStyle w:val="15"/>
              <w:rPr>
                <w:color w:val="auto"/>
                <w:highlight w:val="none"/>
              </w:rPr>
            </w:pPr>
          </w:p>
        </w:tc>
        <w:tc>
          <w:tcPr>
            <w:tcW w:w="854" w:type="dxa"/>
            <w:vAlign w:val="top"/>
          </w:tcPr>
          <w:p w14:paraId="5C37D043">
            <w:pPr>
              <w:pStyle w:val="15"/>
              <w:rPr>
                <w:color w:val="auto"/>
                <w:highlight w:val="none"/>
              </w:rPr>
            </w:pPr>
          </w:p>
        </w:tc>
        <w:tc>
          <w:tcPr>
            <w:tcW w:w="1201" w:type="dxa"/>
            <w:vAlign w:val="top"/>
          </w:tcPr>
          <w:p w14:paraId="20026A5F">
            <w:pPr>
              <w:pStyle w:val="15"/>
              <w:rPr>
                <w:color w:val="auto"/>
                <w:highlight w:val="none"/>
              </w:rPr>
            </w:pPr>
          </w:p>
        </w:tc>
        <w:tc>
          <w:tcPr>
            <w:tcW w:w="846" w:type="dxa"/>
            <w:vAlign w:val="top"/>
          </w:tcPr>
          <w:p w14:paraId="08A9CE6F">
            <w:pPr>
              <w:pStyle w:val="15"/>
              <w:rPr>
                <w:color w:val="auto"/>
                <w:highlight w:val="none"/>
              </w:rPr>
            </w:pPr>
          </w:p>
        </w:tc>
        <w:tc>
          <w:tcPr>
            <w:tcW w:w="916" w:type="dxa"/>
            <w:vAlign w:val="top"/>
          </w:tcPr>
          <w:p w14:paraId="2E849B82">
            <w:pPr>
              <w:pStyle w:val="15"/>
              <w:rPr>
                <w:color w:val="auto"/>
                <w:highlight w:val="none"/>
              </w:rPr>
            </w:pPr>
          </w:p>
        </w:tc>
        <w:tc>
          <w:tcPr>
            <w:tcW w:w="1142" w:type="dxa"/>
            <w:vAlign w:val="top"/>
          </w:tcPr>
          <w:p w14:paraId="6F3F35AD">
            <w:pPr>
              <w:pStyle w:val="15"/>
              <w:rPr>
                <w:color w:val="auto"/>
                <w:highlight w:val="none"/>
              </w:rPr>
            </w:pPr>
          </w:p>
        </w:tc>
        <w:tc>
          <w:tcPr>
            <w:tcW w:w="1142" w:type="dxa"/>
            <w:vAlign w:val="top"/>
          </w:tcPr>
          <w:p w14:paraId="647F4DA2">
            <w:pPr>
              <w:pStyle w:val="15"/>
              <w:rPr>
                <w:color w:val="auto"/>
                <w:highlight w:val="none"/>
              </w:rPr>
            </w:pPr>
          </w:p>
        </w:tc>
        <w:tc>
          <w:tcPr>
            <w:tcW w:w="2777" w:type="dxa"/>
            <w:vAlign w:val="top"/>
          </w:tcPr>
          <w:p w14:paraId="75C91364">
            <w:pPr>
              <w:pStyle w:val="15"/>
              <w:rPr>
                <w:color w:val="auto"/>
                <w:highlight w:val="none"/>
              </w:rPr>
            </w:pPr>
          </w:p>
        </w:tc>
      </w:tr>
      <w:tr w14:paraId="7061D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0AC56AFB">
            <w:pPr>
              <w:spacing w:before="171" w:line="178" w:lineRule="auto"/>
              <w:ind w:left="261"/>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7</w:t>
            </w:r>
          </w:p>
        </w:tc>
        <w:tc>
          <w:tcPr>
            <w:tcW w:w="831" w:type="dxa"/>
            <w:vAlign w:val="top"/>
          </w:tcPr>
          <w:p w14:paraId="7B672D33">
            <w:pPr>
              <w:pStyle w:val="15"/>
              <w:rPr>
                <w:color w:val="auto"/>
                <w:highlight w:val="none"/>
              </w:rPr>
            </w:pPr>
          </w:p>
        </w:tc>
        <w:tc>
          <w:tcPr>
            <w:tcW w:w="930" w:type="dxa"/>
            <w:vAlign w:val="top"/>
          </w:tcPr>
          <w:p w14:paraId="323DB554">
            <w:pPr>
              <w:pStyle w:val="15"/>
              <w:rPr>
                <w:color w:val="auto"/>
                <w:highlight w:val="none"/>
              </w:rPr>
            </w:pPr>
          </w:p>
        </w:tc>
        <w:tc>
          <w:tcPr>
            <w:tcW w:w="931" w:type="dxa"/>
            <w:vAlign w:val="top"/>
          </w:tcPr>
          <w:p w14:paraId="0185DB8F">
            <w:pPr>
              <w:pStyle w:val="15"/>
              <w:rPr>
                <w:color w:val="auto"/>
                <w:highlight w:val="none"/>
              </w:rPr>
            </w:pPr>
          </w:p>
        </w:tc>
        <w:tc>
          <w:tcPr>
            <w:tcW w:w="900" w:type="dxa"/>
            <w:vAlign w:val="top"/>
          </w:tcPr>
          <w:p w14:paraId="391A970B">
            <w:pPr>
              <w:pStyle w:val="15"/>
              <w:rPr>
                <w:color w:val="auto"/>
                <w:highlight w:val="none"/>
              </w:rPr>
            </w:pPr>
          </w:p>
        </w:tc>
        <w:tc>
          <w:tcPr>
            <w:tcW w:w="1065" w:type="dxa"/>
            <w:vAlign w:val="top"/>
          </w:tcPr>
          <w:p w14:paraId="35EE251D">
            <w:pPr>
              <w:pStyle w:val="15"/>
              <w:rPr>
                <w:color w:val="auto"/>
                <w:highlight w:val="none"/>
              </w:rPr>
            </w:pPr>
          </w:p>
        </w:tc>
        <w:tc>
          <w:tcPr>
            <w:tcW w:w="854" w:type="dxa"/>
            <w:vAlign w:val="top"/>
          </w:tcPr>
          <w:p w14:paraId="7C4CB9AB">
            <w:pPr>
              <w:pStyle w:val="15"/>
              <w:rPr>
                <w:color w:val="auto"/>
                <w:highlight w:val="none"/>
              </w:rPr>
            </w:pPr>
          </w:p>
        </w:tc>
        <w:tc>
          <w:tcPr>
            <w:tcW w:w="1201" w:type="dxa"/>
            <w:vAlign w:val="top"/>
          </w:tcPr>
          <w:p w14:paraId="5388876E">
            <w:pPr>
              <w:pStyle w:val="15"/>
              <w:rPr>
                <w:color w:val="auto"/>
                <w:highlight w:val="none"/>
              </w:rPr>
            </w:pPr>
          </w:p>
        </w:tc>
        <w:tc>
          <w:tcPr>
            <w:tcW w:w="846" w:type="dxa"/>
            <w:vAlign w:val="top"/>
          </w:tcPr>
          <w:p w14:paraId="18D08589">
            <w:pPr>
              <w:pStyle w:val="15"/>
              <w:rPr>
                <w:color w:val="auto"/>
                <w:highlight w:val="none"/>
              </w:rPr>
            </w:pPr>
          </w:p>
        </w:tc>
        <w:tc>
          <w:tcPr>
            <w:tcW w:w="916" w:type="dxa"/>
            <w:vAlign w:val="top"/>
          </w:tcPr>
          <w:p w14:paraId="19AFD248">
            <w:pPr>
              <w:pStyle w:val="15"/>
              <w:rPr>
                <w:color w:val="auto"/>
                <w:highlight w:val="none"/>
              </w:rPr>
            </w:pPr>
          </w:p>
        </w:tc>
        <w:tc>
          <w:tcPr>
            <w:tcW w:w="1142" w:type="dxa"/>
            <w:vAlign w:val="top"/>
          </w:tcPr>
          <w:p w14:paraId="287C5639">
            <w:pPr>
              <w:pStyle w:val="15"/>
              <w:rPr>
                <w:color w:val="auto"/>
                <w:highlight w:val="none"/>
              </w:rPr>
            </w:pPr>
          </w:p>
        </w:tc>
        <w:tc>
          <w:tcPr>
            <w:tcW w:w="1142" w:type="dxa"/>
            <w:vAlign w:val="top"/>
          </w:tcPr>
          <w:p w14:paraId="43F0140F">
            <w:pPr>
              <w:pStyle w:val="15"/>
              <w:rPr>
                <w:color w:val="auto"/>
                <w:highlight w:val="none"/>
              </w:rPr>
            </w:pPr>
          </w:p>
        </w:tc>
        <w:tc>
          <w:tcPr>
            <w:tcW w:w="2777" w:type="dxa"/>
            <w:vAlign w:val="top"/>
          </w:tcPr>
          <w:p w14:paraId="1003521E">
            <w:pPr>
              <w:pStyle w:val="15"/>
              <w:rPr>
                <w:color w:val="auto"/>
                <w:highlight w:val="none"/>
              </w:rPr>
            </w:pPr>
          </w:p>
        </w:tc>
      </w:tr>
      <w:tr w14:paraId="33612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14:paraId="490BED51">
            <w:pPr>
              <w:spacing w:before="290" w:line="99" w:lineRule="exact"/>
              <w:ind w:left="249"/>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2"/>
                <w:position w:val="2"/>
                <w:sz w:val="17"/>
                <w:szCs w:val="17"/>
                <w:highlight w:val="none"/>
              </w:rPr>
              <w:t>...</w:t>
            </w:r>
          </w:p>
        </w:tc>
        <w:tc>
          <w:tcPr>
            <w:tcW w:w="831" w:type="dxa"/>
            <w:vAlign w:val="top"/>
          </w:tcPr>
          <w:p w14:paraId="127C334E">
            <w:pPr>
              <w:pStyle w:val="15"/>
              <w:rPr>
                <w:color w:val="auto"/>
                <w:highlight w:val="none"/>
              </w:rPr>
            </w:pPr>
          </w:p>
        </w:tc>
        <w:tc>
          <w:tcPr>
            <w:tcW w:w="930" w:type="dxa"/>
            <w:vAlign w:val="top"/>
          </w:tcPr>
          <w:p w14:paraId="294A6BE2">
            <w:pPr>
              <w:pStyle w:val="15"/>
              <w:rPr>
                <w:color w:val="auto"/>
                <w:highlight w:val="none"/>
              </w:rPr>
            </w:pPr>
          </w:p>
        </w:tc>
        <w:tc>
          <w:tcPr>
            <w:tcW w:w="931" w:type="dxa"/>
            <w:vAlign w:val="top"/>
          </w:tcPr>
          <w:p w14:paraId="46DC0490">
            <w:pPr>
              <w:pStyle w:val="15"/>
              <w:rPr>
                <w:color w:val="auto"/>
                <w:highlight w:val="none"/>
              </w:rPr>
            </w:pPr>
          </w:p>
        </w:tc>
        <w:tc>
          <w:tcPr>
            <w:tcW w:w="900" w:type="dxa"/>
            <w:vAlign w:val="top"/>
          </w:tcPr>
          <w:p w14:paraId="150F7EFB">
            <w:pPr>
              <w:pStyle w:val="15"/>
              <w:rPr>
                <w:color w:val="auto"/>
                <w:highlight w:val="none"/>
              </w:rPr>
            </w:pPr>
          </w:p>
        </w:tc>
        <w:tc>
          <w:tcPr>
            <w:tcW w:w="1065" w:type="dxa"/>
            <w:vAlign w:val="top"/>
          </w:tcPr>
          <w:p w14:paraId="3B2D8C5C">
            <w:pPr>
              <w:pStyle w:val="15"/>
              <w:rPr>
                <w:color w:val="auto"/>
                <w:highlight w:val="none"/>
              </w:rPr>
            </w:pPr>
          </w:p>
        </w:tc>
        <w:tc>
          <w:tcPr>
            <w:tcW w:w="854" w:type="dxa"/>
            <w:vAlign w:val="top"/>
          </w:tcPr>
          <w:p w14:paraId="06EA26FF">
            <w:pPr>
              <w:pStyle w:val="15"/>
              <w:rPr>
                <w:color w:val="auto"/>
                <w:highlight w:val="none"/>
              </w:rPr>
            </w:pPr>
          </w:p>
        </w:tc>
        <w:tc>
          <w:tcPr>
            <w:tcW w:w="1201" w:type="dxa"/>
            <w:vAlign w:val="top"/>
          </w:tcPr>
          <w:p w14:paraId="7FD43762">
            <w:pPr>
              <w:pStyle w:val="15"/>
              <w:rPr>
                <w:color w:val="auto"/>
                <w:highlight w:val="none"/>
              </w:rPr>
            </w:pPr>
          </w:p>
        </w:tc>
        <w:tc>
          <w:tcPr>
            <w:tcW w:w="846" w:type="dxa"/>
            <w:vAlign w:val="top"/>
          </w:tcPr>
          <w:p w14:paraId="4AE1AE49">
            <w:pPr>
              <w:pStyle w:val="15"/>
              <w:rPr>
                <w:color w:val="auto"/>
                <w:highlight w:val="none"/>
              </w:rPr>
            </w:pPr>
          </w:p>
        </w:tc>
        <w:tc>
          <w:tcPr>
            <w:tcW w:w="916" w:type="dxa"/>
            <w:vAlign w:val="top"/>
          </w:tcPr>
          <w:p w14:paraId="34E7C0CF">
            <w:pPr>
              <w:pStyle w:val="15"/>
              <w:rPr>
                <w:color w:val="auto"/>
                <w:highlight w:val="none"/>
              </w:rPr>
            </w:pPr>
          </w:p>
        </w:tc>
        <w:tc>
          <w:tcPr>
            <w:tcW w:w="1142" w:type="dxa"/>
            <w:vAlign w:val="top"/>
          </w:tcPr>
          <w:p w14:paraId="70BDE52B">
            <w:pPr>
              <w:pStyle w:val="15"/>
              <w:rPr>
                <w:color w:val="auto"/>
                <w:highlight w:val="none"/>
              </w:rPr>
            </w:pPr>
          </w:p>
        </w:tc>
        <w:tc>
          <w:tcPr>
            <w:tcW w:w="1142" w:type="dxa"/>
            <w:vAlign w:val="top"/>
          </w:tcPr>
          <w:p w14:paraId="6013D6C4">
            <w:pPr>
              <w:pStyle w:val="15"/>
              <w:rPr>
                <w:color w:val="auto"/>
                <w:highlight w:val="none"/>
              </w:rPr>
            </w:pPr>
          </w:p>
        </w:tc>
        <w:tc>
          <w:tcPr>
            <w:tcW w:w="2777" w:type="dxa"/>
            <w:vAlign w:val="top"/>
          </w:tcPr>
          <w:p w14:paraId="1093DB45">
            <w:pPr>
              <w:pStyle w:val="15"/>
              <w:rPr>
                <w:color w:val="auto"/>
                <w:highlight w:val="none"/>
              </w:rPr>
            </w:pPr>
          </w:p>
        </w:tc>
      </w:tr>
      <w:tr w14:paraId="2E840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691C50D2">
            <w:pPr>
              <w:pStyle w:val="15"/>
              <w:rPr>
                <w:color w:val="auto"/>
                <w:highlight w:val="none"/>
              </w:rPr>
            </w:pPr>
          </w:p>
        </w:tc>
        <w:tc>
          <w:tcPr>
            <w:tcW w:w="831" w:type="dxa"/>
            <w:vAlign w:val="top"/>
          </w:tcPr>
          <w:p w14:paraId="5E694241">
            <w:pPr>
              <w:pStyle w:val="15"/>
              <w:rPr>
                <w:color w:val="auto"/>
                <w:highlight w:val="none"/>
              </w:rPr>
            </w:pPr>
          </w:p>
        </w:tc>
        <w:tc>
          <w:tcPr>
            <w:tcW w:w="930" w:type="dxa"/>
            <w:vAlign w:val="top"/>
          </w:tcPr>
          <w:p w14:paraId="398468E7">
            <w:pPr>
              <w:pStyle w:val="15"/>
              <w:rPr>
                <w:color w:val="auto"/>
                <w:highlight w:val="none"/>
              </w:rPr>
            </w:pPr>
          </w:p>
        </w:tc>
        <w:tc>
          <w:tcPr>
            <w:tcW w:w="931" w:type="dxa"/>
            <w:vAlign w:val="top"/>
          </w:tcPr>
          <w:p w14:paraId="17BC7897">
            <w:pPr>
              <w:pStyle w:val="15"/>
              <w:rPr>
                <w:color w:val="auto"/>
                <w:highlight w:val="none"/>
              </w:rPr>
            </w:pPr>
          </w:p>
        </w:tc>
        <w:tc>
          <w:tcPr>
            <w:tcW w:w="900" w:type="dxa"/>
            <w:vAlign w:val="top"/>
          </w:tcPr>
          <w:p w14:paraId="11003DB2">
            <w:pPr>
              <w:pStyle w:val="15"/>
              <w:rPr>
                <w:color w:val="auto"/>
                <w:highlight w:val="none"/>
              </w:rPr>
            </w:pPr>
          </w:p>
        </w:tc>
        <w:tc>
          <w:tcPr>
            <w:tcW w:w="1065" w:type="dxa"/>
            <w:vAlign w:val="top"/>
          </w:tcPr>
          <w:p w14:paraId="03AD4B5A">
            <w:pPr>
              <w:pStyle w:val="15"/>
              <w:rPr>
                <w:color w:val="auto"/>
                <w:highlight w:val="none"/>
              </w:rPr>
            </w:pPr>
          </w:p>
        </w:tc>
        <w:tc>
          <w:tcPr>
            <w:tcW w:w="854" w:type="dxa"/>
            <w:vAlign w:val="top"/>
          </w:tcPr>
          <w:p w14:paraId="40344153">
            <w:pPr>
              <w:pStyle w:val="15"/>
              <w:rPr>
                <w:color w:val="auto"/>
                <w:highlight w:val="none"/>
              </w:rPr>
            </w:pPr>
          </w:p>
        </w:tc>
        <w:tc>
          <w:tcPr>
            <w:tcW w:w="1201" w:type="dxa"/>
            <w:vAlign w:val="top"/>
          </w:tcPr>
          <w:p w14:paraId="11AE61CB">
            <w:pPr>
              <w:pStyle w:val="15"/>
              <w:rPr>
                <w:color w:val="auto"/>
                <w:highlight w:val="none"/>
              </w:rPr>
            </w:pPr>
          </w:p>
        </w:tc>
        <w:tc>
          <w:tcPr>
            <w:tcW w:w="846" w:type="dxa"/>
            <w:vAlign w:val="top"/>
          </w:tcPr>
          <w:p w14:paraId="19BC7926">
            <w:pPr>
              <w:pStyle w:val="15"/>
              <w:rPr>
                <w:color w:val="auto"/>
                <w:highlight w:val="none"/>
              </w:rPr>
            </w:pPr>
          </w:p>
        </w:tc>
        <w:tc>
          <w:tcPr>
            <w:tcW w:w="916" w:type="dxa"/>
            <w:vAlign w:val="top"/>
          </w:tcPr>
          <w:p w14:paraId="323E3926">
            <w:pPr>
              <w:pStyle w:val="15"/>
              <w:rPr>
                <w:color w:val="auto"/>
                <w:highlight w:val="none"/>
              </w:rPr>
            </w:pPr>
          </w:p>
        </w:tc>
        <w:tc>
          <w:tcPr>
            <w:tcW w:w="1142" w:type="dxa"/>
            <w:vAlign w:val="top"/>
          </w:tcPr>
          <w:p w14:paraId="59FAC408">
            <w:pPr>
              <w:pStyle w:val="15"/>
              <w:rPr>
                <w:color w:val="auto"/>
                <w:highlight w:val="none"/>
              </w:rPr>
            </w:pPr>
          </w:p>
        </w:tc>
        <w:tc>
          <w:tcPr>
            <w:tcW w:w="1142" w:type="dxa"/>
            <w:vAlign w:val="top"/>
          </w:tcPr>
          <w:p w14:paraId="2FA225BB">
            <w:pPr>
              <w:pStyle w:val="15"/>
              <w:rPr>
                <w:color w:val="auto"/>
                <w:highlight w:val="none"/>
              </w:rPr>
            </w:pPr>
          </w:p>
        </w:tc>
        <w:tc>
          <w:tcPr>
            <w:tcW w:w="2777" w:type="dxa"/>
            <w:vAlign w:val="top"/>
          </w:tcPr>
          <w:p w14:paraId="37AF1917">
            <w:pPr>
              <w:pStyle w:val="15"/>
              <w:rPr>
                <w:color w:val="auto"/>
                <w:highlight w:val="none"/>
              </w:rPr>
            </w:pPr>
          </w:p>
        </w:tc>
      </w:tr>
      <w:tr w14:paraId="36DA4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07" w:type="dxa"/>
            <w:vAlign w:val="top"/>
          </w:tcPr>
          <w:p w14:paraId="41026166">
            <w:pPr>
              <w:spacing w:before="158" w:line="190" w:lineRule="auto"/>
              <w:ind w:left="124"/>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合计</w:t>
            </w:r>
          </w:p>
        </w:tc>
        <w:tc>
          <w:tcPr>
            <w:tcW w:w="831" w:type="dxa"/>
            <w:vAlign w:val="top"/>
          </w:tcPr>
          <w:p w14:paraId="329052E2">
            <w:pPr>
              <w:pStyle w:val="15"/>
              <w:rPr>
                <w:color w:val="auto"/>
                <w:highlight w:val="none"/>
              </w:rPr>
            </w:pPr>
          </w:p>
        </w:tc>
        <w:tc>
          <w:tcPr>
            <w:tcW w:w="930" w:type="dxa"/>
            <w:vAlign w:val="top"/>
          </w:tcPr>
          <w:p w14:paraId="48074871">
            <w:pPr>
              <w:pStyle w:val="15"/>
              <w:rPr>
                <w:color w:val="auto"/>
                <w:highlight w:val="none"/>
              </w:rPr>
            </w:pPr>
          </w:p>
        </w:tc>
        <w:tc>
          <w:tcPr>
            <w:tcW w:w="931" w:type="dxa"/>
            <w:vAlign w:val="top"/>
          </w:tcPr>
          <w:p w14:paraId="5F8EDAF3">
            <w:pPr>
              <w:pStyle w:val="15"/>
              <w:rPr>
                <w:color w:val="auto"/>
                <w:highlight w:val="none"/>
              </w:rPr>
            </w:pPr>
          </w:p>
        </w:tc>
        <w:tc>
          <w:tcPr>
            <w:tcW w:w="900" w:type="dxa"/>
            <w:vAlign w:val="top"/>
          </w:tcPr>
          <w:p w14:paraId="4AFA9C22">
            <w:pPr>
              <w:pStyle w:val="15"/>
              <w:rPr>
                <w:color w:val="auto"/>
                <w:highlight w:val="none"/>
              </w:rPr>
            </w:pPr>
          </w:p>
        </w:tc>
        <w:tc>
          <w:tcPr>
            <w:tcW w:w="1065" w:type="dxa"/>
            <w:vAlign w:val="top"/>
          </w:tcPr>
          <w:p w14:paraId="5D52AB21">
            <w:pPr>
              <w:pStyle w:val="15"/>
              <w:rPr>
                <w:color w:val="auto"/>
                <w:highlight w:val="none"/>
              </w:rPr>
            </w:pPr>
          </w:p>
        </w:tc>
        <w:tc>
          <w:tcPr>
            <w:tcW w:w="854" w:type="dxa"/>
            <w:vAlign w:val="top"/>
          </w:tcPr>
          <w:p w14:paraId="56F735AE">
            <w:pPr>
              <w:pStyle w:val="15"/>
              <w:rPr>
                <w:color w:val="auto"/>
                <w:highlight w:val="none"/>
              </w:rPr>
            </w:pPr>
          </w:p>
        </w:tc>
        <w:tc>
          <w:tcPr>
            <w:tcW w:w="1201" w:type="dxa"/>
            <w:vAlign w:val="top"/>
          </w:tcPr>
          <w:p w14:paraId="2C180EAC">
            <w:pPr>
              <w:pStyle w:val="15"/>
              <w:rPr>
                <w:color w:val="auto"/>
                <w:highlight w:val="none"/>
              </w:rPr>
            </w:pPr>
          </w:p>
        </w:tc>
        <w:tc>
          <w:tcPr>
            <w:tcW w:w="846" w:type="dxa"/>
            <w:vAlign w:val="top"/>
          </w:tcPr>
          <w:p w14:paraId="1EBEC02E">
            <w:pPr>
              <w:pStyle w:val="15"/>
              <w:rPr>
                <w:color w:val="auto"/>
                <w:highlight w:val="none"/>
              </w:rPr>
            </w:pPr>
          </w:p>
        </w:tc>
        <w:tc>
          <w:tcPr>
            <w:tcW w:w="916" w:type="dxa"/>
            <w:vAlign w:val="top"/>
          </w:tcPr>
          <w:p w14:paraId="2CCA631D">
            <w:pPr>
              <w:pStyle w:val="15"/>
              <w:rPr>
                <w:color w:val="auto"/>
                <w:highlight w:val="none"/>
              </w:rPr>
            </w:pPr>
          </w:p>
        </w:tc>
        <w:tc>
          <w:tcPr>
            <w:tcW w:w="1142" w:type="dxa"/>
            <w:vAlign w:val="top"/>
          </w:tcPr>
          <w:p w14:paraId="75B66E6F">
            <w:pPr>
              <w:pStyle w:val="15"/>
              <w:rPr>
                <w:color w:val="auto"/>
                <w:highlight w:val="none"/>
              </w:rPr>
            </w:pPr>
          </w:p>
        </w:tc>
        <w:tc>
          <w:tcPr>
            <w:tcW w:w="1142" w:type="dxa"/>
            <w:vAlign w:val="top"/>
          </w:tcPr>
          <w:p w14:paraId="3AE24DB9">
            <w:pPr>
              <w:pStyle w:val="15"/>
              <w:rPr>
                <w:color w:val="auto"/>
                <w:highlight w:val="none"/>
              </w:rPr>
            </w:pPr>
          </w:p>
        </w:tc>
        <w:tc>
          <w:tcPr>
            <w:tcW w:w="2777" w:type="dxa"/>
            <w:vAlign w:val="top"/>
          </w:tcPr>
          <w:p w14:paraId="42BBC91C">
            <w:pPr>
              <w:pStyle w:val="15"/>
              <w:rPr>
                <w:color w:val="auto"/>
                <w:highlight w:val="none"/>
              </w:rPr>
            </w:pPr>
          </w:p>
        </w:tc>
      </w:tr>
    </w:tbl>
    <w:p w14:paraId="0AF4225D">
      <w:pPr>
        <w:pStyle w:val="3"/>
        <w:spacing w:before="46" w:line="534" w:lineRule="exact"/>
        <w:ind w:left="68"/>
        <w:rPr>
          <w:rFonts w:hint="default" w:ascii="宋体" w:hAnsi="宋体" w:eastAsia="宋体" w:cs="宋体"/>
          <w:color w:val="auto"/>
          <w:spacing w:val="8"/>
          <w:position w:val="10"/>
          <w:sz w:val="20"/>
          <w:szCs w:val="20"/>
          <w:highlight w:val="none"/>
          <w:lang w:val="en-US" w:eastAsia="zh-CN"/>
        </w:rPr>
      </w:pPr>
      <w:r>
        <w:rPr>
          <w:rFonts w:hint="eastAsia" w:ascii="宋体" w:hAnsi="宋体" w:eastAsia="宋体" w:cs="宋体"/>
          <w:color w:val="auto"/>
          <w:spacing w:val="3"/>
          <w:position w:val="29"/>
          <w:sz w:val="18"/>
          <w:szCs w:val="18"/>
          <w:highlight w:val="none"/>
        </w:rPr>
        <w:t>说明：供应商根据对账需求可增加表头内容，不得删减表头内</w:t>
      </w:r>
      <w:r>
        <w:rPr>
          <w:rFonts w:hint="eastAsia" w:ascii="宋体" w:hAnsi="宋体" w:eastAsia="宋体" w:cs="宋体"/>
          <w:color w:val="auto"/>
          <w:spacing w:val="2"/>
          <w:position w:val="29"/>
          <w:sz w:val="18"/>
          <w:szCs w:val="18"/>
          <w:highlight w:val="none"/>
        </w:rPr>
        <w:t>容。</w:t>
      </w:r>
    </w:p>
    <w:p w14:paraId="040E43A3">
      <w:pPr>
        <w:rPr>
          <w:rFonts w:hint="default" w:ascii="宋体" w:hAnsi="宋体" w:eastAsia="宋体" w:cs="宋体"/>
          <w:color w:val="auto"/>
          <w:spacing w:val="-5"/>
          <w:position w:val="-1"/>
          <w:sz w:val="24"/>
          <w:szCs w:val="24"/>
          <w:highlight w:val="none"/>
          <w:lang w:val="en-US" w:eastAsia="zh-CN"/>
        </w:rPr>
      </w:pPr>
      <w:r>
        <w:rPr>
          <w:rFonts w:hint="eastAsia" w:ascii="宋体" w:hAnsi="宋体" w:eastAsia="宋体" w:cs="宋体"/>
          <w:color w:val="auto"/>
          <w:spacing w:val="-5"/>
          <w:position w:val="-1"/>
          <w:sz w:val="24"/>
          <w:szCs w:val="24"/>
          <w:highlight w:val="none"/>
          <w:lang w:val="en-US" w:eastAsia="zh-CN"/>
        </w:rPr>
        <w:t>收货单位对账人员签收</w:t>
      </w:r>
      <w:r>
        <w:rPr>
          <w:rFonts w:hint="eastAsia" w:ascii="宋体" w:hAnsi="宋体" w:cs="宋体"/>
          <w:color w:val="auto"/>
          <w:spacing w:val="-5"/>
          <w:position w:val="-1"/>
          <w:sz w:val="24"/>
          <w:szCs w:val="24"/>
          <w:highlight w:val="none"/>
          <w:lang w:val="en-US" w:eastAsia="zh-CN"/>
        </w:rPr>
        <w:t xml:space="preserve">：                                                              </w:t>
      </w:r>
      <w:r>
        <w:rPr>
          <w:rFonts w:hint="eastAsia" w:ascii="宋体" w:hAnsi="宋体" w:eastAsia="宋体" w:cs="宋体"/>
          <w:color w:val="auto"/>
          <w:spacing w:val="-5"/>
          <w:position w:val="-1"/>
          <w:sz w:val="24"/>
          <w:szCs w:val="24"/>
          <w:highlight w:val="none"/>
          <w:lang w:val="en-US" w:eastAsia="zh-CN"/>
        </w:rPr>
        <w:t>供货单位签章：</w:t>
      </w:r>
    </w:p>
    <w:p w14:paraId="5BD1C896">
      <w:pPr>
        <w:rPr>
          <w:rFonts w:hint="eastAsia" w:ascii="宋体" w:hAnsi="宋体" w:cs="宋体"/>
          <w:color w:val="auto"/>
          <w:spacing w:val="-5"/>
          <w:position w:val="-1"/>
          <w:sz w:val="24"/>
          <w:szCs w:val="24"/>
          <w:highlight w:val="none"/>
          <w:lang w:val="en-US" w:eastAsia="zh-CN"/>
        </w:rPr>
      </w:pPr>
    </w:p>
    <w:p w14:paraId="63CCF2B0">
      <w:pPr>
        <w:rPr>
          <w:rFonts w:hint="default" w:ascii="宋体" w:hAnsi="宋体" w:cs="宋体"/>
          <w:color w:val="auto"/>
          <w:spacing w:val="-5"/>
          <w:position w:val="-1"/>
          <w:sz w:val="24"/>
          <w:szCs w:val="24"/>
          <w:highlight w:val="none"/>
          <w:lang w:val="en-US" w:eastAsia="zh-CN"/>
        </w:rPr>
        <w:sectPr>
          <w:pgSz w:w="16838" w:h="11906" w:orient="landscape"/>
          <w:pgMar w:top="980" w:right="1134" w:bottom="958"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宋体" w:hAnsi="宋体" w:cs="宋体"/>
          <w:color w:val="auto"/>
          <w:spacing w:val="-5"/>
          <w:position w:val="-1"/>
          <w:sz w:val="24"/>
          <w:szCs w:val="24"/>
          <w:highlight w:val="none"/>
          <w:lang w:val="en-US" w:eastAsia="zh-CN"/>
        </w:rPr>
        <w:t>日期：                                                                               日期：</w:t>
      </w:r>
    </w:p>
    <w:p w14:paraId="7D473B9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t>附件六</w:t>
      </w:r>
    </w:p>
    <w:p w14:paraId="20D73FF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4145162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t>《项目部用章》格式</w:t>
      </w:r>
    </w:p>
    <w:p w14:paraId="0DACD9F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471024D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drawing>
          <wp:inline distT="0" distB="0" distL="114300" distR="114300">
            <wp:extent cx="4476750" cy="3238500"/>
            <wp:effectExtent l="0" t="0" r="0" b="0"/>
            <wp:docPr id="4" name="图片 4" descr="1719802889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9802889972"/>
                    <pic:cNvPicPr>
                      <a:picLocks noChangeAspect="1"/>
                    </pic:cNvPicPr>
                  </pic:nvPicPr>
                  <pic:blipFill>
                    <a:blip r:embed="rId10"/>
                    <a:stretch>
                      <a:fillRect/>
                    </a:stretch>
                  </pic:blipFill>
                  <pic:spPr>
                    <a:xfrm>
                      <a:off x="0" y="0"/>
                      <a:ext cx="4476750" cy="3238500"/>
                    </a:xfrm>
                    <a:prstGeom prst="rect">
                      <a:avLst/>
                    </a:prstGeom>
                  </pic:spPr>
                </pic:pic>
              </a:graphicData>
            </a:graphic>
          </wp:inline>
        </w:drawing>
      </w:r>
    </w:p>
    <w:p w14:paraId="1A4E059D">
      <w:pPr>
        <w:rPr>
          <w:rFonts w:hint="default"/>
          <w:color w:val="auto"/>
          <w:highlight w:val="none"/>
          <w:lang w:val="en-US" w:eastAsia="zh-CN"/>
        </w:rPr>
      </w:pPr>
    </w:p>
    <w:p w14:paraId="5C5F98B5">
      <w:pPr>
        <w:rPr>
          <w:rFonts w:hint="default"/>
          <w:color w:val="auto"/>
          <w:highlight w:val="none"/>
          <w:lang w:val="en-US" w:eastAsia="zh-CN"/>
        </w:rPr>
      </w:pPr>
    </w:p>
    <w:p w14:paraId="2ABEA810">
      <w:pPr>
        <w:rPr>
          <w:rFonts w:hint="default"/>
          <w:color w:val="auto"/>
          <w:highlight w:val="none"/>
          <w:lang w:val="en-US" w:eastAsia="zh-CN"/>
        </w:rPr>
      </w:pPr>
    </w:p>
    <w:p w14:paraId="2415BFD8">
      <w:pPr>
        <w:rPr>
          <w:rFonts w:hint="default"/>
          <w:color w:val="auto"/>
          <w:highlight w:val="none"/>
          <w:lang w:val="en-US" w:eastAsia="zh-CN"/>
        </w:rPr>
      </w:pPr>
    </w:p>
    <w:p w14:paraId="4F2746DB">
      <w:pPr>
        <w:rPr>
          <w:rFonts w:hint="default"/>
          <w:color w:val="auto"/>
          <w:highlight w:val="none"/>
          <w:lang w:val="en-US" w:eastAsia="zh-CN"/>
        </w:rPr>
      </w:pPr>
    </w:p>
    <w:p w14:paraId="32786AD0">
      <w:pPr>
        <w:rPr>
          <w:rFonts w:hint="default"/>
          <w:color w:val="auto"/>
          <w:highlight w:val="none"/>
          <w:lang w:val="en-US" w:eastAsia="zh-CN"/>
        </w:rPr>
      </w:pPr>
    </w:p>
    <w:p w14:paraId="24861EE0">
      <w:pPr>
        <w:rPr>
          <w:rFonts w:hint="default"/>
          <w:color w:val="auto"/>
          <w:highlight w:val="none"/>
          <w:lang w:val="en-US" w:eastAsia="zh-CN"/>
        </w:rPr>
      </w:pPr>
    </w:p>
    <w:p w14:paraId="71E69188">
      <w:pPr>
        <w:rPr>
          <w:rFonts w:hint="default"/>
          <w:color w:val="auto"/>
          <w:highlight w:val="none"/>
          <w:lang w:val="en-US" w:eastAsia="zh-CN"/>
        </w:rPr>
      </w:pPr>
    </w:p>
    <w:p w14:paraId="2C6D9AE9">
      <w:pPr>
        <w:rPr>
          <w:rFonts w:hint="default"/>
          <w:color w:val="auto"/>
          <w:highlight w:val="none"/>
          <w:lang w:val="en-US" w:eastAsia="zh-CN"/>
        </w:rPr>
      </w:pPr>
    </w:p>
    <w:p w14:paraId="7424E0EF">
      <w:pPr>
        <w:rPr>
          <w:rFonts w:hint="default"/>
          <w:color w:val="auto"/>
          <w:highlight w:val="none"/>
          <w:lang w:val="en-US" w:eastAsia="zh-CN"/>
        </w:rPr>
      </w:pPr>
    </w:p>
    <w:p w14:paraId="51FD6F97">
      <w:pPr>
        <w:rPr>
          <w:rFonts w:hint="default"/>
          <w:color w:val="auto"/>
          <w:highlight w:val="none"/>
          <w:lang w:val="en-US" w:eastAsia="zh-CN"/>
        </w:rPr>
      </w:pPr>
    </w:p>
    <w:p w14:paraId="048049F4">
      <w:pPr>
        <w:rPr>
          <w:rFonts w:hint="default"/>
          <w:color w:val="auto"/>
          <w:highlight w:val="none"/>
          <w:lang w:val="en-US" w:eastAsia="zh-CN"/>
        </w:rPr>
      </w:pPr>
    </w:p>
    <w:p w14:paraId="2511B34A">
      <w:pPr>
        <w:rPr>
          <w:rFonts w:hint="default"/>
          <w:color w:val="auto"/>
          <w:highlight w:val="none"/>
          <w:lang w:val="en-US" w:eastAsia="zh-CN"/>
        </w:rPr>
      </w:pPr>
    </w:p>
    <w:p w14:paraId="38D1A42D">
      <w:pPr>
        <w:rPr>
          <w:rFonts w:hint="default"/>
          <w:color w:val="auto"/>
          <w:highlight w:val="none"/>
          <w:lang w:val="en-US" w:eastAsia="zh-CN"/>
        </w:rPr>
      </w:pPr>
    </w:p>
    <w:p w14:paraId="5E6D14B6">
      <w:pPr>
        <w:rPr>
          <w:rFonts w:hint="default"/>
          <w:color w:val="auto"/>
          <w:highlight w:val="none"/>
          <w:lang w:val="en-US" w:eastAsia="zh-CN"/>
        </w:rPr>
      </w:pPr>
    </w:p>
    <w:p w14:paraId="5CB187F5">
      <w:pPr>
        <w:rPr>
          <w:rFonts w:hint="default"/>
          <w:color w:val="auto"/>
          <w:highlight w:val="none"/>
          <w:lang w:val="en-US" w:eastAsia="zh-CN"/>
        </w:rPr>
      </w:pPr>
    </w:p>
    <w:p w14:paraId="5596F9CE">
      <w:pPr>
        <w:rPr>
          <w:rFonts w:hint="default"/>
          <w:color w:val="auto"/>
          <w:highlight w:val="none"/>
          <w:lang w:val="en-US" w:eastAsia="zh-CN"/>
        </w:rPr>
      </w:pPr>
    </w:p>
    <w:p w14:paraId="75AEF876">
      <w:pPr>
        <w:rPr>
          <w:rFonts w:hint="default"/>
          <w:color w:val="auto"/>
          <w:highlight w:val="none"/>
          <w:lang w:val="en-US" w:eastAsia="zh-CN"/>
        </w:rPr>
      </w:pPr>
    </w:p>
    <w:p w14:paraId="31EECD49">
      <w:pPr>
        <w:rPr>
          <w:rFonts w:hint="default"/>
          <w:color w:val="auto"/>
          <w:highlight w:val="none"/>
          <w:lang w:val="en-US" w:eastAsia="zh-CN"/>
        </w:rPr>
      </w:pPr>
    </w:p>
    <w:p w14:paraId="14DA1D23">
      <w:pPr>
        <w:rPr>
          <w:rFonts w:hint="default"/>
          <w:color w:val="auto"/>
          <w:highlight w:val="none"/>
          <w:lang w:val="en-US" w:eastAsia="zh-CN"/>
        </w:rPr>
      </w:pPr>
    </w:p>
    <w:p w14:paraId="2A72F4B2">
      <w:pPr>
        <w:rPr>
          <w:rFonts w:hint="default"/>
          <w:color w:val="auto"/>
          <w:highlight w:val="none"/>
          <w:lang w:val="en-US" w:eastAsia="zh-CN"/>
        </w:rPr>
      </w:pPr>
    </w:p>
    <w:p w14:paraId="47648E5F">
      <w:pPr>
        <w:rPr>
          <w:rFonts w:hint="default"/>
          <w:color w:val="auto"/>
          <w:highlight w:val="none"/>
          <w:lang w:val="en-US" w:eastAsia="zh-CN"/>
        </w:rPr>
      </w:pPr>
    </w:p>
    <w:p w14:paraId="4D9D0009">
      <w:pPr>
        <w:rPr>
          <w:rFonts w:hint="default"/>
          <w:color w:val="auto"/>
          <w:highlight w:val="none"/>
          <w:lang w:val="en-US" w:eastAsia="zh-CN"/>
        </w:rPr>
      </w:pPr>
    </w:p>
    <w:p w14:paraId="7A9AE914">
      <w:pPr>
        <w:jc w:val="right"/>
        <w:rPr>
          <w:rFonts w:hint="eastAsia" w:eastAsia="宋体"/>
          <w:color w:val="auto"/>
          <w:sz w:val="36"/>
          <w:szCs w:val="36"/>
          <w:highlight w:val="none"/>
          <w:lang w:val="en-US" w:eastAsia="zh-CN"/>
        </w:rPr>
      </w:pPr>
      <w:r>
        <w:rPr>
          <w:rFonts w:hint="eastAsia"/>
          <w:color w:val="auto"/>
          <w:sz w:val="36"/>
          <w:szCs w:val="36"/>
          <w:highlight w:val="none"/>
          <w:lang w:val="en-US" w:eastAsia="zh-CN"/>
        </w:rPr>
        <w:t>附件七</w:t>
      </w:r>
    </w:p>
    <w:p w14:paraId="3C37F532">
      <w:pPr>
        <w:jc w:val="center"/>
        <w:rPr>
          <w:color w:val="auto"/>
        </w:rPr>
      </w:pPr>
      <w:r>
        <w:rPr>
          <w:color w:val="auto"/>
          <w:sz w:val="44"/>
        </w:rPr>
        <mc:AlternateContent>
          <mc:Choice Requires="wps">
            <w:drawing>
              <wp:anchor distT="0" distB="0" distL="114300" distR="114300" simplePos="0" relativeHeight="251662336" behindDoc="0" locked="0" layoutInCell="1" allowOverlap="1">
                <wp:simplePos x="0" y="0"/>
                <wp:positionH relativeFrom="column">
                  <wp:posOffset>8208645</wp:posOffset>
                </wp:positionH>
                <wp:positionV relativeFrom="paragraph">
                  <wp:posOffset>407035</wp:posOffset>
                </wp:positionV>
                <wp:extent cx="1208405" cy="3600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08405" cy="360045"/>
                        </a:xfrm>
                        <a:prstGeom prst="rect">
                          <a:avLst/>
                        </a:prstGeom>
                        <a:noFill/>
                        <a:ln w="6350">
                          <a:noFill/>
                        </a:ln>
                        <a:effectLst/>
                      </wps:spPr>
                      <wps:txbx>
                        <w:txbxContent>
                          <w:p w14:paraId="449AD431">
                            <w:pPr>
                              <w:rPr>
                                <w:b/>
                                <w:bCs/>
                                <w:sz w:val="30"/>
                                <w:szCs w:val="30"/>
                              </w:rPr>
                            </w:pPr>
                            <w:r>
                              <w:rPr>
                                <w:rFonts w:hint="eastAsia"/>
                                <w:b/>
                                <w:bCs/>
                                <w:sz w:val="30"/>
                                <w:szCs w:val="30"/>
                              </w:rPr>
                              <w:t>No.0000001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6.35pt;margin-top:32.05pt;height:28.35pt;width:95.15pt;z-index:251662336;mso-width-relative:page;mso-height-relative:page;" filled="f" stroked="f" coordsize="21600,21600" o:gfxdata="UEsDBAoAAAAAAIdO4kAAAAAAAAAAAAAAAAAEAAAAZHJzL1BLAwQUAAAACACHTuJA/MpncNsAAAAM&#10;AQAADwAAAGRycy9kb3ducmV2LnhtbE2PzU7DMBCE70i8g7VI3KidUNoQ4lQoUoWE4NDSS29OvE0i&#10;7HWI3R94epwTHEczmvmmWF2sYSccfe9IQjITwJAap3tqJew+1ncZMB8UaWUcoYRv9LAqr68KlWt3&#10;pg2etqFlsYR8riR0IQw5577p0Co/cwNS9A5utCpEObZcj+ocy63hqRALblVPcaFTA1YdNp/bo5Xw&#10;Wq3f1aZObfZjqpe3w/Pwtds/SHl7k4gnYAEv4S8ME35EhzIy1e5I2jMTdfqYLmNWwmKeAJsS8+w+&#10;3qsnT2TAy4L/P1H+AlBLAwQUAAAACACHTuJAgKdBfUECAAB0BAAADgAAAGRycy9lMm9Eb2MueG1s&#10;rVTBjtMwEL0j8Q+W7zRpty1L1XRVtipCWrErFcTZdewmku0xttukfAD8AScu3Pmufgdjp+1WC4c9&#10;cHHGnvGbeW/Gmd60WpGdcL4GU9B+L6dEGA5lbTYF/fRx+eqaEh+YKZkCIwq6F57ezF6+mDZ2IgZQ&#10;gSqFIwhi/KSxBa1CsJMs87wSmvkeWGHQKcFpFnDrNlnpWIPoWmWDPB9nDbjSOuDCezxddE56RHTP&#10;AQQpay4WwLdamNChOqFYQEq+qq2ns1StlIKHeym9CEQVFJmGtGIStNdxzWZTNtk4ZquaH0tgzynh&#10;CSfNaoNJz1ALFhjZuvovKF1zBx5k6HHQWUckKYIs+vkTbVYVsyJxQam9PYvu/x8s/7B7cKQuCzqi&#10;xDCNDT/8+H74+fvw6xsZRXka6ycYtbIYF9q30OLQnM49HkbWrXQ6fpEPQT+Kuz+LK9pAeLw0yK+H&#10;OWbh6Lsa5/kwwWePt63z4Z0ATaJRUIfNS5qy3Z0PWAmGnkJiMgPLWqnUQGVIU9Dx1ShPF84evKFM&#10;jBVpFI4wkVFXebRCu26PNNdQ7pGlg25MvOXLGku5Yz48MIdzgcTw5YR7XKQCTAlHi5IK3Nd/ncd4&#10;bBd6KWlwzgrqv2yZE5So9wYb+aY/HMbBTJvh6PUAN+7Ss770mK2+BRzlPr5Ry5MZ44M6mdKB/owP&#10;bB6zoosZjrkLGk7mbeimHx8oF/N5CsJRtCzcmZXlEboTd74NIOuke5Sp0wabEDc4jKkdx4cTp/1y&#10;n6Iefxa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zKZ3DbAAAADAEAAA8AAAAAAAAAAQAgAAAA&#10;IgAAAGRycy9kb3ducmV2LnhtbFBLAQIUABQAAAAIAIdO4kCAp0F9QQIAAHQEAAAOAAAAAAAAAAEA&#10;IAAAACoBAABkcnMvZTJvRG9jLnhtbFBLBQYAAAAABgAGAFkBAADdBQAAAAA=&#10;">
                <v:fill on="f" focussize="0,0"/>
                <v:stroke on="f" weight="0.5pt"/>
                <v:imagedata o:title=""/>
                <o:lock v:ext="edit" aspectratio="f"/>
                <v:textbox>
                  <w:txbxContent>
                    <w:p w14:paraId="449AD431">
                      <w:pPr>
                        <w:rPr>
                          <w:b/>
                          <w:bCs/>
                          <w:sz w:val="30"/>
                          <w:szCs w:val="30"/>
                        </w:rPr>
                      </w:pPr>
                      <w:r>
                        <w:rPr>
                          <w:rFonts w:hint="eastAsia"/>
                          <w:b/>
                          <w:bCs/>
                          <w:sz w:val="30"/>
                          <w:szCs w:val="30"/>
                        </w:rPr>
                        <w:t>No.0000001</w:t>
                      </w:r>
                    </w:p>
                  </w:txbxContent>
                </v:textbox>
              </v:shape>
            </w:pict>
          </mc:Fallback>
        </mc:AlternateContent>
      </w:r>
      <w:r>
        <w:rPr>
          <w:rFonts w:hint="eastAsia"/>
          <w:color w:val="auto"/>
          <w:sz w:val="44"/>
          <w:szCs w:val="44"/>
        </w:rPr>
        <w:drawing>
          <wp:inline distT="0" distB="0" distL="114300" distR="114300">
            <wp:extent cx="5977255" cy="673735"/>
            <wp:effectExtent l="0" t="0" r="4445" b="12065"/>
            <wp:docPr id="6" name="图片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1"/>
                    <pic:cNvPicPr>
                      <a:picLocks noChangeAspect="1"/>
                    </pic:cNvPicPr>
                  </pic:nvPicPr>
                  <pic:blipFill>
                    <a:blip r:embed="rId11" cstate="print">
                      <a:clrChange>
                        <a:clrFrom>
                          <a:srgbClr val="FFFFFF">
                            <a:alpha val="100000"/>
                          </a:srgbClr>
                        </a:clrFrom>
                        <a:clrTo>
                          <a:srgbClr val="FFFFFF">
                            <a:alpha val="100000"/>
                            <a:alpha val="0"/>
                          </a:srgbClr>
                        </a:clrTo>
                      </a:clrChange>
                    </a:blip>
                    <a:stretch>
                      <a:fillRect/>
                    </a:stretch>
                  </pic:blipFill>
                  <pic:spPr>
                    <a:xfrm>
                      <a:off x="0" y="0"/>
                      <a:ext cx="5977255" cy="673735"/>
                    </a:xfrm>
                    <a:prstGeom prst="rect">
                      <a:avLst/>
                    </a:prstGeom>
                  </pic:spPr>
                </pic:pic>
              </a:graphicData>
            </a:graphic>
          </wp:inline>
        </w:drawing>
      </w:r>
    </w:p>
    <w:p w14:paraId="3BD8961F">
      <w:pPr>
        <w:spacing w:line="480" w:lineRule="exact"/>
        <w:jc w:val="center"/>
        <w:rPr>
          <w:color w:val="auto"/>
          <w:sz w:val="36"/>
          <w:szCs w:val="36"/>
        </w:rPr>
      </w:pPr>
      <w:r>
        <w:rPr>
          <w:rFonts w:hint="eastAsia"/>
          <w:color w:val="auto"/>
          <w:sz w:val="36"/>
          <w:szCs w:val="36"/>
        </w:rPr>
        <w:t>物 料 申 购 单</w:t>
      </w:r>
    </w:p>
    <w:p w14:paraId="55160861">
      <w:pPr>
        <w:jc w:val="left"/>
        <w:rPr>
          <w:color w:val="auto"/>
        </w:rPr>
      </w:pPr>
      <w:r>
        <w:rPr>
          <w:rFonts w:hint="eastAsia"/>
          <w:color w:val="auto"/>
        </w:rPr>
        <w:t xml:space="preserve">工程名称：     </w:t>
      </w:r>
      <w:r>
        <w:rPr>
          <w:rFonts w:hint="eastAsia"/>
          <w:color w:val="auto"/>
          <w:lang w:val="en-US" w:eastAsia="zh-CN"/>
        </w:rPr>
        <w:t xml:space="preserve">     </w:t>
      </w:r>
      <w:r>
        <w:rPr>
          <w:rFonts w:hint="eastAsia"/>
          <w:color w:val="auto"/>
        </w:rPr>
        <w:t xml:space="preserve"> 日 期 ：     </w:t>
      </w:r>
      <w:r>
        <w:rPr>
          <w:rFonts w:hint="eastAsia"/>
          <w:color w:val="auto"/>
          <w:lang w:val="en-US" w:eastAsia="zh-CN"/>
        </w:rPr>
        <w:t xml:space="preserve">202 </w:t>
      </w:r>
      <w:r>
        <w:rPr>
          <w:rFonts w:hint="eastAsia"/>
          <w:color w:val="auto"/>
        </w:rPr>
        <w:t xml:space="preserve">年 </w:t>
      </w:r>
      <w:r>
        <w:rPr>
          <w:rFonts w:hint="eastAsia"/>
          <w:color w:val="auto"/>
          <w:lang w:val="en-US" w:eastAsia="zh-CN"/>
        </w:rPr>
        <w:t xml:space="preserve"> </w:t>
      </w:r>
      <w:r>
        <w:rPr>
          <w:rFonts w:hint="eastAsia"/>
          <w:color w:val="auto"/>
        </w:rPr>
        <w:t xml:space="preserve">月  日 </w:t>
      </w:r>
      <w:r>
        <w:rPr>
          <w:rFonts w:hint="eastAsia"/>
          <w:color w:val="auto"/>
          <w:lang w:val="en-US" w:eastAsia="zh-CN"/>
        </w:rPr>
        <w:t xml:space="preserve">   </w:t>
      </w:r>
      <w:r>
        <w:rPr>
          <w:rFonts w:hint="eastAsia"/>
          <w:color w:val="auto"/>
        </w:rPr>
        <w:t>第</w:t>
      </w:r>
      <w:r>
        <w:rPr>
          <w:rFonts w:hint="eastAsia"/>
          <w:color w:val="auto"/>
          <w:lang w:val="en-US" w:eastAsia="zh-CN"/>
        </w:rPr>
        <w:t xml:space="preserve">   </w:t>
      </w:r>
      <w:r>
        <w:rPr>
          <w:rFonts w:hint="eastAsia"/>
          <w:color w:val="auto"/>
        </w:rPr>
        <w:t xml:space="preserve">页                              </w:t>
      </w:r>
    </w:p>
    <w:tbl>
      <w:tblPr>
        <w:tblStyle w:val="10"/>
        <w:tblpPr w:leftFromText="180" w:rightFromText="180" w:vertAnchor="text" w:horzAnchor="page" w:tblpX="8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03"/>
        <w:gridCol w:w="1560"/>
        <w:gridCol w:w="1335"/>
        <w:gridCol w:w="1515"/>
        <w:gridCol w:w="2174"/>
      </w:tblGrid>
      <w:tr w14:paraId="7344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vAlign w:val="center"/>
          </w:tcPr>
          <w:p w14:paraId="2D3368C9">
            <w:pPr>
              <w:jc w:val="center"/>
              <w:rPr>
                <w:rFonts w:eastAsiaTheme="minorEastAsia"/>
                <w:color w:val="auto"/>
              </w:rPr>
            </w:pPr>
            <w:r>
              <w:rPr>
                <w:rFonts w:hint="eastAsia"/>
                <w:color w:val="auto"/>
              </w:rPr>
              <w:t>序号</w:t>
            </w:r>
          </w:p>
        </w:tc>
        <w:tc>
          <w:tcPr>
            <w:tcW w:w="2603" w:type="dxa"/>
            <w:vAlign w:val="center"/>
          </w:tcPr>
          <w:p w14:paraId="0F673096">
            <w:pPr>
              <w:jc w:val="center"/>
              <w:rPr>
                <w:color w:val="auto"/>
              </w:rPr>
            </w:pPr>
            <w:r>
              <w:rPr>
                <w:rFonts w:hint="eastAsia"/>
                <w:color w:val="auto"/>
              </w:rPr>
              <w:t>材料名称/规格</w:t>
            </w:r>
          </w:p>
        </w:tc>
        <w:tc>
          <w:tcPr>
            <w:tcW w:w="1560" w:type="dxa"/>
            <w:vAlign w:val="center"/>
          </w:tcPr>
          <w:p w14:paraId="67C3F057">
            <w:pPr>
              <w:jc w:val="center"/>
              <w:rPr>
                <w:color w:val="auto"/>
              </w:rPr>
            </w:pPr>
            <w:r>
              <w:rPr>
                <w:rFonts w:hint="eastAsia"/>
                <w:color w:val="auto"/>
              </w:rPr>
              <w:t>数量/单位</w:t>
            </w:r>
          </w:p>
        </w:tc>
        <w:tc>
          <w:tcPr>
            <w:tcW w:w="1335" w:type="dxa"/>
            <w:vAlign w:val="center"/>
          </w:tcPr>
          <w:p w14:paraId="0AB3F358">
            <w:pPr>
              <w:jc w:val="center"/>
              <w:rPr>
                <w:color w:val="auto"/>
              </w:rPr>
            </w:pPr>
            <w:r>
              <w:rPr>
                <w:rFonts w:hint="eastAsia"/>
                <w:color w:val="auto"/>
              </w:rPr>
              <w:t>到货日期</w:t>
            </w:r>
          </w:p>
        </w:tc>
        <w:tc>
          <w:tcPr>
            <w:tcW w:w="1515" w:type="dxa"/>
            <w:vAlign w:val="center"/>
          </w:tcPr>
          <w:p w14:paraId="7FD38CD7">
            <w:pPr>
              <w:jc w:val="center"/>
              <w:rPr>
                <w:color w:val="auto"/>
              </w:rPr>
            </w:pPr>
            <w:r>
              <w:rPr>
                <w:rFonts w:hint="eastAsia"/>
                <w:color w:val="auto"/>
              </w:rPr>
              <w:t>质量要求</w:t>
            </w:r>
          </w:p>
        </w:tc>
        <w:tc>
          <w:tcPr>
            <w:tcW w:w="2174" w:type="dxa"/>
            <w:vAlign w:val="center"/>
          </w:tcPr>
          <w:p w14:paraId="4DB2D45B">
            <w:pPr>
              <w:jc w:val="center"/>
              <w:rPr>
                <w:color w:val="auto"/>
              </w:rPr>
            </w:pPr>
            <w:r>
              <w:rPr>
                <w:rFonts w:hint="eastAsia"/>
                <w:color w:val="auto"/>
              </w:rPr>
              <w:t>用途等备注</w:t>
            </w:r>
          </w:p>
        </w:tc>
      </w:tr>
      <w:tr w14:paraId="546E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045D1746">
            <w:pPr>
              <w:jc w:val="center"/>
              <w:rPr>
                <w:rFonts w:hint="eastAsia" w:eastAsia="宋体"/>
                <w:color w:val="auto"/>
                <w:lang w:val="en-US" w:eastAsia="zh-CN"/>
              </w:rPr>
            </w:pPr>
            <w:r>
              <w:rPr>
                <w:rFonts w:hint="eastAsia"/>
                <w:color w:val="auto"/>
                <w:lang w:val="en-US" w:eastAsia="zh-CN"/>
              </w:rPr>
              <w:t>1</w:t>
            </w:r>
          </w:p>
        </w:tc>
        <w:tc>
          <w:tcPr>
            <w:tcW w:w="2603" w:type="dxa"/>
            <w:vAlign w:val="center"/>
          </w:tcPr>
          <w:p w14:paraId="0F98AEF6">
            <w:pPr>
              <w:tabs>
                <w:tab w:val="left" w:pos="910"/>
              </w:tabs>
              <w:jc w:val="center"/>
              <w:rPr>
                <w:rFonts w:hint="default" w:ascii="宋体" w:hAnsi="宋体" w:eastAsia="宋体" w:cs="宋体"/>
                <w:color w:val="auto"/>
                <w:kern w:val="2"/>
                <w:sz w:val="21"/>
                <w:szCs w:val="24"/>
                <w:lang w:val="en-US" w:eastAsia="zh-CN" w:bidi="ar-SA"/>
              </w:rPr>
            </w:pPr>
          </w:p>
        </w:tc>
        <w:tc>
          <w:tcPr>
            <w:tcW w:w="1560" w:type="dxa"/>
            <w:vAlign w:val="center"/>
          </w:tcPr>
          <w:p w14:paraId="47678031">
            <w:pPr>
              <w:jc w:val="center"/>
              <w:rPr>
                <w:rFonts w:hint="default" w:eastAsia="宋体"/>
                <w:color w:val="auto"/>
                <w:lang w:val="en-US" w:eastAsia="zh-CN"/>
              </w:rPr>
            </w:pPr>
          </w:p>
        </w:tc>
        <w:tc>
          <w:tcPr>
            <w:tcW w:w="1335" w:type="dxa"/>
            <w:vAlign w:val="center"/>
          </w:tcPr>
          <w:p w14:paraId="2C7D4C97">
            <w:pPr>
              <w:jc w:val="center"/>
              <w:rPr>
                <w:rFonts w:hint="default" w:eastAsia="宋体"/>
                <w:color w:val="auto"/>
                <w:lang w:val="en-US" w:eastAsia="zh-CN"/>
              </w:rPr>
            </w:pPr>
          </w:p>
        </w:tc>
        <w:tc>
          <w:tcPr>
            <w:tcW w:w="1515" w:type="dxa"/>
            <w:vAlign w:val="center"/>
          </w:tcPr>
          <w:p w14:paraId="53C0C68C">
            <w:pPr>
              <w:jc w:val="center"/>
              <w:rPr>
                <w:rFonts w:hint="default" w:eastAsia="宋体"/>
                <w:color w:val="auto"/>
                <w:lang w:val="en-US" w:eastAsia="zh-CN"/>
              </w:rPr>
            </w:pPr>
          </w:p>
        </w:tc>
        <w:tc>
          <w:tcPr>
            <w:tcW w:w="2174" w:type="dxa"/>
            <w:vMerge w:val="restart"/>
            <w:vAlign w:val="center"/>
          </w:tcPr>
          <w:p w14:paraId="4FBF91C1">
            <w:pPr>
              <w:jc w:val="both"/>
              <w:rPr>
                <w:rFonts w:hint="default" w:ascii="Calibri" w:hAnsi="Calibri" w:eastAsia="宋体" w:cs="宋体"/>
                <w:color w:val="auto"/>
                <w:kern w:val="2"/>
                <w:sz w:val="21"/>
                <w:szCs w:val="24"/>
                <w:lang w:val="en-US" w:eastAsia="zh-CN" w:bidi="ar-SA"/>
              </w:rPr>
            </w:pPr>
          </w:p>
        </w:tc>
      </w:tr>
      <w:tr w14:paraId="45A2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80" w:type="dxa"/>
            <w:vAlign w:val="center"/>
          </w:tcPr>
          <w:p w14:paraId="2BCD8DE8">
            <w:pPr>
              <w:jc w:val="center"/>
              <w:rPr>
                <w:rFonts w:hint="eastAsia" w:eastAsia="宋体"/>
                <w:color w:val="auto"/>
                <w:lang w:val="en-US" w:eastAsia="zh-CN"/>
              </w:rPr>
            </w:pPr>
            <w:r>
              <w:rPr>
                <w:rFonts w:hint="eastAsia"/>
                <w:color w:val="auto"/>
                <w:lang w:val="en-US" w:eastAsia="zh-CN"/>
              </w:rPr>
              <w:t>2</w:t>
            </w:r>
          </w:p>
        </w:tc>
        <w:tc>
          <w:tcPr>
            <w:tcW w:w="2603" w:type="dxa"/>
            <w:vAlign w:val="center"/>
          </w:tcPr>
          <w:p w14:paraId="27D871B0">
            <w:pPr>
              <w:jc w:val="center"/>
              <w:rPr>
                <w:rFonts w:hint="default" w:ascii="宋体" w:hAnsi="宋体" w:eastAsia="宋体" w:cs="宋体"/>
                <w:color w:val="auto"/>
                <w:kern w:val="2"/>
                <w:sz w:val="21"/>
                <w:szCs w:val="24"/>
                <w:lang w:val="en-US" w:eastAsia="zh-CN" w:bidi="ar-SA"/>
              </w:rPr>
            </w:pPr>
          </w:p>
        </w:tc>
        <w:tc>
          <w:tcPr>
            <w:tcW w:w="1560" w:type="dxa"/>
            <w:vAlign w:val="center"/>
          </w:tcPr>
          <w:p w14:paraId="19E71AAA">
            <w:pPr>
              <w:jc w:val="center"/>
              <w:rPr>
                <w:rFonts w:hint="default" w:eastAsia="宋体"/>
                <w:color w:val="auto"/>
                <w:lang w:val="en-US" w:eastAsia="zh-CN"/>
              </w:rPr>
            </w:pPr>
          </w:p>
        </w:tc>
        <w:tc>
          <w:tcPr>
            <w:tcW w:w="1335" w:type="dxa"/>
            <w:vAlign w:val="center"/>
          </w:tcPr>
          <w:p w14:paraId="477AE862">
            <w:pPr>
              <w:jc w:val="center"/>
              <w:rPr>
                <w:rFonts w:hint="default" w:eastAsia="宋体"/>
                <w:color w:val="auto"/>
                <w:lang w:val="en-US" w:eastAsia="zh-CN"/>
              </w:rPr>
            </w:pPr>
          </w:p>
        </w:tc>
        <w:tc>
          <w:tcPr>
            <w:tcW w:w="1515" w:type="dxa"/>
            <w:vAlign w:val="center"/>
          </w:tcPr>
          <w:p w14:paraId="4BE0DFF4">
            <w:pPr>
              <w:jc w:val="center"/>
              <w:rPr>
                <w:rFonts w:hint="eastAsia" w:eastAsia="宋体"/>
                <w:color w:val="auto"/>
                <w:lang w:eastAsia="zh-CN"/>
              </w:rPr>
            </w:pPr>
          </w:p>
        </w:tc>
        <w:tc>
          <w:tcPr>
            <w:tcW w:w="2174" w:type="dxa"/>
            <w:vMerge w:val="continue"/>
            <w:vAlign w:val="center"/>
          </w:tcPr>
          <w:p w14:paraId="27826503">
            <w:pPr>
              <w:jc w:val="center"/>
              <w:rPr>
                <w:rFonts w:hint="default" w:ascii="Calibri" w:hAnsi="Calibri" w:eastAsia="宋体" w:cs="宋体"/>
                <w:color w:val="auto"/>
                <w:kern w:val="2"/>
                <w:sz w:val="21"/>
                <w:szCs w:val="24"/>
                <w:lang w:val="en-US" w:eastAsia="zh-CN" w:bidi="ar-SA"/>
              </w:rPr>
            </w:pPr>
          </w:p>
        </w:tc>
      </w:tr>
      <w:tr w14:paraId="3930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67396A67">
            <w:pPr>
              <w:jc w:val="center"/>
              <w:rPr>
                <w:rFonts w:hint="eastAsia" w:eastAsia="宋体"/>
                <w:color w:val="auto"/>
                <w:lang w:val="en-US" w:eastAsia="zh-CN"/>
              </w:rPr>
            </w:pPr>
            <w:r>
              <w:rPr>
                <w:rFonts w:hint="eastAsia"/>
                <w:color w:val="auto"/>
                <w:lang w:val="en-US" w:eastAsia="zh-CN"/>
              </w:rPr>
              <w:t>3</w:t>
            </w:r>
          </w:p>
        </w:tc>
        <w:tc>
          <w:tcPr>
            <w:tcW w:w="2603" w:type="dxa"/>
            <w:vAlign w:val="center"/>
          </w:tcPr>
          <w:p w14:paraId="2D6C43E5">
            <w:pPr>
              <w:jc w:val="center"/>
              <w:rPr>
                <w:rFonts w:hint="default" w:ascii="宋体" w:hAnsi="宋体" w:eastAsia="宋体" w:cs="宋体"/>
                <w:color w:val="auto"/>
                <w:kern w:val="2"/>
                <w:sz w:val="21"/>
                <w:szCs w:val="24"/>
                <w:lang w:val="en-US" w:eastAsia="zh-CN" w:bidi="ar-SA"/>
              </w:rPr>
            </w:pPr>
          </w:p>
        </w:tc>
        <w:tc>
          <w:tcPr>
            <w:tcW w:w="1560" w:type="dxa"/>
            <w:vAlign w:val="center"/>
          </w:tcPr>
          <w:p w14:paraId="51D5EF7E">
            <w:pPr>
              <w:jc w:val="center"/>
              <w:rPr>
                <w:rFonts w:hint="default" w:eastAsia="宋体"/>
                <w:color w:val="auto"/>
                <w:lang w:val="en-US" w:eastAsia="zh-CN"/>
              </w:rPr>
            </w:pPr>
          </w:p>
        </w:tc>
        <w:tc>
          <w:tcPr>
            <w:tcW w:w="1335" w:type="dxa"/>
            <w:vAlign w:val="center"/>
          </w:tcPr>
          <w:p w14:paraId="050DAB8C">
            <w:pPr>
              <w:jc w:val="center"/>
              <w:rPr>
                <w:rFonts w:hint="default" w:ascii="Calibri" w:hAnsi="Calibri" w:eastAsia="宋体" w:cs="宋体"/>
                <w:color w:val="auto"/>
                <w:kern w:val="2"/>
                <w:sz w:val="21"/>
                <w:szCs w:val="24"/>
                <w:lang w:val="en-US" w:eastAsia="zh-CN" w:bidi="ar-SA"/>
              </w:rPr>
            </w:pPr>
          </w:p>
        </w:tc>
        <w:tc>
          <w:tcPr>
            <w:tcW w:w="1515" w:type="dxa"/>
            <w:vAlign w:val="center"/>
          </w:tcPr>
          <w:p w14:paraId="33FC6583">
            <w:pPr>
              <w:jc w:val="center"/>
              <w:rPr>
                <w:rFonts w:hint="eastAsia" w:eastAsia="宋体"/>
                <w:color w:val="auto"/>
                <w:lang w:val="en-US" w:eastAsia="zh-CN"/>
              </w:rPr>
            </w:pPr>
          </w:p>
        </w:tc>
        <w:tc>
          <w:tcPr>
            <w:tcW w:w="2174" w:type="dxa"/>
            <w:vMerge w:val="continue"/>
            <w:vAlign w:val="center"/>
          </w:tcPr>
          <w:p w14:paraId="2896F8FF">
            <w:pPr>
              <w:jc w:val="center"/>
              <w:rPr>
                <w:rFonts w:hint="default" w:ascii="Calibri" w:hAnsi="Calibri" w:eastAsia="宋体" w:cs="宋体"/>
                <w:color w:val="auto"/>
                <w:kern w:val="2"/>
                <w:sz w:val="21"/>
                <w:szCs w:val="24"/>
                <w:lang w:val="en-US" w:eastAsia="zh-CN" w:bidi="ar-SA"/>
              </w:rPr>
            </w:pPr>
          </w:p>
        </w:tc>
      </w:tr>
      <w:tr w14:paraId="5A22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0" w:type="dxa"/>
            <w:vAlign w:val="center"/>
          </w:tcPr>
          <w:p w14:paraId="096E87A2">
            <w:pPr>
              <w:jc w:val="center"/>
              <w:rPr>
                <w:rFonts w:hint="eastAsia" w:eastAsia="宋体"/>
                <w:color w:val="auto"/>
                <w:lang w:val="en-US" w:eastAsia="zh-CN"/>
              </w:rPr>
            </w:pPr>
            <w:r>
              <w:rPr>
                <w:rFonts w:hint="eastAsia"/>
                <w:color w:val="auto"/>
                <w:lang w:val="en-US" w:eastAsia="zh-CN"/>
              </w:rPr>
              <w:t>4</w:t>
            </w:r>
          </w:p>
        </w:tc>
        <w:tc>
          <w:tcPr>
            <w:tcW w:w="2603" w:type="dxa"/>
            <w:vAlign w:val="center"/>
          </w:tcPr>
          <w:p w14:paraId="0AE617C6">
            <w:pPr>
              <w:jc w:val="center"/>
              <w:rPr>
                <w:rFonts w:hint="default" w:ascii="宋体" w:hAnsi="宋体" w:eastAsia="宋体" w:cs="宋体"/>
                <w:color w:val="auto"/>
                <w:kern w:val="2"/>
                <w:sz w:val="21"/>
                <w:szCs w:val="24"/>
                <w:lang w:val="en-US" w:eastAsia="zh-CN" w:bidi="ar-SA"/>
              </w:rPr>
            </w:pPr>
          </w:p>
        </w:tc>
        <w:tc>
          <w:tcPr>
            <w:tcW w:w="1560" w:type="dxa"/>
            <w:vAlign w:val="center"/>
          </w:tcPr>
          <w:p w14:paraId="07150577">
            <w:pPr>
              <w:jc w:val="center"/>
              <w:rPr>
                <w:rFonts w:hint="default" w:ascii="Calibri" w:hAnsi="Calibri" w:eastAsia="宋体" w:cs="宋体"/>
                <w:color w:val="auto"/>
                <w:kern w:val="2"/>
                <w:sz w:val="21"/>
                <w:szCs w:val="24"/>
                <w:lang w:val="en-US" w:eastAsia="zh-CN" w:bidi="ar-SA"/>
              </w:rPr>
            </w:pPr>
          </w:p>
        </w:tc>
        <w:tc>
          <w:tcPr>
            <w:tcW w:w="1335" w:type="dxa"/>
            <w:vAlign w:val="center"/>
          </w:tcPr>
          <w:p w14:paraId="51470F62">
            <w:pPr>
              <w:jc w:val="center"/>
              <w:rPr>
                <w:rFonts w:hint="default" w:ascii="Calibri" w:hAnsi="Calibri" w:eastAsia="宋体" w:cs="宋体"/>
                <w:color w:val="auto"/>
                <w:kern w:val="2"/>
                <w:sz w:val="21"/>
                <w:szCs w:val="24"/>
                <w:lang w:val="en-US" w:eastAsia="zh-CN" w:bidi="ar-SA"/>
              </w:rPr>
            </w:pPr>
          </w:p>
        </w:tc>
        <w:tc>
          <w:tcPr>
            <w:tcW w:w="1515" w:type="dxa"/>
            <w:vAlign w:val="center"/>
          </w:tcPr>
          <w:p w14:paraId="6F286131">
            <w:pPr>
              <w:jc w:val="center"/>
              <w:rPr>
                <w:rFonts w:hint="eastAsia" w:eastAsia="宋体"/>
                <w:color w:val="auto"/>
                <w:lang w:eastAsia="zh-CN"/>
              </w:rPr>
            </w:pPr>
          </w:p>
        </w:tc>
        <w:tc>
          <w:tcPr>
            <w:tcW w:w="2174" w:type="dxa"/>
            <w:vMerge w:val="continue"/>
            <w:vAlign w:val="center"/>
          </w:tcPr>
          <w:p w14:paraId="311BB23A">
            <w:pPr>
              <w:jc w:val="center"/>
              <w:rPr>
                <w:rFonts w:hint="default" w:ascii="Calibri" w:hAnsi="Calibri" w:eastAsia="宋体" w:cs="宋体"/>
                <w:color w:val="auto"/>
                <w:kern w:val="2"/>
                <w:sz w:val="21"/>
                <w:szCs w:val="24"/>
                <w:lang w:val="en-US" w:eastAsia="zh-CN" w:bidi="ar-SA"/>
              </w:rPr>
            </w:pPr>
          </w:p>
        </w:tc>
      </w:tr>
      <w:tr w14:paraId="0286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0" w:type="dxa"/>
            <w:vAlign w:val="center"/>
          </w:tcPr>
          <w:p w14:paraId="7F44A1E3">
            <w:pPr>
              <w:jc w:val="center"/>
              <w:rPr>
                <w:rFonts w:hint="default"/>
                <w:color w:val="auto"/>
                <w:lang w:val="en-US" w:eastAsia="zh-CN"/>
              </w:rPr>
            </w:pPr>
            <w:r>
              <w:rPr>
                <w:rFonts w:hint="eastAsia"/>
                <w:color w:val="auto"/>
                <w:lang w:val="en-US" w:eastAsia="zh-CN"/>
              </w:rPr>
              <w:t>5</w:t>
            </w:r>
          </w:p>
        </w:tc>
        <w:tc>
          <w:tcPr>
            <w:tcW w:w="2603" w:type="dxa"/>
            <w:vAlign w:val="center"/>
          </w:tcPr>
          <w:p w14:paraId="2ABCEE19">
            <w:pPr>
              <w:jc w:val="center"/>
              <w:rPr>
                <w:rFonts w:hint="default" w:ascii="Calibri" w:hAnsi="Calibri" w:eastAsia="宋体" w:cs="Calibri"/>
                <w:color w:val="auto"/>
                <w:kern w:val="2"/>
                <w:sz w:val="21"/>
                <w:szCs w:val="24"/>
                <w:lang w:val="en-US" w:eastAsia="zh-CN" w:bidi="ar-SA"/>
              </w:rPr>
            </w:pPr>
          </w:p>
        </w:tc>
        <w:tc>
          <w:tcPr>
            <w:tcW w:w="1560" w:type="dxa"/>
            <w:vAlign w:val="center"/>
          </w:tcPr>
          <w:p w14:paraId="30D139B4">
            <w:pPr>
              <w:jc w:val="center"/>
              <w:rPr>
                <w:rFonts w:hint="eastAsia" w:ascii="Calibri" w:hAnsi="Calibri" w:eastAsia="宋体" w:cs="宋体"/>
                <w:color w:val="auto"/>
                <w:kern w:val="2"/>
                <w:sz w:val="21"/>
                <w:szCs w:val="24"/>
                <w:lang w:val="en-US" w:eastAsia="zh-CN" w:bidi="ar-SA"/>
              </w:rPr>
            </w:pPr>
          </w:p>
        </w:tc>
        <w:tc>
          <w:tcPr>
            <w:tcW w:w="1335" w:type="dxa"/>
            <w:vAlign w:val="center"/>
          </w:tcPr>
          <w:p w14:paraId="6CB7CFB7">
            <w:pPr>
              <w:jc w:val="center"/>
              <w:rPr>
                <w:rFonts w:hint="default" w:ascii="Calibri" w:hAnsi="Calibri" w:eastAsia="宋体" w:cs="宋体"/>
                <w:color w:val="auto"/>
                <w:kern w:val="2"/>
                <w:sz w:val="21"/>
                <w:szCs w:val="24"/>
                <w:lang w:val="en-US" w:eastAsia="zh-CN" w:bidi="ar-SA"/>
              </w:rPr>
            </w:pPr>
          </w:p>
        </w:tc>
        <w:tc>
          <w:tcPr>
            <w:tcW w:w="1515" w:type="dxa"/>
            <w:vAlign w:val="center"/>
          </w:tcPr>
          <w:p w14:paraId="39B619CF">
            <w:pPr>
              <w:jc w:val="center"/>
              <w:rPr>
                <w:rFonts w:hint="eastAsia" w:ascii="Calibri" w:hAnsi="Calibri" w:eastAsia="宋体" w:cs="宋体"/>
                <w:color w:val="auto"/>
                <w:kern w:val="2"/>
                <w:sz w:val="21"/>
                <w:szCs w:val="24"/>
                <w:lang w:val="en-US" w:eastAsia="zh-CN" w:bidi="ar-SA"/>
              </w:rPr>
            </w:pPr>
          </w:p>
        </w:tc>
        <w:tc>
          <w:tcPr>
            <w:tcW w:w="2174" w:type="dxa"/>
            <w:vMerge w:val="continue"/>
            <w:vAlign w:val="center"/>
          </w:tcPr>
          <w:p w14:paraId="59584047">
            <w:pPr>
              <w:jc w:val="center"/>
              <w:rPr>
                <w:rFonts w:hint="default" w:ascii="Calibri" w:hAnsi="Calibri" w:eastAsia="宋体" w:cs="宋体"/>
                <w:color w:val="auto"/>
                <w:kern w:val="2"/>
                <w:sz w:val="21"/>
                <w:szCs w:val="24"/>
                <w:lang w:val="en-US" w:eastAsia="zh-CN" w:bidi="ar-SA"/>
              </w:rPr>
            </w:pPr>
          </w:p>
        </w:tc>
      </w:tr>
      <w:tr w14:paraId="7545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80" w:type="dxa"/>
            <w:vAlign w:val="center"/>
          </w:tcPr>
          <w:p w14:paraId="1DCF052E">
            <w:pPr>
              <w:jc w:val="center"/>
              <w:rPr>
                <w:rFonts w:hint="default" w:eastAsia="宋体"/>
                <w:color w:val="auto"/>
                <w:lang w:val="en-US" w:eastAsia="zh-CN"/>
              </w:rPr>
            </w:pPr>
            <w:r>
              <w:rPr>
                <w:rFonts w:hint="eastAsia"/>
                <w:color w:val="auto"/>
                <w:lang w:val="en-US" w:eastAsia="zh-CN"/>
              </w:rPr>
              <w:t>6</w:t>
            </w:r>
          </w:p>
        </w:tc>
        <w:tc>
          <w:tcPr>
            <w:tcW w:w="2603" w:type="dxa"/>
            <w:vAlign w:val="center"/>
          </w:tcPr>
          <w:p w14:paraId="08BC6004">
            <w:pPr>
              <w:jc w:val="center"/>
              <w:rPr>
                <w:rFonts w:hint="default" w:ascii="宋体" w:hAnsi="宋体" w:eastAsia="宋体" w:cs="宋体"/>
                <w:color w:val="auto"/>
                <w:kern w:val="2"/>
                <w:sz w:val="21"/>
                <w:szCs w:val="24"/>
                <w:lang w:val="en-US" w:eastAsia="zh-CN" w:bidi="ar-SA"/>
              </w:rPr>
            </w:pPr>
          </w:p>
        </w:tc>
        <w:tc>
          <w:tcPr>
            <w:tcW w:w="1560" w:type="dxa"/>
            <w:vAlign w:val="center"/>
          </w:tcPr>
          <w:p w14:paraId="127D0117">
            <w:pPr>
              <w:jc w:val="center"/>
              <w:rPr>
                <w:rFonts w:hint="default" w:eastAsia="宋体"/>
                <w:color w:val="auto"/>
                <w:lang w:val="en-US" w:eastAsia="zh-CN"/>
              </w:rPr>
            </w:pPr>
          </w:p>
        </w:tc>
        <w:tc>
          <w:tcPr>
            <w:tcW w:w="1335" w:type="dxa"/>
            <w:vAlign w:val="center"/>
          </w:tcPr>
          <w:p w14:paraId="45BDCF3A">
            <w:pPr>
              <w:jc w:val="center"/>
              <w:rPr>
                <w:rFonts w:hint="eastAsia" w:ascii="Calibri" w:hAnsi="Calibri" w:eastAsia="宋体" w:cs="宋体"/>
                <w:color w:val="auto"/>
                <w:kern w:val="2"/>
                <w:sz w:val="21"/>
                <w:szCs w:val="24"/>
                <w:lang w:val="en-US" w:eastAsia="zh-CN" w:bidi="ar-SA"/>
              </w:rPr>
            </w:pPr>
          </w:p>
        </w:tc>
        <w:tc>
          <w:tcPr>
            <w:tcW w:w="1515" w:type="dxa"/>
            <w:vAlign w:val="center"/>
          </w:tcPr>
          <w:p w14:paraId="6A7DB780">
            <w:pPr>
              <w:jc w:val="center"/>
              <w:rPr>
                <w:rFonts w:hint="eastAsia" w:eastAsia="宋体"/>
                <w:color w:val="auto"/>
                <w:lang w:eastAsia="zh-CN"/>
              </w:rPr>
            </w:pPr>
          </w:p>
        </w:tc>
        <w:tc>
          <w:tcPr>
            <w:tcW w:w="2174" w:type="dxa"/>
            <w:vMerge w:val="restart"/>
            <w:vAlign w:val="center"/>
          </w:tcPr>
          <w:p w14:paraId="6A3479EB">
            <w:pPr>
              <w:jc w:val="center"/>
              <w:rPr>
                <w:rFonts w:hint="default" w:eastAsia="宋体"/>
                <w:color w:val="auto"/>
                <w:lang w:val="en-US" w:eastAsia="zh-CN"/>
              </w:rPr>
            </w:pPr>
          </w:p>
        </w:tc>
      </w:tr>
      <w:tr w14:paraId="590F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0A719E21">
            <w:pPr>
              <w:jc w:val="center"/>
              <w:rPr>
                <w:rFonts w:hint="default"/>
                <w:color w:val="auto"/>
                <w:lang w:val="en-US" w:eastAsia="zh-CN"/>
              </w:rPr>
            </w:pPr>
            <w:r>
              <w:rPr>
                <w:rFonts w:hint="eastAsia"/>
                <w:color w:val="auto"/>
                <w:lang w:val="en-US" w:eastAsia="zh-CN"/>
              </w:rPr>
              <w:t>7</w:t>
            </w:r>
          </w:p>
        </w:tc>
        <w:tc>
          <w:tcPr>
            <w:tcW w:w="2603" w:type="dxa"/>
            <w:vAlign w:val="center"/>
          </w:tcPr>
          <w:p w14:paraId="7EC6C69A">
            <w:pPr>
              <w:jc w:val="center"/>
              <w:rPr>
                <w:rFonts w:hint="default" w:eastAsia="宋体"/>
                <w:color w:val="auto"/>
                <w:lang w:val="en-US" w:eastAsia="zh-CN"/>
              </w:rPr>
            </w:pPr>
          </w:p>
        </w:tc>
        <w:tc>
          <w:tcPr>
            <w:tcW w:w="1560" w:type="dxa"/>
            <w:vAlign w:val="center"/>
          </w:tcPr>
          <w:p w14:paraId="1E4FC8E8">
            <w:pPr>
              <w:jc w:val="center"/>
              <w:rPr>
                <w:rFonts w:hint="default" w:eastAsia="宋体"/>
                <w:color w:val="auto"/>
                <w:lang w:val="en-US" w:eastAsia="zh-CN"/>
              </w:rPr>
            </w:pPr>
          </w:p>
        </w:tc>
        <w:tc>
          <w:tcPr>
            <w:tcW w:w="1335" w:type="dxa"/>
            <w:vAlign w:val="center"/>
          </w:tcPr>
          <w:p w14:paraId="24B60A37">
            <w:pPr>
              <w:jc w:val="center"/>
              <w:rPr>
                <w:rFonts w:hint="default" w:ascii="Calibri" w:hAnsi="Calibri" w:eastAsia="宋体" w:cs="宋体"/>
                <w:color w:val="auto"/>
                <w:kern w:val="2"/>
                <w:sz w:val="21"/>
                <w:szCs w:val="24"/>
                <w:lang w:val="en-US" w:eastAsia="zh-CN" w:bidi="ar-SA"/>
              </w:rPr>
            </w:pPr>
          </w:p>
        </w:tc>
        <w:tc>
          <w:tcPr>
            <w:tcW w:w="1515" w:type="dxa"/>
            <w:vAlign w:val="center"/>
          </w:tcPr>
          <w:p w14:paraId="6E86D1AA">
            <w:pPr>
              <w:jc w:val="center"/>
              <w:rPr>
                <w:rFonts w:hint="default" w:eastAsia="宋体"/>
                <w:color w:val="auto"/>
                <w:lang w:val="en-US" w:eastAsia="zh-CN"/>
              </w:rPr>
            </w:pPr>
          </w:p>
        </w:tc>
        <w:tc>
          <w:tcPr>
            <w:tcW w:w="2174" w:type="dxa"/>
            <w:vMerge w:val="continue"/>
            <w:vAlign w:val="center"/>
          </w:tcPr>
          <w:p w14:paraId="5457A373">
            <w:pPr>
              <w:jc w:val="center"/>
              <w:rPr>
                <w:rFonts w:hint="eastAsia" w:ascii="Calibri" w:hAnsi="Calibri" w:eastAsia="宋体" w:cs="宋体"/>
                <w:color w:val="auto"/>
                <w:kern w:val="2"/>
                <w:sz w:val="21"/>
                <w:szCs w:val="24"/>
                <w:lang w:val="en-US" w:eastAsia="zh-CN" w:bidi="ar-SA"/>
              </w:rPr>
            </w:pPr>
          </w:p>
        </w:tc>
      </w:tr>
      <w:tr w14:paraId="6412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0" w:type="dxa"/>
            <w:vAlign w:val="center"/>
          </w:tcPr>
          <w:p w14:paraId="78C95CAF">
            <w:pPr>
              <w:jc w:val="center"/>
              <w:rPr>
                <w:rFonts w:hint="default"/>
                <w:color w:val="auto"/>
                <w:lang w:val="en-US" w:eastAsia="zh-CN"/>
              </w:rPr>
            </w:pPr>
            <w:r>
              <w:rPr>
                <w:rFonts w:hint="eastAsia"/>
                <w:color w:val="auto"/>
                <w:lang w:val="en-US" w:eastAsia="zh-CN"/>
              </w:rPr>
              <w:t>8</w:t>
            </w:r>
          </w:p>
        </w:tc>
        <w:tc>
          <w:tcPr>
            <w:tcW w:w="2603" w:type="dxa"/>
            <w:vAlign w:val="center"/>
          </w:tcPr>
          <w:p w14:paraId="3FF6558F">
            <w:pPr>
              <w:jc w:val="center"/>
              <w:rPr>
                <w:rFonts w:hint="eastAsia" w:eastAsia="宋体"/>
                <w:color w:val="auto"/>
                <w:lang w:val="en-US" w:eastAsia="zh-CN"/>
              </w:rPr>
            </w:pPr>
          </w:p>
        </w:tc>
        <w:tc>
          <w:tcPr>
            <w:tcW w:w="1560" w:type="dxa"/>
            <w:vAlign w:val="center"/>
          </w:tcPr>
          <w:p w14:paraId="0CFBFDB2">
            <w:pPr>
              <w:jc w:val="center"/>
              <w:rPr>
                <w:rFonts w:hint="default" w:eastAsia="宋体"/>
                <w:color w:val="auto"/>
                <w:lang w:val="en-US" w:eastAsia="zh-CN"/>
              </w:rPr>
            </w:pPr>
          </w:p>
        </w:tc>
        <w:tc>
          <w:tcPr>
            <w:tcW w:w="1335" w:type="dxa"/>
            <w:vAlign w:val="center"/>
          </w:tcPr>
          <w:p w14:paraId="2C3D1C78">
            <w:pPr>
              <w:jc w:val="center"/>
              <w:rPr>
                <w:rFonts w:hint="default" w:ascii="Calibri" w:hAnsi="Calibri" w:eastAsia="宋体" w:cs="宋体"/>
                <w:color w:val="auto"/>
                <w:kern w:val="2"/>
                <w:sz w:val="21"/>
                <w:szCs w:val="24"/>
                <w:lang w:val="en-US" w:eastAsia="zh-CN" w:bidi="ar-SA"/>
              </w:rPr>
            </w:pPr>
          </w:p>
        </w:tc>
        <w:tc>
          <w:tcPr>
            <w:tcW w:w="1515" w:type="dxa"/>
            <w:vAlign w:val="center"/>
          </w:tcPr>
          <w:p w14:paraId="242A25E6">
            <w:pPr>
              <w:jc w:val="center"/>
              <w:rPr>
                <w:rFonts w:hint="default" w:eastAsia="宋体"/>
                <w:color w:val="auto"/>
                <w:lang w:val="en-US" w:eastAsia="zh-CN"/>
              </w:rPr>
            </w:pPr>
          </w:p>
        </w:tc>
        <w:tc>
          <w:tcPr>
            <w:tcW w:w="2174" w:type="dxa"/>
            <w:vMerge w:val="continue"/>
            <w:vAlign w:val="center"/>
          </w:tcPr>
          <w:p w14:paraId="6DBAD2B7">
            <w:pPr>
              <w:jc w:val="center"/>
              <w:rPr>
                <w:rFonts w:hint="eastAsia" w:ascii="Calibri" w:hAnsi="Calibri" w:eastAsia="宋体" w:cs="宋体"/>
                <w:color w:val="auto"/>
                <w:kern w:val="2"/>
                <w:sz w:val="21"/>
                <w:szCs w:val="24"/>
                <w:lang w:val="en-US" w:eastAsia="zh-CN" w:bidi="ar-SA"/>
              </w:rPr>
            </w:pPr>
          </w:p>
        </w:tc>
      </w:tr>
      <w:tr w14:paraId="1310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Align w:val="center"/>
          </w:tcPr>
          <w:p w14:paraId="5B800F7D">
            <w:pPr>
              <w:jc w:val="center"/>
              <w:rPr>
                <w:rFonts w:hint="default"/>
                <w:color w:val="auto"/>
                <w:lang w:val="en-US" w:eastAsia="zh-CN"/>
              </w:rPr>
            </w:pPr>
            <w:r>
              <w:rPr>
                <w:rFonts w:hint="eastAsia"/>
                <w:color w:val="auto"/>
                <w:lang w:val="en-US" w:eastAsia="zh-CN"/>
              </w:rPr>
              <w:t>9</w:t>
            </w:r>
          </w:p>
        </w:tc>
        <w:tc>
          <w:tcPr>
            <w:tcW w:w="2603" w:type="dxa"/>
            <w:vAlign w:val="center"/>
          </w:tcPr>
          <w:p w14:paraId="6D46F897">
            <w:pPr>
              <w:jc w:val="center"/>
              <w:rPr>
                <w:rFonts w:hint="eastAsia" w:eastAsia="宋体"/>
                <w:color w:val="auto"/>
                <w:lang w:val="en-US" w:eastAsia="zh-CN"/>
              </w:rPr>
            </w:pPr>
          </w:p>
        </w:tc>
        <w:tc>
          <w:tcPr>
            <w:tcW w:w="1560" w:type="dxa"/>
            <w:vAlign w:val="center"/>
          </w:tcPr>
          <w:p w14:paraId="14AB0C95">
            <w:pPr>
              <w:jc w:val="center"/>
              <w:rPr>
                <w:rFonts w:hint="default" w:eastAsia="宋体"/>
                <w:color w:val="auto"/>
                <w:lang w:val="en-US" w:eastAsia="zh-CN"/>
              </w:rPr>
            </w:pPr>
          </w:p>
        </w:tc>
        <w:tc>
          <w:tcPr>
            <w:tcW w:w="1335" w:type="dxa"/>
            <w:vAlign w:val="center"/>
          </w:tcPr>
          <w:p w14:paraId="311A0052">
            <w:pPr>
              <w:jc w:val="center"/>
              <w:rPr>
                <w:rFonts w:hint="default" w:ascii="Calibri" w:hAnsi="Calibri" w:eastAsia="宋体" w:cs="宋体"/>
                <w:color w:val="auto"/>
                <w:kern w:val="2"/>
                <w:sz w:val="21"/>
                <w:szCs w:val="24"/>
                <w:lang w:val="en-US" w:eastAsia="zh-CN" w:bidi="ar-SA"/>
              </w:rPr>
            </w:pPr>
          </w:p>
        </w:tc>
        <w:tc>
          <w:tcPr>
            <w:tcW w:w="1515" w:type="dxa"/>
            <w:vAlign w:val="center"/>
          </w:tcPr>
          <w:p w14:paraId="489282A5">
            <w:pPr>
              <w:jc w:val="center"/>
              <w:rPr>
                <w:rFonts w:hint="default" w:eastAsia="宋体"/>
                <w:color w:val="auto"/>
                <w:lang w:val="en-US" w:eastAsia="zh-CN"/>
              </w:rPr>
            </w:pPr>
          </w:p>
        </w:tc>
        <w:tc>
          <w:tcPr>
            <w:tcW w:w="2174" w:type="dxa"/>
            <w:vMerge w:val="continue"/>
            <w:vAlign w:val="center"/>
          </w:tcPr>
          <w:p w14:paraId="10288A58">
            <w:pPr>
              <w:jc w:val="center"/>
              <w:rPr>
                <w:rFonts w:hint="eastAsia" w:eastAsia="宋体"/>
                <w:color w:val="auto"/>
                <w:lang w:eastAsia="zh-CN"/>
              </w:rPr>
            </w:pPr>
          </w:p>
        </w:tc>
      </w:tr>
      <w:tr w14:paraId="6307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0" w:type="dxa"/>
            <w:vAlign w:val="center"/>
          </w:tcPr>
          <w:p w14:paraId="169F2310">
            <w:pPr>
              <w:jc w:val="center"/>
              <w:rPr>
                <w:rFonts w:hint="default"/>
                <w:color w:val="auto"/>
                <w:lang w:val="en-US" w:eastAsia="zh-CN"/>
              </w:rPr>
            </w:pPr>
            <w:r>
              <w:rPr>
                <w:rFonts w:hint="eastAsia"/>
                <w:color w:val="auto"/>
                <w:lang w:val="en-US" w:eastAsia="zh-CN"/>
              </w:rPr>
              <w:t>10</w:t>
            </w:r>
          </w:p>
        </w:tc>
        <w:tc>
          <w:tcPr>
            <w:tcW w:w="2603" w:type="dxa"/>
            <w:vAlign w:val="center"/>
          </w:tcPr>
          <w:p w14:paraId="39431C5C">
            <w:pPr>
              <w:jc w:val="center"/>
              <w:rPr>
                <w:rFonts w:hint="eastAsia" w:eastAsia="宋体"/>
                <w:color w:val="auto"/>
                <w:lang w:val="en-US" w:eastAsia="zh-CN"/>
              </w:rPr>
            </w:pPr>
          </w:p>
        </w:tc>
        <w:tc>
          <w:tcPr>
            <w:tcW w:w="1560" w:type="dxa"/>
            <w:vAlign w:val="center"/>
          </w:tcPr>
          <w:p w14:paraId="3E87F28D">
            <w:pPr>
              <w:jc w:val="center"/>
              <w:rPr>
                <w:rFonts w:hint="default" w:eastAsia="宋体"/>
                <w:color w:val="auto"/>
                <w:lang w:val="en-US" w:eastAsia="zh-CN"/>
              </w:rPr>
            </w:pPr>
          </w:p>
        </w:tc>
        <w:tc>
          <w:tcPr>
            <w:tcW w:w="1335" w:type="dxa"/>
            <w:vAlign w:val="center"/>
          </w:tcPr>
          <w:p w14:paraId="7153E556">
            <w:pPr>
              <w:jc w:val="center"/>
              <w:rPr>
                <w:rFonts w:hint="default" w:eastAsia="宋体"/>
                <w:color w:val="auto"/>
                <w:lang w:val="en-US" w:eastAsia="zh-CN"/>
              </w:rPr>
            </w:pPr>
          </w:p>
        </w:tc>
        <w:tc>
          <w:tcPr>
            <w:tcW w:w="1515" w:type="dxa"/>
            <w:vAlign w:val="center"/>
          </w:tcPr>
          <w:p w14:paraId="5EEB05C6">
            <w:pPr>
              <w:jc w:val="center"/>
              <w:rPr>
                <w:rFonts w:hint="default" w:eastAsia="宋体"/>
                <w:color w:val="auto"/>
                <w:lang w:val="en-US" w:eastAsia="zh-CN"/>
              </w:rPr>
            </w:pPr>
          </w:p>
        </w:tc>
        <w:tc>
          <w:tcPr>
            <w:tcW w:w="2174" w:type="dxa"/>
            <w:vMerge w:val="continue"/>
            <w:vAlign w:val="center"/>
          </w:tcPr>
          <w:p w14:paraId="2776BB3D">
            <w:pPr>
              <w:jc w:val="center"/>
              <w:rPr>
                <w:rFonts w:hint="eastAsia" w:eastAsia="宋体"/>
                <w:color w:val="auto"/>
                <w:lang w:eastAsia="zh-CN"/>
              </w:rPr>
            </w:pPr>
          </w:p>
        </w:tc>
      </w:tr>
      <w:tr w14:paraId="0F8E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00BD5289">
            <w:pPr>
              <w:jc w:val="center"/>
              <w:rPr>
                <w:rFonts w:hint="default"/>
                <w:color w:val="auto"/>
                <w:lang w:val="en-US" w:eastAsia="zh-CN"/>
              </w:rPr>
            </w:pPr>
            <w:r>
              <w:rPr>
                <w:rFonts w:hint="eastAsia"/>
                <w:color w:val="auto"/>
                <w:lang w:val="en-US" w:eastAsia="zh-CN"/>
              </w:rPr>
              <w:t>11</w:t>
            </w:r>
          </w:p>
        </w:tc>
        <w:tc>
          <w:tcPr>
            <w:tcW w:w="2603" w:type="dxa"/>
            <w:vAlign w:val="center"/>
          </w:tcPr>
          <w:p w14:paraId="6F62E3BE">
            <w:pPr>
              <w:jc w:val="center"/>
              <w:rPr>
                <w:rFonts w:hint="eastAsia" w:eastAsia="宋体"/>
                <w:color w:val="auto"/>
                <w:lang w:val="en-US" w:eastAsia="zh-CN"/>
              </w:rPr>
            </w:pPr>
          </w:p>
        </w:tc>
        <w:tc>
          <w:tcPr>
            <w:tcW w:w="1560" w:type="dxa"/>
            <w:vAlign w:val="center"/>
          </w:tcPr>
          <w:p w14:paraId="0AE67C09">
            <w:pPr>
              <w:jc w:val="center"/>
              <w:rPr>
                <w:rFonts w:hint="default"/>
                <w:color w:val="auto"/>
                <w:lang w:val="en-US" w:eastAsia="zh-CN"/>
              </w:rPr>
            </w:pPr>
          </w:p>
        </w:tc>
        <w:tc>
          <w:tcPr>
            <w:tcW w:w="1335" w:type="dxa"/>
            <w:vAlign w:val="center"/>
          </w:tcPr>
          <w:p w14:paraId="24216BB4">
            <w:pPr>
              <w:jc w:val="center"/>
              <w:rPr>
                <w:rFonts w:hint="default"/>
                <w:color w:val="auto"/>
                <w:lang w:val="en-US" w:eastAsia="zh-CN"/>
              </w:rPr>
            </w:pPr>
          </w:p>
        </w:tc>
        <w:tc>
          <w:tcPr>
            <w:tcW w:w="1515" w:type="dxa"/>
            <w:vAlign w:val="center"/>
          </w:tcPr>
          <w:p w14:paraId="2BC29EEC">
            <w:pPr>
              <w:jc w:val="center"/>
              <w:rPr>
                <w:rFonts w:hint="default" w:eastAsia="宋体"/>
                <w:color w:val="auto"/>
                <w:lang w:val="en-US" w:eastAsia="zh-CN"/>
              </w:rPr>
            </w:pPr>
          </w:p>
        </w:tc>
        <w:tc>
          <w:tcPr>
            <w:tcW w:w="2174" w:type="dxa"/>
            <w:vMerge w:val="continue"/>
            <w:vAlign w:val="center"/>
          </w:tcPr>
          <w:p w14:paraId="3399C6E0">
            <w:pPr>
              <w:jc w:val="center"/>
              <w:rPr>
                <w:rFonts w:hint="eastAsia" w:eastAsia="宋体"/>
                <w:color w:val="auto"/>
                <w:lang w:eastAsia="zh-CN"/>
              </w:rPr>
            </w:pPr>
          </w:p>
        </w:tc>
      </w:tr>
      <w:tr w14:paraId="78E7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145201F3">
            <w:pPr>
              <w:jc w:val="center"/>
              <w:rPr>
                <w:rFonts w:hint="default"/>
                <w:color w:val="auto"/>
                <w:lang w:val="en-US" w:eastAsia="zh-CN"/>
              </w:rPr>
            </w:pPr>
            <w:r>
              <w:rPr>
                <w:rFonts w:hint="eastAsia"/>
                <w:color w:val="auto"/>
                <w:lang w:val="en-US" w:eastAsia="zh-CN"/>
              </w:rPr>
              <w:t>12</w:t>
            </w:r>
          </w:p>
        </w:tc>
        <w:tc>
          <w:tcPr>
            <w:tcW w:w="2603" w:type="dxa"/>
            <w:vAlign w:val="center"/>
          </w:tcPr>
          <w:p w14:paraId="26218DDF">
            <w:pPr>
              <w:jc w:val="center"/>
              <w:rPr>
                <w:rFonts w:hint="eastAsia" w:eastAsia="宋体"/>
                <w:color w:val="auto"/>
                <w:lang w:val="en-US" w:eastAsia="zh-CN"/>
              </w:rPr>
            </w:pPr>
          </w:p>
        </w:tc>
        <w:tc>
          <w:tcPr>
            <w:tcW w:w="1560" w:type="dxa"/>
            <w:vAlign w:val="center"/>
          </w:tcPr>
          <w:p w14:paraId="01328DED">
            <w:pPr>
              <w:jc w:val="center"/>
              <w:rPr>
                <w:rFonts w:hint="default"/>
                <w:color w:val="auto"/>
                <w:lang w:val="en-US" w:eastAsia="zh-CN"/>
              </w:rPr>
            </w:pPr>
          </w:p>
        </w:tc>
        <w:tc>
          <w:tcPr>
            <w:tcW w:w="1335" w:type="dxa"/>
            <w:vAlign w:val="center"/>
          </w:tcPr>
          <w:p w14:paraId="2D789319">
            <w:pPr>
              <w:jc w:val="center"/>
              <w:rPr>
                <w:rFonts w:hint="default"/>
                <w:color w:val="auto"/>
                <w:lang w:val="en-US" w:eastAsia="zh-CN"/>
              </w:rPr>
            </w:pPr>
          </w:p>
        </w:tc>
        <w:tc>
          <w:tcPr>
            <w:tcW w:w="1515" w:type="dxa"/>
            <w:vAlign w:val="center"/>
          </w:tcPr>
          <w:p w14:paraId="1482AF35">
            <w:pPr>
              <w:jc w:val="center"/>
              <w:rPr>
                <w:rFonts w:hint="default" w:eastAsia="宋体"/>
                <w:color w:val="auto"/>
                <w:lang w:val="en-US" w:eastAsia="zh-CN"/>
              </w:rPr>
            </w:pPr>
          </w:p>
        </w:tc>
        <w:tc>
          <w:tcPr>
            <w:tcW w:w="2174" w:type="dxa"/>
            <w:vMerge w:val="continue"/>
            <w:vAlign w:val="center"/>
          </w:tcPr>
          <w:p w14:paraId="5C5EC801">
            <w:pPr>
              <w:jc w:val="center"/>
              <w:rPr>
                <w:rFonts w:hint="eastAsia" w:eastAsia="宋体"/>
                <w:color w:val="auto"/>
                <w:lang w:eastAsia="zh-CN"/>
              </w:rPr>
            </w:pPr>
          </w:p>
        </w:tc>
      </w:tr>
      <w:tr w14:paraId="1580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80" w:type="dxa"/>
            <w:vAlign w:val="center"/>
          </w:tcPr>
          <w:p w14:paraId="6DCD0207">
            <w:pPr>
              <w:jc w:val="center"/>
              <w:rPr>
                <w:rFonts w:hint="default"/>
                <w:color w:val="auto"/>
                <w:lang w:val="en-US" w:eastAsia="zh-CN"/>
              </w:rPr>
            </w:pPr>
            <w:r>
              <w:rPr>
                <w:rFonts w:hint="eastAsia"/>
                <w:color w:val="auto"/>
                <w:lang w:val="en-US" w:eastAsia="zh-CN"/>
              </w:rPr>
              <w:t>13</w:t>
            </w:r>
          </w:p>
        </w:tc>
        <w:tc>
          <w:tcPr>
            <w:tcW w:w="2603" w:type="dxa"/>
            <w:vAlign w:val="center"/>
          </w:tcPr>
          <w:p w14:paraId="55A80171">
            <w:pPr>
              <w:tabs>
                <w:tab w:val="left" w:pos="631"/>
              </w:tabs>
              <w:jc w:val="left"/>
              <w:rPr>
                <w:rFonts w:hint="eastAsia" w:eastAsia="宋体"/>
                <w:color w:val="auto"/>
                <w:lang w:val="en-US" w:eastAsia="zh-CN"/>
              </w:rPr>
            </w:pPr>
          </w:p>
        </w:tc>
        <w:tc>
          <w:tcPr>
            <w:tcW w:w="1560" w:type="dxa"/>
            <w:vAlign w:val="center"/>
          </w:tcPr>
          <w:p w14:paraId="0C51190E">
            <w:pPr>
              <w:jc w:val="center"/>
              <w:rPr>
                <w:rFonts w:hint="default"/>
                <w:color w:val="auto"/>
                <w:lang w:val="en-US" w:eastAsia="zh-CN"/>
              </w:rPr>
            </w:pPr>
          </w:p>
        </w:tc>
        <w:tc>
          <w:tcPr>
            <w:tcW w:w="1335" w:type="dxa"/>
            <w:vAlign w:val="center"/>
          </w:tcPr>
          <w:p w14:paraId="5832172F">
            <w:pPr>
              <w:jc w:val="center"/>
              <w:rPr>
                <w:rFonts w:hint="default"/>
                <w:color w:val="auto"/>
                <w:lang w:val="en-US" w:eastAsia="zh-CN"/>
              </w:rPr>
            </w:pPr>
          </w:p>
        </w:tc>
        <w:tc>
          <w:tcPr>
            <w:tcW w:w="1515" w:type="dxa"/>
            <w:vAlign w:val="center"/>
          </w:tcPr>
          <w:p w14:paraId="77147BCB">
            <w:pPr>
              <w:jc w:val="center"/>
              <w:rPr>
                <w:rFonts w:hint="default" w:eastAsia="宋体"/>
                <w:color w:val="auto"/>
                <w:lang w:val="en-US" w:eastAsia="zh-CN"/>
              </w:rPr>
            </w:pPr>
          </w:p>
        </w:tc>
        <w:tc>
          <w:tcPr>
            <w:tcW w:w="2174" w:type="dxa"/>
            <w:vMerge w:val="continue"/>
            <w:vAlign w:val="center"/>
          </w:tcPr>
          <w:p w14:paraId="0E1DAD9B">
            <w:pPr>
              <w:jc w:val="center"/>
              <w:rPr>
                <w:rFonts w:hint="eastAsia" w:eastAsia="宋体"/>
                <w:color w:val="auto"/>
                <w:lang w:eastAsia="zh-CN"/>
              </w:rPr>
            </w:pPr>
          </w:p>
        </w:tc>
      </w:tr>
      <w:tr w14:paraId="64DC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667F67AE">
            <w:pPr>
              <w:jc w:val="center"/>
              <w:rPr>
                <w:rFonts w:hint="default"/>
                <w:color w:val="auto"/>
                <w:lang w:val="en-US" w:eastAsia="zh-CN"/>
              </w:rPr>
            </w:pPr>
            <w:r>
              <w:rPr>
                <w:rFonts w:hint="eastAsia"/>
                <w:color w:val="auto"/>
                <w:lang w:val="en-US" w:eastAsia="zh-CN"/>
              </w:rPr>
              <w:t>14</w:t>
            </w:r>
          </w:p>
        </w:tc>
        <w:tc>
          <w:tcPr>
            <w:tcW w:w="2603" w:type="dxa"/>
            <w:vAlign w:val="center"/>
          </w:tcPr>
          <w:p w14:paraId="3016DEAA">
            <w:pPr>
              <w:jc w:val="center"/>
              <w:rPr>
                <w:rFonts w:hint="eastAsia" w:eastAsia="宋体"/>
                <w:color w:val="auto"/>
                <w:lang w:val="en-US" w:eastAsia="zh-CN"/>
              </w:rPr>
            </w:pPr>
          </w:p>
        </w:tc>
        <w:tc>
          <w:tcPr>
            <w:tcW w:w="1560" w:type="dxa"/>
            <w:vAlign w:val="center"/>
          </w:tcPr>
          <w:p w14:paraId="6B220175">
            <w:pPr>
              <w:jc w:val="center"/>
              <w:rPr>
                <w:rFonts w:hint="default"/>
                <w:color w:val="auto"/>
                <w:lang w:val="en-US" w:eastAsia="zh-CN"/>
              </w:rPr>
            </w:pPr>
          </w:p>
        </w:tc>
        <w:tc>
          <w:tcPr>
            <w:tcW w:w="1335" w:type="dxa"/>
            <w:vAlign w:val="center"/>
          </w:tcPr>
          <w:p w14:paraId="7AD5E346">
            <w:pPr>
              <w:jc w:val="center"/>
              <w:rPr>
                <w:rFonts w:hint="default"/>
                <w:color w:val="auto"/>
                <w:lang w:val="en-US" w:eastAsia="zh-CN"/>
              </w:rPr>
            </w:pPr>
          </w:p>
        </w:tc>
        <w:tc>
          <w:tcPr>
            <w:tcW w:w="1515" w:type="dxa"/>
            <w:vAlign w:val="center"/>
          </w:tcPr>
          <w:p w14:paraId="5EAC9599">
            <w:pPr>
              <w:jc w:val="center"/>
              <w:rPr>
                <w:rFonts w:hint="default" w:eastAsia="宋体"/>
                <w:color w:val="auto"/>
                <w:lang w:val="en-US" w:eastAsia="zh-CN"/>
              </w:rPr>
            </w:pPr>
          </w:p>
        </w:tc>
        <w:tc>
          <w:tcPr>
            <w:tcW w:w="2174" w:type="dxa"/>
            <w:vMerge w:val="continue"/>
            <w:vAlign w:val="center"/>
          </w:tcPr>
          <w:p w14:paraId="3FF26389">
            <w:pPr>
              <w:jc w:val="center"/>
              <w:rPr>
                <w:rFonts w:hint="default" w:eastAsia="宋体"/>
                <w:color w:val="auto"/>
                <w:lang w:val="en-US" w:eastAsia="zh-CN"/>
              </w:rPr>
            </w:pPr>
          </w:p>
        </w:tc>
      </w:tr>
      <w:tr w14:paraId="286E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44369597">
            <w:pPr>
              <w:jc w:val="center"/>
              <w:rPr>
                <w:rFonts w:hint="default"/>
                <w:color w:val="auto"/>
                <w:lang w:val="en-US" w:eastAsia="zh-CN"/>
              </w:rPr>
            </w:pPr>
            <w:r>
              <w:rPr>
                <w:rFonts w:hint="eastAsia"/>
                <w:color w:val="auto"/>
                <w:lang w:val="en-US" w:eastAsia="zh-CN"/>
              </w:rPr>
              <w:t>15</w:t>
            </w:r>
          </w:p>
        </w:tc>
        <w:tc>
          <w:tcPr>
            <w:tcW w:w="2603" w:type="dxa"/>
            <w:vAlign w:val="center"/>
          </w:tcPr>
          <w:p w14:paraId="13267CAA">
            <w:pPr>
              <w:jc w:val="center"/>
              <w:rPr>
                <w:rFonts w:hint="eastAsia" w:eastAsia="宋体"/>
                <w:color w:val="auto"/>
                <w:lang w:val="en-US" w:eastAsia="zh-CN"/>
              </w:rPr>
            </w:pPr>
          </w:p>
        </w:tc>
        <w:tc>
          <w:tcPr>
            <w:tcW w:w="1560" w:type="dxa"/>
            <w:vAlign w:val="center"/>
          </w:tcPr>
          <w:p w14:paraId="21F801DF">
            <w:pPr>
              <w:jc w:val="center"/>
              <w:rPr>
                <w:rFonts w:hint="default"/>
                <w:color w:val="auto"/>
                <w:lang w:val="en-US" w:eastAsia="zh-CN"/>
              </w:rPr>
            </w:pPr>
          </w:p>
        </w:tc>
        <w:tc>
          <w:tcPr>
            <w:tcW w:w="1335" w:type="dxa"/>
            <w:vAlign w:val="center"/>
          </w:tcPr>
          <w:p w14:paraId="6EA6247F">
            <w:pPr>
              <w:jc w:val="center"/>
              <w:rPr>
                <w:rFonts w:hint="default"/>
                <w:color w:val="auto"/>
                <w:lang w:val="en-US" w:eastAsia="zh-CN"/>
              </w:rPr>
            </w:pPr>
          </w:p>
        </w:tc>
        <w:tc>
          <w:tcPr>
            <w:tcW w:w="1515" w:type="dxa"/>
            <w:vAlign w:val="center"/>
          </w:tcPr>
          <w:p w14:paraId="7585DA99">
            <w:pPr>
              <w:jc w:val="center"/>
              <w:rPr>
                <w:rFonts w:hint="default" w:eastAsia="宋体"/>
                <w:color w:val="auto"/>
                <w:lang w:val="en-US" w:eastAsia="zh-CN"/>
              </w:rPr>
            </w:pPr>
          </w:p>
        </w:tc>
        <w:tc>
          <w:tcPr>
            <w:tcW w:w="2174" w:type="dxa"/>
            <w:vMerge w:val="continue"/>
            <w:vAlign w:val="center"/>
          </w:tcPr>
          <w:p w14:paraId="2F3E8E71">
            <w:pPr>
              <w:jc w:val="center"/>
              <w:rPr>
                <w:rFonts w:hint="eastAsia" w:eastAsia="宋体"/>
                <w:color w:val="auto"/>
                <w:lang w:val="en-US" w:eastAsia="zh-CN"/>
              </w:rPr>
            </w:pPr>
          </w:p>
        </w:tc>
      </w:tr>
      <w:tr w14:paraId="5223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0" w:type="dxa"/>
            <w:vAlign w:val="center"/>
          </w:tcPr>
          <w:p w14:paraId="0960E322">
            <w:pPr>
              <w:jc w:val="center"/>
              <w:rPr>
                <w:rFonts w:hint="default"/>
                <w:color w:val="auto"/>
                <w:lang w:val="en-US" w:eastAsia="zh-CN"/>
              </w:rPr>
            </w:pPr>
            <w:r>
              <w:rPr>
                <w:rFonts w:hint="eastAsia"/>
                <w:color w:val="auto"/>
                <w:lang w:val="en-US" w:eastAsia="zh-CN"/>
              </w:rPr>
              <w:t>16</w:t>
            </w:r>
          </w:p>
        </w:tc>
        <w:tc>
          <w:tcPr>
            <w:tcW w:w="2603" w:type="dxa"/>
            <w:vAlign w:val="center"/>
          </w:tcPr>
          <w:p w14:paraId="2096F7DF">
            <w:pPr>
              <w:jc w:val="center"/>
              <w:rPr>
                <w:rFonts w:hint="eastAsia" w:eastAsia="宋体"/>
                <w:color w:val="auto"/>
                <w:lang w:val="en-US" w:eastAsia="zh-CN"/>
              </w:rPr>
            </w:pPr>
          </w:p>
        </w:tc>
        <w:tc>
          <w:tcPr>
            <w:tcW w:w="1560" w:type="dxa"/>
            <w:vAlign w:val="center"/>
          </w:tcPr>
          <w:p w14:paraId="15134624">
            <w:pPr>
              <w:jc w:val="center"/>
              <w:rPr>
                <w:rFonts w:hint="default"/>
                <w:color w:val="auto"/>
                <w:lang w:val="en-US" w:eastAsia="zh-CN"/>
              </w:rPr>
            </w:pPr>
          </w:p>
        </w:tc>
        <w:tc>
          <w:tcPr>
            <w:tcW w:w="1335" w:type="dxa"/>
            <w:vAlign w:val="center"/>
          </w:tcPr>
          <w:p w14:paraId="487A9810">
            <w:pPr>
              <w:jc w:val="center"/>
              <w:rPr>
                <w:rFonts w:hint="default"/>
                <w:color w:val="auto"/>
                <w:lang w:val="en-US" w:eastAsia="zh-CN"/>
              </w:rPr>
            </w:pPr>
          </w:p>
        </w:tc>
        <w:tc>
          <w:tcPr>
            <w:tcW w:w="1515" w:type="dxa"/>
            <w:vAlign w:val="center"/>
          </w:tcPr>
          <w:p w14:paraId="7BCAFDCD">
            <w:pPr>
              <w:jc w:val="center"/>
              <w:rPr>
                <w:rFonts w:hint="default" w:eastAsia="宋体"/>
                <w:color w:val="auto"/>
                <w:lang w:val="en-US" w:eastAsia="zh-CN"/>
              </w:rPr>
            </w:pPr>
          </w:p>
        </w:tc>
        <w:tc>
          <w:tcPr>
            <w:tcW w:w="2174" w:type="dxa"/>
            <w:vMerge w:val="continue"/>
            <w:vAlign w:val="center"/>
          </w:tcPr>
          <w:p w14:paraId="4079C3DE">
            <w:pPr>
              <w:jc w:val="center"/>
              <w:rPr>
                <w:rFonts w:hint="eastAsia" w:eastAsia="宋体"/>
                <w:color w:val="auto"/>
                <w:lang w:eastAsia="zh-CN"/>
              </w:rPr>
            </w:pPr>
          </w:p>
        </w:tc>
      </w:tr>
      <w:tr w14:paraId="665C1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17A7B463">
            <w:pPr>
              <w:jc w:val="center"/>
              <w:rPr>
                <w:rFonts w:hint="default"/>
                <w:color w:val="auto"/>
                <w:lang w:val="en-US" w:eastAsia="zh-CN"/>
              </w:rPr>
            </w:pPr>
            <w:r>
              <w:rPr>
                <w:rFonts w:hint="eastAsia"/>
                <w:color w:val="auto"/>
                <w:lang w:val="en-US" w:eastAsia="zh-CN"/>
              </w:rPr>
              <w:t>17</w:t>
            </w:r>
          </w:p>
        </w:tc>
        <w:tc>
          <w:tcPr>
            <w:tcW w:w="2603" w:type="dxa"/>
            <w:vAlign w:val="center"/>
          </w:tcPr>
          <w:p w14:paraId="437C9ACC">
            <w:pPr>
              <w:jc w:val="center"/>
              <w:rPr>
                <w:rFonts w:hint="eastAsia" w:eastAsia="宋体"/>
                <w:color w:val="auto"/>
                <w:lang w:val="en-US" w:eastAsia="zh-CN"/>
              </w:rPr>
            </w:pPr>
          </w:p>
        </w:tc>
        <w:tc>
          <w:tcPr>
            <w:tcW w:w="1560" w:type="dxa"/>
            <w:vAlign w:val="center"/>
          </w:tcPr>
          <w:p w14:paraId="09C4ECDB">
            <w:pPr>
              <w:jc w:val="center"/>
              <w:rPr>
                <w:rFonts w:hint="default"/>
                <w:color w:val="auto"/>
                <w:lang w:val="en-US" w:eastAsia="zh-CN"/>
              </w:rPr>
            </w:pPr>
          </w:p>
        </w:tc>
        <w:tc>
          <w:tcPr>
            <w:tcW w:w="1335" w:type="dxa"/>
            <w:vAlign w:val="center"/>
          </w:tcPr>
          <w:p w14:paraId="1E4CF223">
            <w:pPr>
              <w:jc w:val="center"/>
              <w:rPr>
                <w:rFonts w:hint="default"/>
                <w:color w:val="auto"/>
                <w:lang w:val="en-US" w:eastAsia="zh-CN"/>
              </w:rPr>
            </w:pPr>
          </w:p>
        </w:tc>
        <w:tc>
          <w:tcPr>
            <w:tcW w:w="1515" w:type="dxa"/>
            <w:vAlign w:val="center"/>
          </w:tcPr>
          <w:p w14:paraId="18A53C38">
            <w:pPr>
              <w:jc w:val="center"/>
              <w:rPr>
                <w:rFonts w:hint="default" w:eastAsia="宋体"/>
                <w:color w:val="auto"/>
                <w:lang w:val="en-US" w:eastAsia="zh-CN"/>
              </w:rPr>
            </w:pPr>
          </w:p>
        </w:tc>
        <w:tc>
          <w:tcPr>
            <w:tcW w:w="2174" w:type="dxa"/>
            <w:vMerge w:val="continue"/>
            <w:vAlign w:val="center"/>
          </w:tcPr>
          <w:p w14:paraId="69E9D83E">
            <w:pPr>
              <w:jc w:val="center"/>
              <w:rPr>
                <w:rFonts w:hint="eastAsia" w:eastAsia="宋体"/>
                <w:color w:val="auto"/>
                <w:lang w:eastAsia="zh-CN"/>
              </w:rPr>
            </w:pPr>
          </w:p>
        </w:tc>
      </w:tr>
      <w:tr w14:paraId="3814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5EEAB27D">
            <w:pPr>
              <w:jc w:val="center"/>
              <w:rPr>
                <w:rFonts w:hint="default"/>
                <w:color w:val="auto"/>
                <w:lang w:val="en-US" w:eastAsia="zh-CN"/>
              </w:rPr>
            </w:pPr>
            <w:r>
              <w:rPr>
                <w:rFonts w:hint="eastAsia"/>
                <w:color w:val="auto"/>
                <w:lang w:val="en-US" w:eastAsia="zh-CN"/>
              </w:rPr>
              <w:t>18</w:t>
            </w:r>
          </w:p>
        </w:tc>
        <w:tc>
          <w:tcPr>
            <w:tcW w:w="2603" w:type="dxa"/>
            <w:vAlign w:val="center"/>
          </w:tcPr>
          <w:p w14:paraId="20B60FD3">
            <w:pPr>
              <w:jc w:val="center"/>
              <w:rPr>
                <w:rFonts w:hint="default" w:ascii="Calibri" w:hAnsi="Calibri" w:cs="Calibri"/>
                <w:color w:val="auto"/>
                <w:kern w:val="2"/>
                <w:sz w:val="21"/>
                <w:szCs w:val="24"/>
                <w:lang w:val="en-US" w:eastAsia="zh-CN" w:bidi="ar-SA"/>
              </w:rPr>
            </w:pPr>
          </w:p>
        </w:tc>
        <w:tc>
          <w:tcPr>
            <w:tcW w:w="1560" w:type="dxa"/>
            <w:vAlign w:val="center"/>
          </w:tcPr>
          <w:p w14:paraId="76C942BF">
            <w:pPr>
              <w:jc w:val="center"/>
              <w:rPr>
                <w:rFonts w:hint="default"/>
                <w:color w:val="auto"/>
                <w:lang w:val="en-US" w:eastAsia="zh-CN"/>
              </w:rPr>
            </w:pPr>
          </w:p>
        </w:tc>
        <w:tc>
          <w:tcPr>
            <w:tcW w:w="1335" w:type="dxa"/>
            <w:vAlign w:val="center"/>
          </w:tcPr>
          <w:p w14:paraId="3B03B292">
            <w:pPr>
              <w:jc w:val="center"/>
              <w:rPr>
                <w:rFonts w:hint="default"/>
                <w:color w:val="auto"/>
                <w:lang w:val="en-US" w:eastAsia="zh-CN"/>
              </w:rPr>
            </w:pPr>
          </w:p>
        </w:tc>
        <w:tc>
          <w:tcPr>
            <w:tcW w:w="1515" w:type="dxa"/>
            <w:vAlign w:val="center"/>
          </w:tcPr>
          <w:p w14:paraId="04898167">
            <w:pPr>
              <w:jc w:val="center"/>
              <w:rPr>
                <w:rFonts w:hint="default" w:eastAsia="宋体"/>
                <w:color w:val="auto"/>
                <w:lang w:val="en-US" w:eastAsia="zh-CN"/>
              </w:rPr>
            </w:pPr>
          </w:p>
        </w:tc>
        <w:tc>
          <w:tcPr>
            <w:tcW w:w="2174" w:type="dxa"/>
            <w:vMerge w:val="continue"/>
            <w:vAlign w:val="center"/>
          </w:tcPr>
          <w:p w14:paraId="0D9AAEB4">
            <w:pPr>
              <w:jc w:val="center"/>
              <w:rPr>
                <w:rFonts w:hint="eastAsia" w:eastAsia="宋体"/>
                <w:color w:val="auto"/>
                <w:lang w:eastAsia="zh-CN"/>
              </w:rPr>
            </w:pPr>
          </w:p>
        </w:tc>
      </w:tr>
    </w:tbl>
    <w:p w14:paraId="2C2910C1">
      <w:pPr>
        <w:jc w:val="left"/>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9387840</wp:posOffset>
                </wp:positionH>
                <wp:positionV relativeFrom="paragraph">
                  <wp:posOffset>193040</wp:posOffset>
                </wp:positionV>
                <wp:extent cx="351790" cy="42767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51790" cy="4276725"/>
                        </a:xfrm>
                        <a:prstGeom prst="rect">
                          <a:avLst/>
                        </a:prstGeom>
                        <a:noFill/>
                        <a:ln w="6350">
                          <a:noFill/>
                        </a:ln>
                        <a:effectLst/>
                      </wps:spPr>
                      <wps:txbx>
                        <w:txbxContent>
                          <w:p w14:paraId="6549EA2D">
                            <w:pPr>
                              <w:jc w:val="center"/>
                              <w:rPr>
                                <w:rFonts w:eastAsiaTheme="minorEastAsia"/>
                                <w:szCs w:val="21"/>
                              </w:rPr>
                            </w:pPr>
                            <w:r>
                              <w:rPr>
                                <w:rFonts w:hint="eastAsia"/>
                                <w:szCs w:val="21"/>
                              </w:rPr>
                              <w:t>一 存根（白）二 财务（红）三 顾客（绿）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9.2pt;margin-top:15.2pt;height:336.75pt;width:27.7pt;z-index:251661312;mso-width-relative:page;mso-height-relative:page;" filled="f" stroked="f" coordsize="21600,21600" o:gfxdata="UEsDBAoAAAAAAIdO4kAAAAAAAAAAAAAAAAAEAAAAZHJzL1BLAwQUAAAACACHTuJAe2coXdoAAAAM&#10;AQAADwAAAGRycy9kb3ducmV2LnhtbE2PTUvDQBCG74L/YRnBm91tk9omZlNE6bVgLIi3TXZMQvcj&#10;ZDdt9Nc7PelpeJmH96PYzdawM46h907CciGAoWu87l0r4fi+f9gCC1E5rYx3KOEbA+zK25tC5dpf&#10;3Bueq9gyMnEhVxK6GIec89B0aFVY+AEd/b78aFUkObZcj+pC5tbwlRCP3KreUUKnBnzpsDlVk5Uw&#10;f2SHfZ0dns30+bpOVz/Hyk8nKe/vluIJWMQ5/sFwrU/VoaROtZ+cDsyQTjfblFgJiaB7JdZJQmtq&#10;CRuRZMDLgv8fUf4CUEsDBBQAAAAIAIdO4kAdTe7pRQIAAHYEAAAOAAAAZHJzL2Uyb0RvYy54bWyt&#10;VM2O2jAQvlfqO1i+lwALpIsIK7qIqtKquxL9ORvHIZFsj2sbEvoA7Rv01EvvfS6eo2MnsGjbwx56&#10;ccae8TfzfTPO7KZRkuyFdRXojA56fUqE5pBXepvRjx9Wr15T4jzTOZOgRUYPwtGb+csXs9pMxRBK&#10;kLmwBEG0m9Ymo6X3ZpokjpdCMdcDIzQ6C7CKedzabZJbViO6ksmw358kNdjcWODCOTxdtk7aIdrn&#10;AEJRVFwsge+U0L5FtUIyj5RcWRlH57HaohDc3xeFE57IjCJTH1dMgvYmrMl8xqZby0xZ8a4E9pwS&#10;nnBSrNKY9Ay1ZJ6Rna3+glIVt+Cg8D0OKmmJREWQxaD/RJt1yYyIXFBqZ86iu/8Hy9/vHyyp8oym&#10;lGimsOHHH9+PP38ff30jaZCnNm6KUWuDcb55Aw0Ozenc4WFg3RRWhS/yIehHcQ9ncUXjCcfDq/Eg&#10;vUYPR9domE7S4TjAJI+3jXX+rQBFgpFRi82LmrL9nfNt6CkkJNOwqqSMDZSa1BmdXI378cLZg+BS&#10;h1gRR6GDCYzayoPlm03T0dxAfkCWFtoxcYavKizljjn/wCzOBZaPL8ff41JIwJTQWZSUYL/+6zzE&#10;Z1SwT/ilpMZJy6j7smNWUCLfaWzl9WA0QmAfN6NxOsSNvfRsLj16p24Bh3mAr9TwaIZ4L09mYUF9&#10;xie2CHnRxTTH2jKK2Vvz1rfzj0+Ui8UiBuEwGubv9NrwAN3Ku9h5KKqofBCqVQc7FjY4jrF33dMJ&#10;8365j1GPv4v5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tnKF3aAAAADAEAAA8AAAAAAAAAAQAg&#10;AAAAIgAAAGRycy9kb3ducmV2LnhtbFBLAQIUABQAAAAIAIdO4kAdTe7pRQIAAHYEAAAOAAAAAAAA&#10;AAEAIAAAACkBAABkcnMvZTJvRG9jLnhtbFBLBQYAAAAABgAGAFkBAADgBQAAAAA=&#10;">
                <v:fill on="f" focussize="0,0"/>
                <v:stroke on="f" weight="0.5pt"/>
                <v:imagedata o:title=""/>
                <o:lock v:ext="edit" aspectratio="f"/>
                <v:textbox style="layout-flow:vertical-ideographic;">
                  <w:txbxContent>
                    <w:p w14:paraId="6549EA2D">
                      <w:pPr>
                        <w:jc w:val="center"/>
                        <w:rPr>
                          <w:rFonts w:eastAsiaTheme="minorEastAsia"/>
                          <w:szCs w:val="21"/>
                        </w:rPr>
                      </w:pPr>
                      <w:r>
                        <w:rPr>
                          <w:rFonts w:hint="eastAsia"/>
                          <w:szCs w:val="21"/>
                        </w:rPr>
                        <w:t>一 存根（白）二 财务（红）三 顾客（绿）</w:t>
                      </w:r>
                    </w:p>
                  </w:txbxContent>
                </v:textbox>
              </v:shape>
            </w:pict>
          </mc:Fallback>
        </mc:AlternateContent>
      </w:r>
    </w:p>
    <w:p w14:paraId="4291EE22">
      <w:pPr>
        <w:tabs>
          <w:tab w:val="right" w:pos="15138"/>
        </w:tabs>
        <w:jc w:val="left"/>
        <w:rPr>
          <w:rFonts w:ascii="宋体" w:hAnsi="宋体"/>
          <w:color w:val="auto"/>
        </w:rPr>
      </w:pPr>
      <w:r>
        <w:rPr>
          <w:rFonts w:hint="eastAsia" w:ascii="宋体" w:hAnsi="宋体"/>
          <w:color w:val="auto"/>
          <w:sz w:val="18"/>
          <w:szCs w:val="18"/>
        </w:rPr>
        <w:t>审批人：（项目经理）           审核人：（项目副经理</w:t>
      </w:r>
      <w:r>
        <w:rPr>
          <w:rFonts w:hint="eastAsia" w:ascii="宋体" w:hAnsi="宋体"/>
          <w:color w:val="auto"/>
          <w:sz w:val="18"/>
          <w:szCs w:val="18"/>
          <w:lang w:val="en-US" w:eastAsia="zh-CN"/>
        </w:rPr>
        <w:t>/技术负责人</w:t>
      </w:r>
      <w:r>
        <w:rPr>
          <w:rFonts w:hint="eastAsia" w:ascii="宋体" w:hAnsi="宋体"/>
          <w:color w:val="auto"/>
          <w:sz w:val="18"/>
          <w:szCs w:val="18"/>
          <w:lang w:eastAsia="zh-CN"/>
        </w:rPr>
        <w:t>）</w:t>
      </w:r>
      <w:r>
        <w:rPr>
          <w:rFonts w:hint="eastAsia" w:ascii="宋体" w:hAnsi="宋体"/>
          <w:color w:val="auto"/>
          <w:sz w:val="18"/>
          <w:szCs w:val="18"/>
          <w:lang w:val="en-US" w:eastAsia="zh-CN"/>
        </w:rPr>
        <w:t xml:space="preserve">           </w:t>
      </w:r>
      <w:r>
        <w:rPr>
          <w:rFonts w:hint="eastAsia" w:ascii="宋体" w:hAnsi="宋体"/>
          <w:color w:val="auto"/>
          <w:sz w:val="18"/>
          <w:szCs w:val="18"/>
        </w:rPr>
        <w:t>编制人：（栋号施工员</w:t>
      </w:r>
      <w:r>
        <w:rPr>
          <w:rFonts w:hint="eastAsia" w:ascii="宋体" w:hAnsi="宋体"/>
          <w:color w:val="auto"/>
          <w:sz w:val="18"/>
          <w:szCs w:val="18"/>
          <w:lang w:val="en-US" w:eastAsia="zh-CN"/>
        </w:rPr>
        <w:t>/</w:t>
      </w:r>
      <w:r>
        <w:rPr>
          <w:rFonts w:hint="eastAsia" w:ascii="宋体" w:hAnsi="宋体"/>
          <w:color w:val="auto"/>
          <w:sz w:val="18"/>
          <w:szCs w:val="18"/>
          <w:lang w:eastAsia="zh-CN"/>
        </w:rPr>
        <w:t>仓管员</w:t>
      </w:r>
      <w:r>
        <w:rPr>
          <w:rFonts w:hint="eastAsia" w:ascii="宋体" w:hAnsi="宋体"/>
          <w:color w:val="auto"/>
          <w:sz w:val="18"/>
          <w:szCs w:val="18"/>
          <w:lang w:val="en-US" w:eastAsia="zh-CN"/>
        </w:rPr>
        <w:t>/</w:t>
      </w:r>
      <w:r>
        <w:rPr>
          <w:rFonts w:hint="eastAsia" w:ascii="宋体" w:hAnsi="宋体"/>
          <w:color w:val="auto"/>
          <w:sz w:val="18"/>
          <w:szCs w:val="18"/>
          <w:lang w:eastAsia="zh-CN"/>
        </w:rPr>
        <w:t>使用人</w:t>
      </w:r>
      <w:r>
        <w:rPr>
          <w:rFonts w:hint="eastAsia" w:ascii="宋体" w:hAnsi="宋体"/>
          <w:color w:val="auto"/>
        </w:rPr>
        <w:t xml:space="preserve">） </w:t>
      </w:r>
    </w:p>
    <w:p w14:paraId="60672DDC"/>
    <w:p w14:paraId="3F56E3E6">
      <w:pPr>
        <w:rPr>
          <w:rFonts w:hint="default"/>
          <w:color w:val="auto"/>
          <w:highlight w:val="none"/>
          <w:lang w:val="en-US" w:eastAsia="zh-CN"/>
        </w:rPr>
      </w:pPr>
    </w:p>
    <w:sectPr>
      <w:pgSz w:w="11906" w:h="16838"/>
      <w:pgMar w:top="1134" w:right="958" w:bottom="850" w:left="98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DF58B">
    <w:pPr>
      <w:pStyle w:val="5"/>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C1D80">
    <w:pPr>
      <w:pStyle w:val="5"/>
      <w:jc w:val="center"/>
      <w:rPr>
        <w:rFonts w:hint="default"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20443">
    <w:pPr>
      <w:pStyle w:val="5"/>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BB18C5">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O+zd0BAAC+AwAADgAAAGRycy9lMm9Eb2MueG1srVPNjtMwEL4j8Q6W&#10;7zTZHlBUNV0tVI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m5ovOXPC0sDPP3+cf/05//7O&#10;qiRPH3BFWXeB8uLwxg+0NLMfyZlYDy3Y9Cc+jOIk7ukirhoik+lStayqkkKSYvOB8Iv76wEwvlPe&#10;smTUHGh6WVRx/IBxTJ1TUjXnb7UxeYLG/eMgzOQpUu9jj8mKw26YCO18cyI+9AyoTufhG2c9LUHN&#10;He08Z+a9I43TvswGzMZuNoSTdLHmkbPRfBvHvToE0Psub1pqCsPNIV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STvs3dAQAAvgMAAA4AAAAAAAAA&#10;AQAgAAAAHgEAAGRycy9lMm9Eb2MueG1sUEsFBgAAAAAGAAYAWQEAAG0FAAAAAA==&#10;">
              <v:fill on="f" focussize="0,0"/>
              <v:stroke on="f"/>
              <v:imagedata o:title=""/>
              <o:lock v:ext="edit" aspectratio="f"/>
              <v:textbox inset="0mm,0mm,0mm,0mm" style="mso-fit-shape-to-text:t;">
                <w:txbxContent>
                  <w:p w14:paraId="7EBB18C5">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53896">
    <w:pPr>
      <w:pStyle w:val="6"/>
      <w:ind w:left="7440" w:hanging="5580" w:hangingChars="3100"/>
      <w:rPr>
        <w:rFonts w:hint="default"/>
        <w:lang w:val="en-US"/>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53D62">
    <w:pPr>
      <w:pStyle w:val="6"/>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7042E"/>
    <w:multiLevelType w:val="multilevel"/>
    <w:tmpl w:val="F727042E"/>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3FF309B4"/>
    <w:multiLevelType w:val="singleLevel"/>
    <w:tmpl w:val="3FF309B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WQxYjNiOGQwOWQ3ZDcwYzI4ZTE0M2ZhZmIzYTgifQ=="/>
  </w:docVars>
  <w:rsids>
    <w:rsidRoot w:val="00000000"/>
    <w:rsid w:val="00133387"/>
    <w:rsid w:val="001D4206"/>
    <w:rsid w:val="0022181C"/>
    <w:rsid w:val="00240114"/>
    <w:rsid w:val="00247343"/>
    <w:rsid w:val="003F23CE"/>
    <w:rsid w:val="00494FFB"/>
    <w:rsid w:val="0055574E"/>
    <w:rsid w:val="006308AB"/>
    <w:rsid w:val="006911F9"/>
    <w:rsid w:val="00732078"/>
    <w:rsid w:val="007E18FF"/>
    <w:rsid w:val="00863B59"/>
    <w:rsid w:val="008878D1"/>
    <w:rsid w:val="00942D05"/>
    <w:rsid w:val="00A87DE8"/>
    <w:rsid w:val="00B0507A"/>
    <w:rsid w:val="00B170E3"/>
    <w:rsid w:val="00BC757B"/>
    <w:rsid w:val="00C94AF2"/>
    <w:rsid w:val="00D72607"/>
    <w:rsid w:val="00DC2680"/>
    <w:rsid w:val="01037573"/>
    <w:rsid w:val="01286562"/>
    <w:rsid w:val="012F2443"/>
    <w:rsid w:val="012F2B13"/>
    <w:rsid w:val="01305439"/>
    <w:rsid w:val="01325A8F"/>
    <w:rsid w:val="01326F3B"/>
    <w:rsid w:val="01351803"/>
    <w:rsid w:val="0156177E"/>
    <w:rsid w:val="015D207C"/>
    <w:rsid w:val="016814B1"/>
    <w:rsid w:val="01791910"/>
    <w:rsid w:val="017B7436"/>
    <w:rsid w:val="019978BC"/>
    <w:rsid w:val="01A71FD9"/>
    <w:rsid w:val="01AD3795"/>
    <w:rsid w:val="0210376E"/>
    <w:rsid w:val="02217FDE"/>
    <w:rsid w:val="02471A55"/>
    <w:rsid w:val="024E06A7"/>
    <w:rsid w:val="02895B83"/>
    <w:rsid w:val="0290648C"/>
    <w:rsid w:val="02A52D67"/>
    <w:rsid w:val="03024286"/>
    <w:rsid w:val="03061542"/>
    <w:rsid w:val="031418F0"/>
    <w:rsid w:val="03416159"/>
    <w:rsid w:val="03495361"/>
    <w:rsid w:val="03562E11"/>
    <w:rsid w:val="035F2640"/>
    <w:rsid w:val="036031BD"/>
    <w:rsid w:val="036C617D"/>
    <w:rsid w:val="037764F7"/>
    <w:rsid w:val="038C76D9"/>
    <w:rsid w:val="03A323C4"/>
    <w:rsid w:val="03AF2714"/>
    <w:rsid w:val="03AF33C7"/>
    <w:rsid w:val="03BF104A"/>
    <w:rsid w:val="03C86237"/>
    <w:rsid w:val="03CA3832"/>
    <w:rsid w:val="03D130C9"/>
    <w:rsid w:val="03D23A10"/>
    <w:rsid w:val="03EF5DB2"/>
    <w:rsid w:val="03FD05D6"/>
    <w:rsid w:val="04194CE4"/>
    <w:rsid w:val="041C3581"/>
    <w:rsid w:val="04206073"/>
    <w:rsid w:val="042711AF"/>
    <w:rsid w:val="045301F6"/>
    <w:rsid w:val="047F2F94"/>
    <w:rsid w:val="04C9670A"/>
    <w:rsid w:val="04D05CEB"/>
    <w:rsid w:val="04F27A0F"/>
    <w:rsid w:val="0515604A"/>
    <w:rsid w:val="05235E1B"/>
    <w:rsid w:val="05241B93"/>
    <w:rsid w:val="05254BA4"/>
    <w:rsid w:val="052D6C99"/>
    <w:rsid w:val="05571F68"/>
    <w:rsid w:val="055E32F7"/>
    <w:rsid w:val="055E648D"/>
    <w:rsid w:val="0563090D"/>
    <w:rsid w:val="058F1702"/>
    <w:rsid w:val="05B00870"/>
    <w:rsid w:val="05B94582"/>
    <w:rsid w:val="05C415E4"/>
    <w:rsid w:val="05CF7D50"/>
    <w:rsid w:val="05DC29A4"/>
    <w:rsid w:val="05E7046B"/>
    <w:rsid w:val="05F15CF1"/>
    <w:rsid w:val="062A142B"/>
    <w:rsid w:val="062A31D9"/>
    <w:rsid w:val="06456265"/>
    <w:rsid w:val="06485FA3"/>
    <w:rsid w:val="064C13A1"/>
    <w:rsid w:val="065F1493"/>
    <w:rsid w:val="066A43D4"/>
    <w:rsid w:val="06994288"/>
    <w:rsid w:val="069A3EBB"/>
    <w:rsid w:val="069D0714"/>
    <w:rsid w:val="06B3319E"/>
    <w:rsid w:val="06B524FE"/>
    <w:rsid w:val="06CB49BC"/>
    <w:rsid w:val="06DB3895"/>
    <w:rsid w:val="06DC0977"/>
    <w:rsid w:val="070B4DB8"/>
    <w:rsid w:val="071E2D3E"/>
    <w:rsid w:val="071F6AB6"/>
    <w:rsid w:val="07222102"/>
    <w:rsid w:val="072916E2"/>
    <w:rsid w:val="07351E35"/>
    <w:rsid w:val="074D44A4"/>
    <w:rsid w:val="076444C8"/>
    <w:rsid w:val="078B59BC"/>
    <w:rsid w:val="078F7797"/>
    <w:rsid w:val="079B2A89"/>
    <w:rsid w:val="079C1EB4"/>
    <w:rsid w:val="07E838FA"/>
    <w:rsid w:val="08005A40"/>
    <w:rsid w:val="084762C4"/>
    <w:rsid w:val="08564322"/>
    <w:rsid w:val="085D5AE7"/>
    <w:rsid w:val="087A1BF2"/>
    <w:rsid w:val="088C6DAF"/>
    <w:rsid w:val="08E04023"/>
    <w:rsid w:val="08EE7CFD"/>
    <w:rsid w:val="08EF01D5"/>
    <w:rsid w:val="08FD1E97"/>
    <w:rsid w:val="08FD1EA8"/>
    <w:rsid w:val="090D27A0"/>
    <w:rsid w:val="094B5940"/>
    <w:rsid w:val="0960032A"/>
    <w:rsid w:val="09615163"/>
    <w:rsid w:val="096D58B6"/>
    <w:rsid w:val="097F1A8E"/>
    <w:rsid w:val="09886B94"/>
    <w:rsid w:val="09A56D66"/>
    <w:rsid w:val="09BA4874"/>
    <w:rsid w:val="09C5399F"/>
    <w:rsid w:val="09D73678"/>
    <w:rsid w:val="09DF42DA"/>
    <w:rsid w:val="09FA34EB"/>
    <w:rsid w:val="0A026946"/>
    <w:rsid w:val="0A200B7B"/>
    <w:rsid w:val="0A4A13DF"/>
    <w:rsid w:val="0A60739F"/>
    <w:rsid w:val="0A624FB9"/>
    <w:rsid w:val="0A692F6B"/>
    <w:rsid w:val="0A7635CA"/>
    <w:rsid w:val="0AA30A0F"/>
    <w:rsid w:val="0AA95014"/>
    <w:rsid w:val="0AB72067"/>
    <w:rsid w:val="0ABF20F1"/>
    <w:rsid w:val="0AC6302D"/>
    <w:rsid w:val="0ACC485F"/>
    <w:rsid w:val="0AD11E75"/>
    <w:rsid w:val="0AE127A9"/>
    <w:rsid w:val="0AFA761E"/>
    <w:rsid w:val="0AFE7972"/>
    <w:rsid w:val="0B2E0F81"/>
    <w:rsid w:val="0B602DC9"/>
    <w:rsid w:val="0B61144B"/>
    <w:rsid w:val="0B732F2C"/>
    <w:rsid w:val="0B865355"/>
    <w:rsid w:val="0BC4514F"/>
    <w:rsid w:val="0BCB2D68"/>
    <w:rsid w:val="0BDB744F"/>
    <w:rsid w:val="0BFF07E0"/>
    <w:rsid w:val="0C0128E1"/>
    <w:rsid w:val="0C14470F"/>
    <w:rsid w:val="0C1E558E"/>
    <w:rsid w:val="0C2010AC"/>
    <w:rsid w:val="0C2741AD"/>
    <w:rsid w:val="0C62191E"/>
    <w:rsid w:val="0CB90E13"/>
    <w:rsid w:val="0CC25F19"/>
    <w:rsid w:val="0CD2303E"/>
    <w:rsid w:val="0CF2453E"/>
    <w:rsid w:val="0D042E1A"/>
    <w:rsid w:val="0D2839BE"/>
    <w:rsid w:val="0D4913C1"/>
    <w:rsid w:val="0D660F9A"/>
    <w:rsid w:val="0D6945E7"/>
    <w:rsid w:val="0D962F4D"/>
    <w:rsid w:val="0DBC6E0C"/>
    <w:rsid w:val="0DF77E44"/>
    <w:rsid w:val="0E1518A1"/>
    <w:rsid w:val="0E2350DD"/>
    <w:rsid w:val="0E2512FC"/>
    <w:rsid w:val="0E262ED1"/>
    <w:rsid w:val="0E2714DC"/>
    <w:rsid w:val="0E4928DC"/>
    <w:rsid w:val="0E754C08"/>
    <w:rsid w:val="0E84109E"/>
    <w:rsid w:val="0E8B4260"/>
    <w:rsid w:val="0EBC4BEA"/>
    <w:rsid w:val="0ED85EC8"/>
    <w:rsid w:val="0EDA7072"/>
    <w:rsid w:val="0EDC11FC"/>
    <w:rsid w:val="0EE26D46"/>
    <w:rsid w:val="0EF12AE6"/>
    <w:rsid w:val="0F0C4A59"/>
    <w:rsid w:val="0F112C3E"/>
    <w:rsid w:val="0F1862C4"/>
    <w:rsid w:val="0F225395"/>
    <w:rsid w:val="0F24110D"/>
    <w:rsid w:val="0F2B249C"/>
    <w:rsid w:val="0F2C6214"/>
    <w:rsid w:val="0F2E5AE8"/>
    <w:rsid w:val="0F5A4D87"/>
    <w:rsid w:val="0F5D0A2F"/>
    <w:rsid w:val="0F607C6B"/>
    <w:rsid w:val="0F706100"/>
    <w:rsid w:val="0F784FB5"/>
    <w:rsid w:val="0F8A6A96"/>
    <w:rsid w:val="0F8C08E3"/>
    <w:rsid w:val="0F8D06EA"/>
    <w:rsid w:val="0FA53BB8"/>
    <w:rsid w:val="0FB812BF"/>
    <w:rsid w:val="0FC149A6"/>
    <w:rsid w:val="0FC1695C"/>
    <w:rsid w:val="0FDF4E93"/>
    <w:rsid w:val="0FE03B0E"/>
    <w:rsid w:val="0FE4089C"/>
    <w:rsid w:val="0FEE34C9"/>
    <w:rsid w:val="0FF90784"/>
    <w:rsid w:val="10093E5F"/>
    <w:rsid w:val="100D7DF3"/>
    <w:rsid w:val="101703E9"/>
    <w:rsid w:val="1054157E"/>
    <w:rsid w:val="105651B6"/>
    <w:rsid w:val="106A6FF4"/>
    <w:rsid w:val="10836E18"/>
    <w:rsid w:val="109C2F25"/>
    <w:rsid w:val="10AB142F"/>
    <w:rsid w:val="10AB4F16"/>
    <w:rsid w:val="10C06C14"/>
    <w:rsid w:val="10C36704"/>
    <w:rsid w:val="10CB4AD3"/>
    <w:rsid w:val="10E41381"/>
    <w:rsid w:val="10E613C1"/>
    <w:rsid w:val="10EB6AE3"/>
    <w:rsid w:val="10EE19D3"/>
    <w:rsid w:val="11041F12"/>
    <w:rsid w:val="11095C2A"/>
    <w:rsid w:val="1154735C"/>
    <w:rsid w:val="1158509E"/>
    <w:rsid w:val="115A0AD0"/>
    <w:rsid w:val="11763776"/>
    <w:rsid w:val="117A14B8"/>
    <w:rsid w:val="11A007F3"/>
    <w:rsid w:val="11AE31E0"/>
    <w:rsid w:val="11AE5258"/>
    <w:rsid w:val="11B147AE"/>
    <w:rsid w:val="11C646FD"/>
    <w:rsid w:val="11C9487C"/>
    <w:rsid w:val="11F56D91"/>
    <w:rsid w:val="12266F4A"/>
    <w:rsid w:val="12340406"/>
    <w:rsid w:val="123A0C48"/>
    <w:rsid w:val="124341AB"/>
    <w:rsid w:val="12521AED"/>
    <w:rsid w:val="12593147"/>
    <w:rsid w:val="12633CFA"/>
    <w:rsid w:val="12692EF2"/>
    <w:rsid w:val="12786986"/>
    <w:rsid w:val="128B2759"/>
    <w:rsid w:val="12922832"/>
    <w:rsid w:val="12A3059B"/>
    <w:rsid w:val="12B375BA"/>
    <w:rsid w:val="12BD293A"/>
    <w:rsid w:val="12EF37E0"/>
    <w:rsid w:val="12F17558"/>
    <w:rsid w:val="12F2507E"/>
    <w:rsid w:val="12F46273"/>
    <w:rsid w:val="1308124D"/>
    <w:rsid w:val="132C0590"/>
    <w:rsid w:val="133236CD"/>
    <w:rsid w:val="13370CE3"/>
    <w:rsid w:val="13386F35"/>
    <w:rsid w:val="13394A5B"/>
    <w:rsid w:val="134A56E4"/>
    <w:rsid w:val="13651CF4"/>
    <w:rsid w:val="13A9398F"/>
    <w:rsid w:val="13B3480E"/>
    <w:rsid w:val="13BD568C"/>
    <w:rsid w:val="13E44DAF"/>
    <w:rsid w:val="13FB325E"/>
    <w:rsid w:val="14432E7E"/>
    <w:rsid w:val="1470712F"/>
    <w:rsid w:val="14AF76CB"/>
    <w:rsid w:val="14B22D17"/>
    <w:rsid w:val="14B7032D"/>
    <w:rsid w:val="14B70659"/>
    <w:rsid w:val="14BC1DE8"/>
    <w:rsid w:val="14C10EE2"/>
    <w:rsid w:val="14C201BA"/>
    <w:rsid w:val="14E31122"/>
    <w:rsid w:val="152621F6"/>
    <w:rsid w:val="1529148F"/>
    <w:rsid w:val="1542409B"/>
    <w:rsid w:val="155301D7"/>
    <w:rsid w:val="1557566D"/>
    <w:rsid w:val="15610299"/>
    <w:rsid w:val="15671D54"/>
    <w:rsid w:val="15724254"/>
    <w:rsid w:val="158C3568"/>
    <w:rsid w:val="158F270C"/>
    <w:rsid w:val="15B36931"/>
    <w:rsid w:val="15CF16A7"/>
    <w:rsid w:val="16017DF9"/>
    <w:rsid w:val="16197E6B"/>
    <w:rsid w:val="16281F12"/>
    <w:rsid w:val="16302145"/>
    <w:rsid w:val="16351E52"/>
    <w:rsid w:val="167043DB"/>
    <w:rsid w:val="16717081"/>
    <w:rsid w:val="167209B0"/>
    <w:rsid w:val="16750D36"/>
    <w:rsid w:val="16AA7E79"/>
    <w:rsid w:val="16B014D8"/>
    <w:rsid w:val="16C17241"/>
    <w:rsid w:val="170B3EB5"/>
    <w:rsid w:val="171952CF"/>
    <w:rsid w:val="1719707D"/>
    <w:rsid w:val="171D2EE0"/>
    <w:rsid w:val="1730504B"/>
    <w:rsid w:val="17361868"/>
    <w:rsid w:val="174E359A"/>
    <w:rsid w:val="17515EC2"/>
    <w:rsid w:val="175C420C"/>
    <w:rsid w:val="17740758"/>
    <w:rsid w:val="179D2E56"/>
    <w:rsid w:val="17A6044E"/>
    <w:rsid w:val="17BA0860"/>
    <w:rsid w:val="17BD20FF"/>
    <w:rsid w:val="17E44BFC"/>
    <w:rsid w:val="17E53404"/>
    <w:rsid w:val="17EF06F4"/>
    <w:rsid w:val="180A4C18"/>
    <w:rsid w:val="180D50C3"/>
    <w:rsid w:val="180D79FC"/>
    <w:rsid w:val="18310418"/>
    <w:rsid w:val="1864558B"/>
    <w:rsid w:val="18702BAC"/>
    <w:rsid w:val="187B6274"/>
    <w:rsid w:val="189D783A"/>
    <w:rsid w:val="18B2778A"/>
    <w:rsid w:val="18B904BA"/>
    <w:rsid w:val="18C03544"/>
    <w:rsid w:val="18EB67F8"/>
    <w:rsid w:val="18F90F15"/>
    <w:rsid w:val="19063790"/>
    <w:rsid w:val="19120228"/>
    <w:rsid w:val="194A641F"/>
    <w:rsid w:val="195720DF"/>
    <w:rsid w:val="19654B16"/>
    <w:rsid w:val="197E766C"/>
    <w:rsid w:val="1988190B"/>
    <w:rsid w:val="198A6011"/>
    <w:rsid w:val="198F1879"/>
    <w:rsid w:val="19A5109C"/>
    <w:rsid w:val="19B32869"/>
    <w:rsid w:val="19B74EE4"/>
    <w:rsid w:val="19C74A3D"/>
    <w:rsid w:val="19D11E91"/>
    <w:rsid w:val="19EC6CCB"/>
    <w:rsid w:val="19EE2A43"/>
    <w:rsid w:val="1A0C186A"/>
    <w:rsid w:val="1A2A3350"/>
    <w:rsid w:val="1A2C356C"/>
    <w:rsid w:val="1A3348FA"/>
    <w:rsid w:val="1A3D3083"/>
    <w:rsid w:val="1A4A0961"/>
    <w:rsid w:val="1A9F78F8"/>
    <w:rsid w:val="1AA66E7A"/>
    <w:rsid w:val="1ABC48F0"/>
    <w:rsid w:val="1AC11F06"/>
    <w:rsid w:val="1AC61965"/>
    <w:rsid w:val="1AF65494"/>
    <w:rsid w:val="1AF75928"/>
    <w:rsid w:val="1AFC1190"/>
    <w:rsid w:val="1B101184"/>
    <w:rsid w:val="1B16525A"/>
    <w:rsid w:val="1B1A1616"/>
    <w:rsid w:val="1B1D74DF"/>
    <w:rsid w:val="1B210BF7"/>
    <w:rsid w:val="1B2B45EC"/>
    <w:rsid w:val="1B512979"/>
    <w:rsid w:val="1B59213E"/>
    <w:rsid w:val="1B6546B8"/>
    <w:rsid w:val="1B666609"/>
    <w:rsid w:val="1B724FAE"/>
    <w:rsid w:val="1B7A7441"/>
    <w:rsid w:val="1B83540D"/>
    <w:rsid w:val="1B8A78B2"/>
    <w:rsid w:val="1B9C202B"/>
    <w:rsid w:val="1BDE119F"/>
    <w:rsid w:val="1BEA0FE8"/>
    <w:rsid w:val="1BEC2FB3"/>
    <w:rsid w:val="1C0E17BA"/>
    <w:rsid w:val="1C1A4CFF"/>
    <w:rsid w:val="1C237506"/>
    <w:rsid w:val="1C2465A3"/>
    <w:rsid w:val="1C3B7A96"/>
    <w:rsid w:val="1C4F52EF"/>
    <w:rsid w:val="1C67088B"/>
    <w:rsid w:val="1C8B27CB"/>
    <w:rsid w:val="1C9571A6"/>
    <w:rsid w:val="1CD66BB0"/>
    <w:rsid w:val="1CF928A3"/>
    <w:rsid w:val="1D1C78C7"/>
    <w:rsid w:val="1D385E44"/>
    <w:rsid w:val="1D5A219E"/>
    <w:rsid w:val="1D6923E1"/>
    <w:rsid w:val="1D762D4C"/>
    <w:rsid w:val="1DAC4378"/>
    <w:rsid w:val="1DB01F75"/>
    <w:rsid w:val="1DC92705"/>
    <w:rsid w:val="1DD51824"/>
    <w:rsid w:val="1DDA6E3B"/>
    <w:rsid w:val="1DDF12F2"/>
    <w:rsid w:val="1E0A5972"/>
    <w:rsid w:val="1E0A7720"/>
    <w:rsid w:val="1E0D58F9"/>
    <w:rsid w:val="1E0F4D36"/>
    <w:rsid w:val="1E291486"/>
    <w:rsid w:val="1E3824DF"/>
    <w:rsid w:val="1E4744D0"/>
    <w:rsid w:val="1E4C5F8A"/>
    <w:rsid w:val="1E4E0DEF"/>
    <w:rsid w:val="1E596F15"/>
    <w:rsid w:val="1E5D7DE9"/>
    <w:rsid w:val="1E6E5AF7"/>
    <w:rsid w:val="1E6E6048"/>
    <w:rsid w:val="1E8A260F"/>
    <w:rsid w:val="1E952C15"/>
    <w:rsid w:val="1E967206"/>
    <w:rsid w:val="1EAA33EB"/>
    <w:rsid w:val="1EAE6AE9"/>
    <w:rsid w:val="1EB55AAE"/>
    <w:rsid w:val="1EDE6925"/>
    <w:rsid w:val="1F066139"/>
    <w:rsid w:val="1F130856"/>
    <w:rsid w:val="1F15428B"/>
    <w:rsid w:val="1F2C36C6"/>
    <w:rsid w:val="1F2E743E"/>
    <w:rsid w:val="1F416D3C"/>
    <w:rsid w:val="1F4E71EE"/>
    <w:rsid w:val="1F576995"/>
    <w:rsid w:val="1F5F550C"/>
    <w:rsid w:val="1F63358C"/>
    <w:rsid w:val="1F6D61B8"/>
    <w:rsid w:val="1F871243"/>
    <w:rsid w:val="1F9F033C"/>
    <w:rsid w:val="1FBD2E59"/>
    <w:rsid w:val="1FBF278C"/>
    <w:rsid w:val="1FFE5062"/>
    <w:rsid w:val="2006231E"/>
    <w:rsid w:val="2007660D"/>
    <w:rsid w:val="200C6649"/>
    <w:rsid w:val="20124FB2"/>
    <w:rsid w:val="20191E9C"/>
    <w:rsid w:val="204A02A8"/>
    <w:rsid w:val="20692753"/>
    <w:rsid w:val="206C1BB2"/>
    <w:rsid w:val="2080016D"/>
    <w:rsid w:val="208E288A"/>
    <w:rsid w:val="20D9162C"/>
    <w:rsid w:val="20E63F9F"/>
    <w:rsid w:val="21042B4C"/>
    <w:rsid w:val="21271BF9"/>
    <w:rsid w:val="212E1977"/>
    <w:rsid w:val="212E3725"/>
    <w:rsid w:val="21425423"/>
    <w:rsid w:val="21645399"/>
    <w:rsid w:val="21696E53"/>
    <w:rsid w:val="21920158"/>
    <w:rsid w:val="21927F47"/>
    <w:rsid w:val="21AD23A2"/>
    <w:rsid w:val="21CF315A"/>
    <w:rsid w:val="21DE514B"/>
    <w:rsid w:val="21E07116"/>
    <w:rsid w:val="21EF55AB"/>
    <w:rsid w:val="21EF63FF"/>
    <w:rsid w:val="21F20BF7"/>
    <w:rsid w:val="2217065D"/>
    <w:rsid w:val="22293AE7"/>
    <w:rsid w:val="22317971"/>
    <w:rsid w:val="223615FD"/>
    <w:rsid w:val="22461903"/>
    <w:rsid w:val="226E1396"/>
    <w:rsid w:val="22793056"/>
    <w:rsid w:val="22832569"/>
    <w:rsid w:val="22835CF3"/>
    <w:rsid w:val="22971AE5"/>
    <w:rsid w:val="22DE026A"/>
    <w:rsid w:val="22E177D9"/>
    <w:rsid w:val="22E42C35"/>
    <w:rsid w:val="22EF3388"/>
    <w:rsid w:val="22F05754"/>
    <w:rsid w:val="22F46F43"/>
    <w:rsid w:val="23166844"/>
    <w:rsid w:val="232E1AC6"/>
    <w:rsid w:val="232F786B"/>
    <w:rsid w:val="23384D2F"/>
    <w:rsid w:val="234C768D"/>
    <w:rsid w:val="23671171"/>
    <w:rsid w:val="2369138D"/>
    <w:rsid w:val="236A568F"/>
    <w:rsid w:val="23812232"/>
    <w:rsid w:val="2387457D"/>
    <w:rsid w:val="23C46955"/>
    <w:rsid w:val="23D20CE0"/>
    <w:rsid w:val="23D507D0"/>
    <w:rsid w:val="23DC56BB"/>
    <w:rsid w:val="23F5677C"/>
    <w:rsid w:val="23F63C20"/>
    <w:rsid w:val="23FB306D"/>
    <w:rsid w:val="240115C5"/>
    <w:rsid w:val="241C63FF"/>
    <w:rsid w:val="24226F43"/>
    <w:rsid w:val="24247062"/>
    <w:rsid w:val="2435126F"/>
    <w:rsid w:val="243A6885"/>
    <w:rsid w:val="2479115B"/>
    <w:rsid w:val="247B4ED4"/>
    <w:rsid w:val="24853FA4"/>
    <w:rsid w:val="24A2174F"/>
    <w:rsid w:val="24AA1A26"/>
    <w:rsid w:val="24C513B8"/>
    <w:rsid w:val="24F80254"/>
    <w:rsid w:val="25070E5D"/>
    <w:rsid w:val="250A6257"/>
    <w:rsid w:val="250E5D48"/>
    <w:rsid w:val="25165925"/>
    <w:rsid w:val="25294857"/>
    <w:rsid w:val="252F3F10"/>
    <w:rsid w:val="25382DC5"/>
    <w:rsid w:val="255614AE"/>
    <w:rsid w:val="255676EF"/>
    <w:rsid w:val="255A71DF"/>
    <w:rsid w:val="255D0A7D"/>
    <w:rsid w:val="25735262"/>
    <w:rsid w:val="257F4DF4"/>
    <w:rsid w:val="259B2F08"/>
    <w:rsid w:val="25AB2680"/>
    <w:rsid w:val="25AC3A6A"/>
    <w:rsid w:val="25D074A1"/>
    <w:rsid w:val="25D96C39"/>
    <w:rsid w:val="25ED0053"/>
    <w:rsid w:val="25FA451E"/>
    <w:rsid w:val="262B5EE3"/>
    <w:rsid w:val="262C38E5"/>
    <w:rsid w:val="263F14EC"/>
    <w:rsid w:val="264D0AF2"/>
    <w:rsid w:val="265C5712"/>
    <w:rsid w:val="265D05FD"/>
    <w:rsid w:val="26622EB6"/>
    <w:rsid w:val="268A3AF4"/>
    <w:rsid w:val="26A10E3D"/>
    <w:rsid w:val="26A30712"/>
    <w:rsid w:val="26A51FB7"/>
    <w:rsid w:val="26A56238"/>
    <w:rsid w:val="26BA675A"/>
    <w:rsid w:val="26C55046"/>
    <w:rsid w:val="26C62A86"/>
    <w:rsid w:val="26ED5E31"/>
    <w:rsid w:val="26F47B11"/>
    <w:rsid w:val="26F61189"/>
    <w:rsid w:val="26F70A5D"/>
    <w:rsid w:val="270C62B7"/>
    <w:rsid w:val="271167B6"/>
    <w:rsid w:val="27135897"/>
    <w:rsid w:val="2714160F"/>
    <w:rsid w:val="27174C5C"/>
    <w:rsid w:val="271B6D61"/>
    <w:rsid w:val="2728280B"/>
    <w:rsid w:val="272E26D1"/>
    <w:rsid w:val="27363334"/>
    <w:rsid w:val="27467B25"/>
    <w:rsid w:val="27475541"/>
    <w:rsid w:val="276C144B"/>
    <w:rsid w:val="27716A62"/>
    <w:rsid w:val="277976C4"/>
    <w:rsid w:val="277F098D"/>
    <w:rsid w:val="278170DB"/>
    <w:rsid w:val="27930786"/>
    <w:rsid w:val="279D4D50"/>
    <w:rsid w:val="27AB3D22"/>
    <w:rsid w:val="27D05536"/>
    <w:rsid w:val="28292E99"/>
    <w:rsid w:val="283005FE"/>
    <w:rsid w:val="28327F9F"/>
    <w:rsid w:val="28331A56"/>
    <w:rsid w:val="28434849"/>
    <w:rsid w:val="28456613"/>
    <w:rsid w:val="286D202F"/>
    <w:rsid w:val="28956780"/>
    <w:rsid w:val="28C52BC1"/>
    <w:rsid w:val="28C606E7"/>
    <w:rsid w:val="28CC69C1"/>
    <w:rsid w:val="29085DCB"/>
    <w:rsid w:val="290D6316"/>
    <w:rsid w:val="291807B8"/>
    <w:rsid w:val="29352E3A"/>
    <w:rsid w:val="293F15D2"/>
    <w:rsid w:val="294A756A"/>
    <w:rsid w:val="295B01BA"/>
    <w:rsid w:val="295B1778"/>
    <w:rsid w:val="296E7D76"/>
    <w:rsid w:val="298F31CF"/>
    <w:rsid w:val="29B260BA"/>
    <w:rsid w:val="29B80B4B"/>
    <w:rsid w:val="29C6285B"/>
    <w:rsid w:val="29D37560"/>
    <w:rsid w:val="29DD3F3B"/>
    <w:rsid w:val="29EF6C8F"/>
    <w:rsid w:val="29F97E4E"/>
    <w:rsid w:val="2A04596B"/>
    <w:rsid w:val="2A261D85"/>
    <w:rsid w:val="2A2B739C"/>
    <w:rsid w:val="2A3505EE"/>
    <w:rsid w:val="2A383867"/>
    <w:rsid w:val="2A467D32"/>
    <w:rsid w:val="2A4949BA"/>
    <w:rsid w:val="2A53244F"/>
    <w:rsid w:val="2A557112"/>
    <w:rsid w:val="2A5744DB"/>
    <w:rsid w:val="2A5B72A5"/>
    <w:rsid w:val="2A5F7045"/>
    <w:rsid w:val="2A6E2802"/>
    <w:rsid w:val="2A76764D"/>
    <w:rsid w:val="2A826C72"/>
    <w:rsid w:val="2AA42CAA"/>
    <w:rsid w:val="2ABD3BC6"/>
    <w:rsid w:val="2ACD2201"/>
    <w:rsid w:val="2AE337D3"/>
    <w:rsid w:val="2AF7727E"/>
    <w:rsid w:val="2B04158B"/>
    <w:rsid w:val="2B150495"/>
    <w:rsid w:val="2B177920"/>
    <w:rsid w:val="2B312C19"/>
    <w:rsid w:val="2B5A1960"/>
    <w:rsid w:val="2B637489"/>
    <w:rsid w:val="2B6C01DB"/>
    <w:rsid w:val="2B726905"/>
    <w:rsid w:val="2B8209DE"/>
    <w:rsid w:val="2B8851FF"/>
    <w:rsid w:val="2B8D272F"/>
    <w:rsid w:val="2BA72A52"/>
    <w:rsid w:val="2BD27F42"/>
    <w:rsid w:val="2BE94E19"/>
    <w:rsid w:val="2BE96E2D"/>
    <w:rsid w:val="2C3A38C6"/>
    <w:rsid w:val="2C4C16FF"/>
    <w:rsid w:val="2C6721E1"/>
    <w:rsid w:val="2C8608B9"/>
    <w:rsid w:val="2C9E20A7"/>
    <w:rsid w:val="2C9F63A9"/>
    <w:rsid w:val="2CBE62A5"/>
    <w:rsid w:val="2CC80A91"/>
    <w:rsid w:val="2CCE2260"/>
    <w:rsid w:val="2CDE06F5"/>
    <w:rsid w:val="2CE45CBD"/>
    <w:rsid w:val="2CE81574"/>
    <w:rsid w:val="2CF37F79"/>
    <w:rsid w:val="2D216834"/>
    <w:rsid w:val="2D3C541C"/>
    <w:rsid w:val="2D3C7997"/>
    <w:rsid w:val="2D480265"/>
    <w:rsid w:val="2D617625"/>
    <w:rsid w:val="2D7D6B19"/>
    <w:rsid w:val="2D9172A0"/>
    <w:rsid w:val="2DAA682A"/>
    <w:rsid w:val="2DAF2092"/>
    <w:rsid w:val="2DB5581A"/>
    <w:rsid w:val="2DB94CBF"/>
    <w:rsid w:val="2DC07527"/>
    <w:rsid w:val="2DD37B2E"/>
    <w:rsid w:val="2DE34362"/>
    <w:rsid w:val="2DE51610"/>
    <w:rsid w:val="2DEF20D7"/>
    <w:rsid w:val="2E2A1718"/>
    <w:rsid w:val="2E3422F8"/>
    <w:rsid w:val="2E382ECE"/>
    <w:rsid w:val="2E5A120D"/>
    <w:rsid w:val="2E5E7CC5"/>
    <w:rsid w:val="2E6609A2"/>
    <w:rsid w:val="2E6C5B64"/>
    <w:rsid w:val="2E89343E"/>
    <w:rsid w:val="2E9A4AF0"/>
    <w:rsid w:val="2EA75C11"/>
    <w:rsid w:val="2EAE017D"/>
    <w:rsid w:val="2EB01C1E"/>
    <w:rsid w:val="2EB13C87"/>
    <w:rsid w:val="2EC67693"/>
    <w:rsid w:val="2ECE6063"/>
    <w:rsid w:val="2ED753FC"/>
    <w:rsid w:val="2EE70552"/>
    <w:rsid w:val="2EE8585B"/>
    <w:rsid w:val="2EF064BE"/>
    <w:rsid w:val="2EF20488"/>
    <w:rsid w:val="2F0119DF"/>
    <w:rsid w:val="2F2717B8"/>
    <w:rsid w:val="2F3A39D1"/>
    <w:rsid w:val="2F3A3BDD"/>
    <w:rsid w:val="2F452CAE"/>
    <w:rsid w:val="2F5051AF"/>
    <w:rsid w:val="2F5922B5"/>
    <w:rsid w:val="2F6F3887"/>
    <w:rsid w:val="2F8224C5"/>
    <w:rsid w:val="2FA06136"/>
    <w:rsid w:val="2FA32702"/>
    <w:rsid w:val="2FC8743B"/>
    <w:rsid w:val="2FCA31B3"/>
    <w:rsid w:val="2FD44032"/>
    <w:rsid w:val="30134B5A"/>
    <w:rsid w:val="302567CF"/>
    <w:rsid w:val="302723B3"/>
    <w:rsid w:val="303C40BD"/>
    <w:rsid w:val="3045283A"/>
    <w:rsid w:val="304E5B92"/>
    <w:rsid w:val="30590093"/>
    <w:rsid w:val="305F7D9F"/>
    <w:rsid w:val="307B625B"/>
    <w:rsid w:val="307D6477"/>
    <w:rsid w:val="309D08C8"/>
    <w:rsid w:val="30A13F14"/>
    <w:rsid w:val="30AD28D7"/>
    <w:rsid w:val="30B30980"/>
    <w:rsid w:val="30E6401D"/>
    <w:rsid w:val="310C55BA"/>
    <w:rsid w:val="31224929"/>
    <w:rsid w:val="31376626"/>
    <w:rsid w:val="315224D4"/>
    <w:rsid w:val="31717D8A"/>
    <w:rsid w:val="3176279D"/>
    <w:rsid w:val="319770C5"/>
    <w:rsid w:val="319E0A39"/>
    <w:rsid w:val="31A03C87"/>
    <w:rsid w:val="31A11CF2"/>
    <w:rsid w:val="31B55BDA"/>
    <w:rsid w:val="31C37EBA"/>
    <w:rsid w:val="31D2099C"/>
    <w:rsid w:val="31D245A1"/>
    <w:rsid w:val="31D9148B"/>
    <w:rsid w:val="31E47BCC"/>
    <w:rsid w:val="320D6B1C"/>
    <w:rsid w:val="321109A1"/>
    <w:rsid w:val="321270E3"/>
    <w:rsid w:val="321E1594"/>
    <w:rsid w:val="322841C1"/>
    <w:rsid w:val="323668DE"/>
    <w:rsid w:val="323808A8"/>
    <w:rsid w:val="323B0093"/>
    <w:rsid w:val="323C7F64"/>
    <w:rsid w:val="323E39E4"/>
    <w:rsid w:val="32466E61"/>
    <w:rsid w:val="324A2760"/>
    <w:rsid w:val="32503556"/>
    <w:rsid w:val="325A081E"/>
    <w:rsid w:val="326649B8"/>
    <w:rsid w:val="3278743C"/>
    <w:rsid w:val="32827D75"/>
    <w:rsid w:val="328E0C7D"/>
    <w:rsid w:val="32911D66"/>
    <w:rsid w:val="329C4F37"/>
    <w:rsid w:val="32AB02BD"/>
    <w:rsid w:val="32C83D55"/>
    <w:rsid w:val="32DA184C"/>
    <w:rsid w:val="32E26A66"/>
    <w:rsid w:val="32E620B2"/>
    <w:rsid w:val="32F95CB7"/>
    <w:rsid w:val="33010C9A"/>
    <w:rsid w:val="33244988"/>
    <w:rsid w:val="33422BF7"/>
    <w:rsid w:val="334E5EA9"/>
    <w:rsid w:val="33907F7A"/>
    <w:rsid w:val="33997124"/>
    <w:rsid w:val="33A65CE5"/>
    <w:rsid w:val="33AD7074"/>
    <w:rsid w:val="33B64277"/>
    <w:rsid w:val="33C76378"/>
    <w:rsid w:val="33D17B22"/>
    <w:rsid w:val="33D26ADA"/>
    <w:rsid w:val="33D62126"/>
    <w:rsid w:val="33DE722D"/>
    <w:rsid w:val="33E41C73"/>
    <w:rsid w:val="340C3D9A"/>
    <w:rsid w:val="34190265"/>
    <w:rsid w:val="342A6B27"/>
    <w:rsid w:val="34360E17"/>
    <w:rsid w:val="344D7F0F"/>
    <w:rsid w:val="3469049A"/>
    <w:rsid w:val="346E6B7F"/>
    <w:rsid w:val="34766B9C"/>
    <w:rsid w:val="349F41F7"/>
    <w:rsid w:val="34F267D6"/>
    <w:rsid w:val="350022EF"/>
    <w:rsid w:val="35020CF9"/>
    <w:rsid w:val="35074561"/>
    <w:rsid w:val="35132F06"/>
    <w:rsid w:val="3522139B"/>
    <w:rsid w:val="352B0250"/>
    <w:rsid w:val="352E1AEE"/>
    <w:rsid w:val="35325A82"/>
    <w:rsid w:val="35411821"/>
    <w:rsid w:val="3558300F"/>
    <w:rsid w:val="3566572C"/>
    <w:rsid w:val="3583585A"/>
    <w:rsid w:val="35904557"/>
    <w:rsid w:val="35935DF5"/>
    <w:rsid w:val="35987004"/>
    <w:rsid w:val="359C73A0"/>
    <w:rsid w:val="35B75970"/>
    <w:rsid w:val="35C8513F"/>
    <w:rsid w:val="35D040D0"/>
    <w:rsid w:val="35D11499"/>
    <w:rsid w:val="35E03756"/>
    <w:rsid w:val="3607320C"/>
    <w:rsid w:val="360E0992"/>
    <w:rsid w:val="361707D4"/>
    <w:rsid w:val="361E1B63"/>
    <w:rsid w:val="36271315"/>
    <w:rsid w:val="36296D8F"/>
    <w:rsid w:val="36394BEF"/>
    <w:rsid w:val="36454EF4"/>
    <w:rsid w:val="36480ED6"/>
    <w:rsid w:val="3667784E"/>
    <w:rsid w:val="366E687E"/>
    <w:rsid w:val="368049F0"/>
    <w:rsid w:val="36897924"/>
    <w:rsid w:val="36970EBD"/>
    <w:rsid w:val="369B1405"/>
    <w:rsid w:val="369F2AC0"/>
    <w:rsid w:val="36C4140C"/>
    <w:rsid w:val="36C46BAE"/>
    <w:rsid w:val="36C56482"/>
    <w:rsid w:val="36F9612C"/>
    <w:rsid w:val="372C02AF"/>
    <w:rsid w:val="37427DCD"/>
    <w:rsid w:val="374D6BA3"/>
    <w:rsid w:val="376161AB"/>
    <w:rsid w:val="376E062B"/>
    <w:rsid w:val="3793032E"/>
    <w:rsid w:val="37AB17B4"/>
    <w:rsid w:val="37C14E9C"/>
    <w:rsid w:val="38003C16"/>
    <w:rsid w:val="38037262"/>
    <w:rsid w:val="38211DDE"/>
    <w:rsid w:val="385B0E4C"/>
    <w:rsid w:val="386717C0"/>
    <w:rsid w:val="38723425"/>
    <w:rsid w:val="38974AF0"/>
    <w:rsid w:val="38C34C43"/>
    <w:rsid w:val="38C95885"/>
    <w:rsid w:val="390019F4"/>
    <w:rsid w:val="391D72CE"/>
    <w:rsid w:val="391F631E"/>
    <w:rsid w:val="39202096"/>
    <w:rsid w:val="39422DEA"/>
    <w:rsid w:val="395D29A2"/>
    <w:rsid w:val="39982492"/>
    <w:rsid w:val="399D2F04"/>
    <w:rsid w:val="39CE1AF2"/>
    <w:rsid w:val="39E676B1"/>
    <w:rsid w:val="39F257E0"/>
    <w:rsid w:val="39F96B6F"/>
    <w:rsid w:val="3A030AC5"/>
    <w:rsid w:val="3A06128C"/>
    <w:rsid w:val="3A127372"/>
    <w:rsid w:val="3A476A7B"/>
    <w:rsid w:val="3A542215"/>
    <w:rsid w:val="3A931025"/>
    <w:rsid w:val="3AA82343"/>
    <w:rsid w:val="3AD924FC"/>
    <w:rsid w:val="3ADF1DF8"/>
    <w:rsid w:val="3AE315CD"/>
    <w:rsid w:val="3AEF1D20"/>
    <w:rsid w:val="3B21511D"/>
    <w:rsid w:val="3B29323F"/>
    <w:rsid w:val="3B2C6AD0"/>
    <w:rsid w:val="3B3A09EC"/>
    <w:rsid w:val="3B626996"/>
    <w:rsid w:val="3B8033E1"/>
    <w:rsid w:val="3B8B0284"/>
    <w:rsid w:val="3BA269FD"/>
    <w:rsid w:val="3BA86CAA"/>
    <w:rsid w:val="3BAB20EB"/>
    <w:rsid w:val="3BB379B1"/>
    <w:rsid w:val="3BBD3BCC"/>
    <w:rsid w:val="3BD10C98"/>
    <w:rsid w:val="3BD11425"/>
    <w:rsid w:val="3BD6013A"/>
    <w:rsid w:val="3BF13876"/>
    <w:rsid w:val="3BFF2436"/>
    <w:rsid w:val="3C08753D"/>
    <w:rsid w:val="3C2C6246"/>
    <w:rsid w:val="3C6A3D54"/>
    <w:rsid w:val="3C9E1C4F"/>
    <w:rsid w:val="3CA67D65"/>
    <w:rsid w:val="3CCF40AD"/>
    <w:rsid w:val="3CE05AB2"/>
    <w:rsid w:val="3CFE58E5"/>
    <w:rsid w:val="3D1B504E"/>
    <w:rsid w:val="3D22018A"/>
    <w:rsid w:val="3D295E51"/>
    <w:rsid w:val="3D3B124C"/>
    <w:rsid w:val="3D3B2FFA"/>
    <w:rsid w:val="3D485717"/>
    <w:rsid w:val="3D657A24"/>
    <w:rsid w:val="3D6B7484"/>
    <w:rsid w:val="3D791D75"/>
    <w:rsid w:val="3D7D76FE"/>
    <w:rsid w:val="3D7F3977"/>
    <w:rsid w:val="3D8B107A"/>
    <w:rsid w:val="3D967432"/>
    <w:rsid w:val="3DA17C5A"/>
    <w:rsid w:val="3DA94408"/>
    <w:rsid w:val="3DD82F3F"/>
    <w:rsid w:val="3DE6565C"/>
    <w:rsid w:val="3DE6740A"/>
    <w:rsid w:val="3DE93FE1"/>
    <w:rsid w:val="3DEF2039"/>
    <w:rsid w:val="3E38014F"/>
    <w:rsid w:val="3E483C21"/>
    <w:rsid w:val="3E510359"/>
    <w:rsid w:val="3E5C147A"/>
    <w:rsid w:val="3E66477A"/>
    <w:rsid w:val="3E6B5B61"/>
    <w:rsid w:val="3E6D0C7B"/>
    <w:rsid w:val="3E7F160D"/>
    <w:rsid w:val="3EAA6689"/>
    <w:rsid w:val="3EE576C2"/>
    <w:rsid w:val="3F0E2A92"/>
    <w:rsid w:val="3F0F2990"/>
    <w:rsid w:val="3F253F62"/>
    <w:rsid w:val="3F2921E6"/>
    <w:rsid w:val="3F5356B7"/>
    <w:rsid w:val="3F5F6009"/>
    <w:rsid w:val="3F7857D1"/>
    <w:rsid w:val="3F7D5A4F"/>
    <w:rsid w:val="3F9A21C7"/>
    <w:rsid w:val="3FB13A48"/>
    <w:rsid w:val="3FBF43B6"/>
    <w:rsid w:val="3FCA68B7"/>
    <w:rsid w:val="3FD37E62"/>
    <w:rsid w:val="402D0145"/>
    <w:rsid w:val="403C77B5"/>
    <w:rsid w:val="405C39B3"/>
    <w:rsid w:val="407D1B7C"/>
    <w:rsid w:val="40884444"/>
    <w:rsid w:val="40A3112D"/>
    <w:rsid w:val="40A35A86"/>
    <w:rsid w:val="40A73B61"/>
    <w:rsid w:val="40BF3F42"/>
    <w:rsid w:val="40D03769"/>
    <w:rsid w:val="40D53EF1"/>
    <w:rsid w:val="40FB141E"/>
    <w:rsid w:val="411B561D"/>
    <w:rsid w:val="412E12E8"/>
    <w:rsid w:val="4153338C"/>
    <w:rsid w:val="41581D4D"/>
    <w:rsid w:val="41656898"/>
    <w:rsid w:val="416F3BBA"/>
    <w:rsid w:val="418D4040"/>
    <w:rsid w:val="41D028AB"/>
    <w:rsid w:val="41F95D14"/>
    <w:rsid w:val="42072045"/>
    <w:rsid w:val="42295B17"/>
    <w:rsid w:val="42336996"/>
    <w:rsid w:val="42447849"/>
    <w:rsid w:val="426217EC"/>
    <w:rsid w:val="429D6505"/>
    <w:rsid w:val="42AE24C0"/>
    <w:rsid w:val="42CC4BAF"/>
    <w:rsid w:val="42CE4911"/>
    <w:rsid w:val="42DC527F"/>
    <w:rsid w:val="42E171C0"/>
    <w:rsid w:val="42E2739A"/>
    <w:rsid w:val="42ED4D97"/>
    <w:rsid w:val="42F97BDF"/>
    <w:rsid w:val="432A5FEB"/>
    <w:rsid w:val="43452E25"/>
    <w:rsid w:val="43613324"/>
    <w:rsid w:val="4364553F"/>
    <w:rsid w:val="4374370A"/>
    <w:rsid w:val="43853221"/>
    <w:rsid w:val="43C246D4"/>
    <w:rsid w:val="43C81360"/>
    <w:rsid w:val="43F07682"/>
    <w:rsid w:val="4416031D"/>
    <w:rsid w:val="44167F08"/>
    <w:rsid w:val="44175E76"/>
    <w:rsid w:val="44231A85"/>
    <w:rsid w:val="442A3DC9"/>
    <w:rsid w:val="443973A6"/>
    <w:rsid w:val="445E6A7B"/>
    <w:rsid w:val="44703ED1"/>
    <w:rsid w:val="447A4D50"/>
    <w:rsid w:val="448230D6"/>
    <w:rsid w:val="449C4CC6"/>
    <w:rsid w:val="449F6565"/>
    <w:rsid w:val="44C304A5"/>
    <w:rsid w:val="44C85ABB"/>
    <w:rsid w:val="44CD1324"/>
    <w:rsid w:val="45187B20"/>
    <w:rsid w:val="451C5E07"/>
    <w:rsid w:val="45237196"/>
    <w:rsid w:val="45275A63"/>
    <w:rsid w:val="4538249B"/>
    <w:rsid w:val="453942C3"/>
    <w:rsid w:val="453C0257"/>
    <w:rsid w:val="453E3FCF"/>
    <w:rsid w:val="45513D03"/>
    <w:rsid w:val="4565673D"/>
    <w:rsid w:val="45714467"/>
    <w:rsid w:val="4574077E"/>
    <w:rsid w:val="45765517"/>
    <w:rsid w:val="45795008"/>
    <w:rsid w:val="45860CA5"/>
    <w:rsid w:val="459E4A6E"/>
    <w:rsid w:val="45AA241A"/>
    <w:rsid w:val="45B349A0"/>
    <w:rsid w:val="45BE0C6C"/>
    <w:rsid w:val="45C30031"/>
    <w:rsid w:val="46192347"/>
    <w:rsid w:val="464F6181"/>
    <w:rsid w:val="46671304"/>
    <w:rsid w:val="467342B8"/>
    <w:rsid w:val="467859A7"/>
    <w:rsid w:val="46963997"/>
    <w:rsid w:val="46B02CAB"/>
    <w:rsid w:val="46D36999"/>
    <w:rsid w:val="46DD3374"/>
    <w:rsid w:val="46DD521F"/>
    <w:rsid w:val="46E75FA1"/>
    <w:rsid w:val="47095F17"/>
    <w:rsid w:val="470D1EAB"/>
    <w:rsid w:val="473B735A"/>
    <w:rsid w:val="47484C91"/>
    <w:rsid w:val="4749496A"/>
    <w:rsid w:val="474D04FA"/>
    <w:rsid w:val="475950F1"/>
    <w:rsid w:val="47633879"/>
    <w:rsid w:val="4766336A"/>
    <w:rsid w:val="47677A6F"/>
    <w:rsid w:val="47737D22"/>
    <w:rsid w:val="47942E2B"/>
    <w:rsid w:val="47C50090"/>
    <w:rsid w:val="47CB7671"/>
    <w:rsid w:val="47D41743"/>
    <w:rsid w:val="47E25E36"/>
    <w:rsid w:val="48172BDB"/>
    <w:rsid w:val="48223734"/>
    <w:rsid w:val="483B2A48"/>
    <w:rsid w:val="485960BF"/>
    <w:rsid w:val="486C71BD"/>
    <w:rsid w:val="4873378B"/>
    <w:rsid w:val="488A12DA"/>
    <w:rsid w:val="488E2B78"/>
    <w:rsid w:val="489A151D"/>
    <w:rsid w:val="48B40105"/>
    <w:rsid w:val="48B87BF5"/>
    <w:rsid w:val="48D72771"/>
    <w:rsid w:val="48E56510"/>
    <w:rsid w:val="48FD385A"/>
    <w:rsid w:val="493A4AAE"/>
    <w:rsid w:val="495C057F"/>
    <w:rsid w:val="497004D0"/>
    <w:rsid w:val="497E0E3E"/>
    <w:rsid w:val="49836455"/>
    <w:rsid w:val="498668DA"/>
    <w:rsid w:val="49980F14"/>
    <w:rsid w:val="49A10689"/>
    <w:rsid w:val="49A85EBB"/>
    <w:rsid w:val="49AB1508"/>
    <w:rsid w:val="49EA0597"/>
    <w:rsid w:val="49F41101"/>
    <w:rsid w:val="49F77B6E"/>
    <w:rsid w:val="4A0961E3"/>
    <w:rsid w:val="4A183041"/>
    <w:rsid w:val="4A205A52"/>
    <w:rsid w:val="4A5B4CDC"/>
    <w:rsid w:val="4A5E3F5D"/>
    <w:rsid w:val="4A6A1427"/>
    <w:rsid w:val="4A730277"/>
    <w:rsid w:val="4A8C758B"/>
    <w:rsid w:val="4A965D14"/>
    <w:rsid w:val="4AE42F23"/>
    <w:rsid w:val="4AE83C54"/>
    <w:rsid w:val="4AF97A1B"/>
    <w:rsid w:val="4B06733D"/>
    <w:rsid w:val="4B0B6702"/>
    <w:rsid w:val="4B0C5FD6"/>
    <w:rsid w:val="4B1E0FA9"/>
    <w:rsid w:val="4B206D94"/>
    <w:rsid w:val="4B215F25"/>
    <w:rsid w:val="4B2C3CC2"/>
    <w:rsid w:val="4B321EE0"/>
    <w:rsid w:val="4B40024F"/>
    <w:rsid w:val="4B49722A"/>
    <w:rsid w:val="4B4C6376"/>
    <w:rsid w:val="4B6127C6"/>
    <w:rsid w:val="4B6776C2"/>
    <w:rsid w:val="4B751DCD"/>
    <w:rsid w:val="4B814C16"/>
    <w:rsid w:val="4B893ACB"/>
    <w:rsid w:val="4B9F32EE"/>
    <w:rsid w:val="4BAB3530"/>
    <w:rsid w:val="4BB548C0"/>
    <w:rsid w:val="4BC36D42"/>
    <w:rsid w:val="4BE40D01"/>
    <w:rsid w:val="4BEB6533"/>
    <w:rsid w:val="4BEC408D"/>
    <w:rsid w:val="4BF076A6"/>
    <w:rsid w:val="4BFF27C8"/>
    <w:rsid w:val="4C0A1121"/>
    <w:rsid w:val="4C161AF1"/>
    <w:rsid w:val="4C222B32"/>
    <w:rsid w:val="4C285091"/>
    <w:rsid w:val="4C416153"/>
    <w:rsid w:val="4C417B78"/>
    <w:rsid w:val="4C5365B2"/>
    <w:rsid w:val="4C8B0A6D"/>
    <w:rsid w:val="4C924E2D"/>
    <w:rsid w:val="4C9D5A7F"/>
    <w:rsid w:val="4CE74F4D"/>
    <w:rsid w:val="4D111FCA"/>
    <w:rsid w:val="4D1B2F53"/>
    <w:rsid w:val="4D4B54DB"/>
    <w:rsid w:val="4D565C2E"/>
    <w:rsid w:val="4D61085B"/>
    <w:rsid w:val="4D667004"/>
    <w:rsid w:val="4D6B0035"/>
    <w:rsid w:val="4D6D43F9"/>
    <w:rsid w:val="4D866514"/>
    <w:rsid w:val="4D8B1D7C"/>
    <w:rsid w:val="4D930C30"/>
    <w:rsid w:val="4D9C7AE5"/>
    <w:rsid w:val="4DB210B7"/>
    <w:rsid w:val="4DC1754C"/>
    <w:rsid w:val="4DD54DA5"/>
    <w:rsid w:val="4DE33966"/>
    <w:rsid w:val="4DEB6377"/>
    <w:rsid w:val="4DF06083"/>
    <w:rsid w:val="4DFA2A5E"/>
    <w:rsid w:val="4DFA66E6"/>
    <w:rsid w:val="4E065CB6"/>
    <w:rsid w:val="4E1C0C26"/>
    <w:rsid w:val="4E200716"/>
    <w:rsid w:val="4E30022D"/>
    <w:rsid w:val="4E482208"/>
    <w:rsid w:val="4E4F2DA9"/>
    <w:rsid w:val="4E5401B4"/>
    <w:rsid w:val="4E5B57DC"/>
    <w:rsid w:val="4E6D5DEE"/>
    <w:rsid w:val="4E740A62"/>
    <w:rsid w:val="4E766588"/>
    <w:rsid w:val="4EA6788D"/>
    <w:rsid w:val="4EB470B0"/>
    <w:rsid w:val="4EC76DE4"/>
    <w:rsid w:val="4EFE6975"/>
    <w:rsid w:val="4F1815E2"/>
    <w:rsid w:val="4F183BE6"/>
    <w:rsid w:val="4F336227"/>
    <w:rsid w:val="4F4F73A1"/>
    <w:rsid w:val="4F8E7901"/>
    <w:rsid w:val="4F9B059D"/>
    <w:rsid w:val="4FB237BA"/>
    <w:rsid w:val="4FCB18A6"/>
    <w:rsid w:val="4FCE41A2"/>
    <w:rsid w:val="4FD52FC9"/>
    <w:rsid w:val="4FD866CB"/>
    <w:rsid w:val="4FDC68BF"/>
    <w:rsid w:val="4FE94B38"/>
    <w:rsid w:val="4FEA5EB5"/>
    <w:rsid w:val="4FEB04D3"/>
    <w:rsid w:val="4FF9121F"/>
    <w:rsid w:val="501740DB"/>
    <w:rsid w:val="505B3C87"/>
    <w:rsid w:val="505D7058"/>
    <w:rsid w:val="507A1C34"/>
    <w:rsid w:val="507F0AEB"/>
    <w:rsid w:val="509C7DFC"/>
    <w:rsid w:val="50B43398"/>
    <w:rsid w:val="50C00528"/>
    <w:rsid w:val="50C11611"/>
    <w:rsid w:val="50C25AB5"/>
    <w:rsid w:val="50C35389"/>
    <w:rsid w:val="50CA4D9E"/>
    <w:rsid w:val="50D137D5"/>
    <w:rsid w:val="50F84F5E"/>
    <w:rsid w:val="510C6D30"/>
    <w:rsid w:val="51112598"/>
    <w:rsid w:val="51206ED5"/>
    <w:rsid w:val="51422684"/>
    <w:rsid w:val="514C35D0"/>
    <w:rsid w:val="51667392"/>
    <w:rsid w:val="51825244"/>
    <w:rsid w:val="51B01DB1"/>
    <w:rsid w:val="51BC4CC0"/>
    <w:rsid w:val="51DA6E2E"/>
    <w:rsid w:val="51FC0A11"/>
    <w:rsid w:val="521C7446"/>
    <w:rsid w:val="52417FCB"/>
    <w:rsid w:val="52597DAA"/>
    <w:rsid w:val="526606C2"/>
    <w:rsid w:val="527841B4"/>
    <w:rsid w:val="528172AA"/>
    <w:rsid w:val="529C1904"/>
    <w:rsid w:val="529F12A2"/>
    <w:rsid w:val="52B753C1"/>
    <w:rsid w:val="530138E1"/>
    <w:rsid w:val="530F0D59"/>
    <w:rsid w:val="531613D5"/>
    <w:rsid w:val="5324020D"/>
    <w:rsid w:val="532A5B93"/>
    <w:rsid w:val="533267F6"/>
    <w:rsid w:val="533B3E65"/>
    <w:rsid w:val="535E4700"/>
    <w:rsid w:val="536B2FE6"/>
    <w:rsid w:val="536E3CD2"/>
    <w:rsid w:val="5373753A"/>
    <w:rsid w:val="537D5CC3"/>
    <w:rsid w:val="53BB4A3D"/>
    <w:rsid w:val="53E24C4B"/>
    <w:rsid w:val="53F37C05"/>
    <w:rsid w:val="53FF1FAA"/>
    <w:rsid w:val="540B7EB5"/>
    <w:rsid w:val="540E1011"/>
    <w:rsid w:val="54297BF9"/>
    <w:rsid w:val="5436445F"/>
    <w:rsid w:val="543F7869"/>
    <w:rsid w:val="544B5DC1"/>
    <w:rsid w:val="545033D7"/>
    <w:rsid w:val="54D20290"/>
    <w:rsid w:val="54D27ABC"/>
    <w:rsid w:val="54D67D81"/>
    <w:rsid w:val="54E2482B"/>
    <w:rsid w:val="54E56216"/>
    <w:rsid w:val="54E9135D"/>
    <w:rsid w:val="54F47B28"/>
    <w:rsid w:val="550F6DEF"/>
    <w:rsid w:val="553B73E2"/>
    <w:rsid w:val="554051FA"/>
    <w:rsid w:val="55473338"/>
    <w:rsid w:val="55833339"/>
    <w:rsid w:val="559429E6"/>
    <w:rsid w:val="55FC07CB"/>
    <w:rsid w:val="560721BC"/>
    <w:rsid w:val="561F12B3"/>
    <w:rsid w:val="562B7C58"/>
    <w:rsid w:val="563D798B"/>
    <w:rsid w:val="56561738"/>
    <w:rsid w:val="56602B8B"/>
    <w:rsid w:val="56617B1E"/>
    <w:rsid w:val="56763E09"/>
    <w:rsid w:val="568071EB"/>
    <w:rsid w:val="568E3A93"/>
    <w:rsid w:val="56B52D87"/>
    <w:rsid w:val="56B93B57"/>
    <w:rsid w:val="56C1680E"/>
    <w:rsid w:val="56CC00BF"/>
    <w:rsid w:val="56EF6ED8"/>
    <w:rsid w:val="570979E2"/>
    <w:rsid w:val="571C3A45"/>
    <w:rsid w:val="571C57F3"/>
    <w:rsid w:val="571D1826"/>
    <w:rsid w:val="57362D58"/>
    <w:rsid w:val="573963A5"/>
    <w:rsid w:val="573C5E95"/>
    <w:rsid w:val="5743331B"/>
    <w:rsid w:val="57541431"/>
    <w:rsid w:val="575431DF"/>
    <w:rsid w:val="576462DE"/>
    <w:rsid w:val="57737EC4"/>
    <w:rsid w:val="5785783C"/>
    <w:rsid w:val="57947A7F"/>
    <w:rsid w:val="57A86BE1"/>
    <w:rsid w:val="57CB5B25"/>
    <w:rsid w:val="57E44562"/>
    <w:rsid w:val="57EB4490"/>
    <w:rsid w:val="57EC1669"/>
    <w:rsid w:val="580449F9"/>
    <w:rsid w:val="582C5F09"/>
    <w:rsid w:val="58311772"/>
    <w:rsid w:val="58337298"/>
    <w:rsid w:val="584F47F1"/>
    <w:rsid w:val="586242A1"/>
    <w:rsid w:val="586A3031"/>
    <w:rsid w:val="58873140"/>
    <w:rsid w:val="58935F89"/>
    <w:rsid w:val="58A63441"/>
    <w:rsid w:val="58BF28DA"/>
    <w:rsid w:val="58C70BDE"/>
    <w:rsid w:val="58D00AF4"/>
    <w:rsid w:val="58DE1D8C"/>
    <w:rsid w:val="58F06F37"/>
    <w:rsid w:val="58F44C79"/>
    <w:rsid w:val="5919648E"/>
    <w:rsid w:val="591A5DA5"/>
    <w:rsid w:val="5920617D"/>
    <w:rsid w:val="59337D32"/>
    <w:rsid w:val="598A550B"/>
    <w:rsid w:val="599C09DC"/>
    <w:rsid w:val="599D70BF"/>
    <w:rsid w:val="59BA6FCD"/>
    <w:rsid w:val="59CC3500"/>
    <w:rsid w:val="59D14FBA"/>
    <w:rsid w:val="59EE3017"/>
    <w:rsid w:val="59F1323B"/>
    <w:rsid w:val="5A036FF1"/>
    <w:rsid w:val="5A0D0436"/>
    <w:rsid w:val="5A2C0443"/>
    <w:rsid w:val="5A3F6982"/>
    <w:rsid w:val="5A5B2AD6"/>
    <w:rsid w:val="5A7B0A82"/>
    <w:rsid w:val="5A86410C"/>
    <w:rsid w:val="5A9B2ED2"/>
    <w:rsid w:val="5AAE0E58"/>
    <w:rsid w:val="5AC32B55"/>
    <w:rsid w:val="5ADF3707"/>
    <w:rsid w:val="5AF56A87"/>
    <w:rsid w:val="5AFE1DDF"/>
    <w:rsid w:val="5B1433B1"/>
    <w:rsid w:val="5B1E5FDD"/>
    <w:rsid w:val="5B264B73"/>
    <w:rsid w:val="5B2A2BD4"/>
    <w:rsid w:val="5B5F1393"/>
    <w:rsid w:val="5B5F2152"/>
    <w:rsid w:val="5B6B6D49"/>
    <w:rsid w:val="5B9535F4"/>
    <w:rsid w:val="5B991B08"/>
    <w:rsid w:val="5B9938B6"/>
    <w:rsid w:val="5BC528FD"/>
    <w:rsid w:val="5BC8419B"/>
    <w:rsid w:val="5BD26DC8"/>
    <w:rsid w:val="5BDE576D"/>
    <w:rsid w:val="5C0B4CB9"/>
    <w:rsid w:val="5C0D0AE7"/>
    <w:rsid w:val="5C2018E1"/>
    <w:rsid w:val="5C2C0286"/>
    <w:rsid w:val="5C2C297C"/>
    <w:rsid w:val="5C2E2250"/>
    <w:rsid w:val="5C5872CD"/>
    <w:rsid w:val="5C753B41"/>
    <w:rsid w:val="5C7D31D8"/>
    <w:rsid w:val="5C870D7B"/>
    <w:rsid w:val="5CC76A05"/>
    <w:rsid w:val="5CE05C01"/>
    <w:rsid w:val="5D1C654D"/>
    <w:rsid w:val="5D2015DA"/>
    <w:rsid w:val="5D213B63"/>
    <w:rsid w:val="5D226CFA"/>
    <w:rsid w:val="5D2C2695"/>
    <w:rsid w:val="5D2D69AC"/>
    <w:rsid w:val="5D2F50FB"/>
    <w:rsid w:val="5D912C18"/>
    <w:rsid w:val="5D9702C9"/>
    <w:rsid w:val="5DB91FED"/>
    <w:rsid w:val="5DC07B22"/>
    <w:rsid w:val="5DC2175C"/>
    <w:rsid w:val="5DF618C7"/>
    <w:rsid w:val="5DF63972"/>
    <w:rsid w:val="5DFC012C"/>
    <w:rsid w:val="5E080D42"/>
    <w:rsid w:val="5E0A45F7"/>
    <w:rsid w:val="5E2E0A91"/>
    <w:rsid w:val="5E345B18"/>
    <w:rsid w:val="5E36132D"/>
    <w:rsid w:val="5E451AD3"/>
    <w:rsid w:val="5E84092E"/>
    <w:rsid w:val="5E90627E"/>
    <w:rsid w:val="5ED6597D"/>
    <w:rsid w:val="5ED8798F"/>
    <w:rsid w:val="5EDD61AF"/>
    <w:rsid w:val="5EFC6636"/>
    <w:rsid w:val="5F076D88"/>
    <w:rsid w:val="5F5F532C"/>
    <w:rsid w:val="5F6D308F"/>
    <w:rsid w:val="5F7466FE"/>
    <w:rsid w:val="5F7A755A"/>
    <w:rsid w:val="5F863542"/>
    <w:rsid w:val="5FAE4D62"/>
    <w:rsid w:val="5FB20274"/>
    <w:rsid w:val="5FEB709A"/>
    <w:rsid w:val="5FFC7BC4"/>
    <w:rsid w:val="60182CB2"/>
    <w:rsid w:val="60287A9B"/>
    <w:rsid w:val="60326810"/>
    <w:rsid w:val="6042451C"/>
    <w:rsid w:val="604D6366"/>
    <w:rsid w:val="60687CFB"/>
    <w:rsid w:val="60835BF8"/>
    <w:rsid w:val="60A522C5"/>
    <w:rsid w:val="60D62EB6"/>
    <w:rsid w:val="60F021CA"/>
    <w:rsid w:val="60FB0B6F"/>
    <w:rsid w:val="610619ED"/>
    <w:rsid w:val="610E4430"/>
    <w:rsid w:val="613C6465"/>
    <w:rsid w:val="613D4CE3"/>
    <w:rsid w:val="61442516"/>
    <w:rsid w:val="614D13CA"/>
    <w:rsid w:val="61776447"/>
    <w:rsid w:val="618D5C6B"/>
    <w:rsid w:val="61A63E4C"/>
    <w:rsid w:val="61CD42B9"/>
    <w:rsid w:val="61F555BE"/>
    <w:rsid w:val="62035F2D"/>
    <w:rsid w:val="62057D23"/>
    <w:rsid w:val="621C5BA9"/>
    <w:rsid w:val="62427522"/>
    <w:rsid w:val="624F23FA"/>
    <w:rsid w:val="62514EEA"/>
    <w:rsid w:val="62736350"/>
    <w:rsid w:val="62763D02"/>
    <w:rsid w:val="628506F0"/>
    <w:rsid w:val="62CC2BB0"/>
    <w:rsid w:val="62EB3A25"/>
    <w:rsid w:val="631607FC"/>
    <w:rsid w:val="63185A08"/>
    <w:rsid w:val="6320666B"/>
    <w:rsid w:val="632C5010"/>
    <w:rsid w:val="63712083"/>
    <w:rsid w:val="63936E3D"/>
    <w:rsid w:val="63BA479C"/>
    <w:rsid w:val="63C139AA"/>
    <w:rsid w:val="63D00091"/>
    <w:rsid w:val="63F35B2D"/>
    <w:rsid w:val="640A5918"/>
    <w:rsid w:val="640D6BEF"/>
    <w:rsid w:val="64265F03"/>
    <w:rsid w:val="6432550D"/>
    <w:rsid w:val="64371EBE"/>
    <w:rsid w:val="64426DE8"/>
    <w:rsid w:val="644F5459"/>
    <w:rsid w:val="64686B51"/>
    <w:rsid w:val="647C1FC7"/>
    <w:rsid w:val="648D7D30"/>
    <w:rsid w:val="64B140D9"/>
    <w:rsid w:val="64B4710A"/>
    <w:rsid w:val="64B90B25"/>
    <w:rsid w:val="64BE613B"/>
    <w:rsid w:val="64C50E7F"/>
    <w:rsid w:val="64D771FD"/>
    <w:rsid w:val="64DB4F3F"/>
    <w:rsid w:val="65006754"/>
    <w:rsid w:val="651122B9"/>
    <w:rsid w:val="6515681C"/>
    <w:rsid w:val="65202952"/>
    <w:rsid w:val="652E506F"/>
    <w:rsid w:val="65406093"/>
    <w:rsid w:val="65420B1A"/>
    <w:rsid w:val="655C3587"/>
    <w:rsid w:val="65886897"/>
    <w:rsid w:val="659770B8"/>
    <w:rsid w:val="65A2780B"/>
    <w:rsid w:val="65B512EC"/>
    <w:rsid w:val="65C675A7"/>
    <w:rsid w:val="65C8329B"/>
    <w:rsid w:val="65F904A0"/>
    <w:rsid w:val="66044E06"/>
    <w:rsid w:val="66197FF3"/>
    <w:rsid w:val="66496A71"/>
    <w:rsid w:val="66967370"/>
    <w:rsid w:val="66C537B1"/>
    <w:rsid w:val="66E005EB"/>
    <w:rsid w:val="66E16111"/>
    <w:rsid w:val="66F37636"/>
    <w:rsid w:val="670A2DA3"/>
    <w:rsid w:val="67257E2B"/>
    <w:rsid w:val="67472418"/>
    <w:rsid w:val="676273A8"/>
    <w:rsid w:val="677A0EB9"/>
    <w:rsid w:val="67B101D9"/>
    <w:rsid w:val="67B75B18"/>
    <w:rsid w:val="67B850C4"/>
    <w:rsid w:val="67C71A79"/>
    <w:rsid w:val="67C972D1"/>
    <w:rsid w:val="67CC0B6F"/>
    <w:rsid w:val="67DD2D7C"/>
    <w:rsid w:val="67E91721"/>
    <w:rsid w:val="67F5225C"/>
    <w:rsid w:val="68047157"/>
    <w:rsid w:val="68057461"/>
    <w:rsid w:val="680A680D"/>
    <w:rsid w:val="680E1188"/>
    <w:rsid w:val="68264723"/>
    <w:rsid w:val="6828049B"/>
    <w:rsid w:val="68460921"/>
    <w:rsid w:val="68531770"/>
    <w:rsid w:val="68531926"/>
    <w:rsid w:val="68866F70"/>
    <w:rsid w:val="688B4586"/>
    <w:rsid w:val="689A6532"/>
    <w:rsid w:val="689D73CB"/>
    <w:rsid w:val="68A044D6"/>
    <w:rsid w:val="68A35D74"/>
    <w:rsid w:val="68A4505F"/>
    <w:rsid w:val="68BC01F8"/>
    <w:rsid w:val="68E02A60"/>
    <w:rsid w:val="68EC771B"/>
    <w:rsid w:val="69015A74"/>
    <w:rsid w:val="69076323"/>
    <w:rsid w:val="6917406C"/>
    <w:rsid w:val="6942099E"/>
    <w:rsid w:val="695D4175"/>
    <w:rsid w:val="698931BC"/>
    <w:rsid w:val="699D0A15"/>
    <w:rsid w:val="69A00505"/>
    <w:rsid w:val="69A2427D"/>
    <w:rsid w:val="69BA1345"/>
    <w:rsid w:val="69D07FD1"/>
    <w:rsid w:val="69F566F5"/>
    <w:rsid w:val="69FA7C16"/>
    <w:rsid w:val="6A170B7C"/>
    <w:rsid w:val="6A2151A2"/>
    <w:rsid w:val="6A2627B9"/>
    <w:rsid w:val="6A2702BC"/>
    <w:rsid w:val="6A331379"/>
    <w:rsid w:val="6A3C1FDC"/>
    <w:rsid w:val="6A565883"/>
    <w:rsid w:val="6A577A5F"/>
    <w:rsid w:val="6A647785"/>
    <w:rsid w:val="6A701C86"/>
    <w:rsid w:val="6A894DD0"/>
    <w:rsid w:val="6A8D0A8A"/>
    <w:rsid w:val="6A9E2C97"/>
    <w:rsid w:val="6AB763D1"/>
    <w:rsid w:val="6AB83C70"/>
    <w:rsid w:val="6AC01C35"/>
    <w:rsid w:val="6AC27BFE"/>
    <w:rsid w:val="6AC93F86"/>
    <w:rsid w:val="6ADB13C7"/>
    <w:rsid w:val="6AFE7291"/>
    <w:rsid w:val="6B0D2C0B"/>
    <w:rsid w:val="6B160A7F"/>
    <w:rsid w:val="6B1747F7"/>
    <w:rsid w:val="6B19231D"/>
    <w:rsid w:val="6B301415"/>
    <w:rsid w:val="6B5965FE"/>
    <w:rsid w:val="6B5C6B1E"/>
    <w:rsid w:val="6B5E41D4"/>
    <w:rsid w:val="6B8005EE"/>
    <w:rsid w:val="6B83272F"/>
    <w:rsid w:val="6B9B310B"/>
    <w:rsid w:val="6BA51E03"/>
    <w:rsid w:val="6BB65DBE"/>
    <w:rsid w:val="6BB67B6C"/>
    <w:rsid w:val="6BEB5EDE"/>
    <w:rsid w:val="6BF16DF6"/>
    <w:rsid w:val="6C2E3BA6"/>
    <w:rsid w:val="6C375151"/>
    <w:rsid w:val="6C3C47B3"/>
    <w:rsid w:val="6C4909E0"/>
    <w:rsid w:val="6C496C32"/>
    <w:rsid w:val="6C832144"/>
    <w:rsid w:val="6C937EAD"/>
    <w:rsid w:val="6C9D0D2C"/>
    <w:rsid w:val="6CD01102"/>
    <w:rsid w:val="6CD75FEC"/>
    <w:rsid w:val="6CDE737B"/>
    <w:rsid w:val="6CE24244"/>
    <w:rsid w:val="6D176D30"/>
    <w:rsid w:val="6D1F7993"/>
    <w:rsid w:val="6D2232F1"/>
    <w:rsid w:val="6D4A0EB4"/>
    <w:rsid w:val="6D975A3E"/>
    <w:rsid w:val="6D9914F3"/>
    <w:rsid w:val="6DAD528E"/>
    <w:rsid w:val="6DB47BBD"/>
    <w:rsid w:val="6DBF7D15"/>
    <w:rsid w:val="6DDB21D3"/>
    <w:rsid w:val="6DDF5000"/>
    <w:rsid w:val="6DE24C48"/>
    <w:rsid w:val="6E160D96"/>
    <w:rsid w:val="6E1F3036"/>
    <w:rsid w:val="6E2C05BA"/>
    <w:rsid w:val="6E3000AA"/>
    <w:rsid w:val="6E3B3456"/>
    <w:rsid w:val="6E4E22DE"/>
    <w:rsid w:val="6E645FA5"/>
    <w:rsid w:val="6E7004A6"/>
    <w:rsid w:val="6E751F61"/>
    <w:rsid w:val="6E810366"/>
    <w:rsid w:val="6E881C94"/>
    <w:rsid w:val="6EA168B2"/>
    <w:rsid w:val="6EC364B5"/>
    <w:rsid w:val="6EC407F2"/>
    <w:rsid w:val="6EE449F0"/>
    <w:rsid w:val="6EF62128"/>
    <w:rsid w:val="6F3239AE"/>
    <w:rsid w:val="6F4C2993"/>
    <w:rsid w:val="6F5F0599"/>
    <w:rsid w:val="6F712728"/>
    <w:rsid w:val="6F765F90"/>
    <w:rsid w:val="6F7B35A7"/>
    <w:rsid w:val="6FB22D40"/>
    <w:rsid w:val="6FDC1B6B"/>
    <w:rsid w:val="6FDE58F8"/>
    <w:rsid w:val="6FE0165C"/>
    <w:rsid w:val="6FE90800"/>
    <w:rsid w:val="701D465E"/>
    <w:rsid w:val="7023779A"/>
    <w:rsid w:val="702754DC"/>
    <w:rsid w:val="70281CF1"/>
    <w:rsid w:val="702F4391"/>
    <w:rsid w:val="705B0CE2"/>
    <w:rsid w:val="706C2EEF"/>
    <w:rsid w:val="706E4EB9"/>
    <w:rsid w:val="707B1384"/>
    <w:rsid w:val="70B97A34"/>
    <w:rsid w:val="70BE3020"/>
    <w:rsid w:val="70C42D2B"/>
    <w:rsid w:val="70D53983"/>
    <w:rsid w:val="70E178AF"/>
    <w:rsid w:val="70E21403"/>
    <w:rsid w:val="70EF0BF7"/>
    <w:rsid w:val="70F84783"/>
    <w:rsid w:val="70F97914"/>
    <w:rsid w:val="71125845"/>
    <w:rsid w:val="7113780F"/>
    <w:rsid w:val="713752AB"/>
    <w:rsid w:val="71561E1E"/>
    <w:rsid w:val="716360A0"/>
    <w:rsid w:val="716F713B"/>
    <w:rsid w:val="719646C8"/>
    <w:rsid w:val="71A1306D"/>
    <w:rsid w:val="71A861A9"/>
    <w:rsid w:val="71D76A8E"/>
    <w:rsid w:val="720C2AB9"/>
    <w:rsid w:val="72182020"/>
    <w:rsid w:val="7218332F"/>
    <w:rsid w:val="72225F5B"/>
    <w:rsid w:val="72273572"/>
    <w:rsid w:val="72281098"/>
    <w:rsid w:val="7238752D"/>
    <w:rsid w:val="723F4D5F"/>
    <w:rsid w:val="72533BCF"/>
    <w:rsid w:val="725620A9"/>
    <w:rsid w:val="725B146D"/>
    <w:rsid w:val="725D3437"/>
    <w:rsid w:val="728668BA"/>
    <w:rsid w:val="72B01AD7"/>
    <w:rsid w:val="72CB03A1"/>
    <w:rsid w:val="72D03C09"/>
    <w:rsid w:val="72F37EB8"/>
    <w:rsid w:val="72F71196"/>
    <w:rsid w:val="73190D85"/>
    <w:rsid w:val="731F693F"/>
    <w:rsid w:val="732E6B82"/>
    <w:rsid w:val="734A5720"/>
    <w:rsid w:val="734C3D25"/>
    <w:rsid w:val="7351715F"/>
    <w:rsid w:val="73634A7D"/>
    <w:rsid w:val="736425A4"/>
    <w:rsid w:val="7372081D"/>
    <w:rsid w:val="738343C3"/>
    <w:rsid w:val="738A5B9F"/>
    <w:rsid w:val="73F90F3E"/>
    <w:rsid w:val="7419338E"/>
    <w:rsid w:val="742D0141"/>
    <w:rsid w:val="74341F76"/>
    <w:rsid w:val="7445564D"/>
    <w:rsid w:val="74485A21"/>
    <w:rsid w:val="745D7A02"/>
    <w:rsid w:val="746E5488"/>
    <w:rsid w:val="74787FD4"/>
    <w:rsid w:val="74BE7A92"/>
    <w:rsid w:val="74C84721"/>
    <w:rsid w:val="74D42813"/>
    <w:rsid w:val="750D2EF3"/>
    <w:rsid w:val="751F654B"/>
    <w:rsid w:val="752D5343"/>
    <w:rsid w:val="75322959"/>
    <w:rsid w:val="753254D5"/>
    <w:rsid w:val="753C5586"/>
    <w:rsid w:val="75592349"/>
    <w:rsid w:val="75686BCC"/>
    <w:rsid w:val="75693EA1"/>
    <w:rsid w:val="75752846"/>
    <w:rsid w:val="75842A89"/>
    <w:rsid w:val="75932CCC"/>
    <w:rsid w:val="75AF45AE"/>
    <w:rsid w:val="75B275F6"/>
    <w:rsid w:val="75D237F5"/>
    <w:rsid w:val="75DE03EB"/>
    <w:rsid w:val="760D7FB3"/>
    <w:rsid w:val="76391AC6"/>
    <w:rsid w:val="764346F2"/>
    <w:rsid w:val="7645046A"/>
    <w:rsid w:val="764C557E"/>
    <w:rsid w:val="765C57B4"/>
    <w:rsid w:val="767174B1"/>
    <w:rsid w:val="76780840"/>
    <w:rsid w:val="76783F68"/>
    <w:rsid w:val="76793892"/>
    <w:rsid w:val="76941B1A"/>
    <w:rsid w:val="76AD7DBE"/>
    <w:rsid w:val="76D364D4"/>
    <w:rsid w:val="76DE441B"/>
    <w:rsid w:val="76E45ED5"/>
    <w:rsid w:val="770D1EB1"/>
    <w:rsid w:val="77147E3D"/>
    <w:rsid w:val="771A3ADA"/>
    <w:rsid w:val="7725204A"/>
    <w:rsid w:val="7730111A"/>
    <w:rsid w:val="77391FC6"/>
    <w:rsid w:val="773D3837"/>
    <w:rsid w:val="7746449A"/>
    <w:rsid w:val="77551879"/>
    <w:rsid w:val="776963DA"/>
    <w:rsid w:val="776D0DB5"/>
    <w:rsid w:val="779C40BA"/>
    <w:rsid w:val="779F1CDF"/>
    <w:rsid w:val="77AB69F3"/>
    <w:rsid w:val="77B07A95"/>
    <w:rsid w:val="77C6382D"/>
    <w:rsid w:val="77E048EF"/>
    <w:rsid w:val="77F55EC0"/>
    <w:rsid w:val="78052DD9"/>
    <w:rsid w:val="780C3B22"/>
    <w:rsid w:val="787D038F"/>
    <w:rsid w:val="78960636"/>
    <w:rsid w:val="789F0530"/>
    <w:rsid w:val="78AC169E"/>
    <w:rsid w:val="78B96EEE"/>
    <w:rsid w:val="78C0027C"/>
    <w:rsid w:val="78CA55CE"/>
    <w:rsid w:val="78DC11E9"/>
    <w:rsid w:val="78EF46BD"/>
    <w:rsid w:val="78F9488B"/>
    <w:rsid w:val="78FB12B4"/>
    <w:rsid w:val="79074B53"/>
    <w:rsid w:val="790E7239"/>
    <w:rsid w:val="791C0214"/>
    <w:rsid w:val="79257DFE"/>
    <w:rsid w:val="793A6280"/>
    <w:rsid w:val="794C5FB4"/>
    <w:rsid w:val="79716072"/>
    <w:rsid w:val="797A667D"/>
    <w:rsid w:val="797D43BF"/>
    <w:rsid w:val="79870D9A"/>
    <w:rsid w:val="79993610"/>
    <w:rsid w:val="79A81592"/>
    <w:rsid w:val="79AD3714"/>
    <w:rsid w:val="79B81A3C"/>
    <w:rsid w:val="79C478F8"/>
    <w:rsid w:val="79DD60B2"/>
    <w:rsid w:val="79EA1A55"/>
    <w:rsid w:val="79FA5A10"/>
    <w:rsid w:val="79FF6B82"/>
    <w:rsid w:val="7A2D118F"/>
    <w:rsid w:val="7A356A48"/>
    <w:rsid w:val="7A454EDD"/>
    <w:rsid w:val="7A551C2F"/>
    <w:rsid w:val="7A5769BE"/>
    <w:rsid w:val="7A8157E9"/>
    <w:rsid w:val="7A833F3B"/>
    <w:rsid w:val="7AE26947"/>
    <w:rsid w:val="7AF661D7"/>
    <w:rsid w:val="7AF75AAB"/>
    <w:rsid w:val="7B1565B0"/>
    <w:rsid w:val="7B220D7A"/>
    <w:rsid w:val="7B256ABC"/>
    <w:rsid w:val="7B2F3497"/>
    <w:rsid w:val="7B2F5245"/>
    <w:rsid w:val="7B430CF1"/>
    <w:rsid w:val="7B5237E2"/>
    <w:rsid w:val="7B786BEC"/>
    <w:rsid w:val="7B940C71"/>
    <w:rsid w:val="7BA7127F"/>
    <w:rsid w:val="7BBA7D61"/>
    <w:rsid w:val="7BC24845"/>
    <w:rsid w:val="7BC76682"/>
    <w:rsid w:val="7C430CD5"/>
    <w:rsid w:val="7C4371FA"/>
    <w:rsid w:val="7C796B83"/>
    <w:rsid w:val="7C7C270C"/>
    <w:rsid w:val="7C820097"/>
    <w:rsid w:val="7C873B3C"/>
    <w:rsid w:val="7C913580"/>
    <w:rsid w:val="7CA659DB"/>
    <w:rsid w:val="7CBA39A6"/>
    <w:rsid w:val="7CCB222D"/>
    <w:rsid w:val="7CD24A22"/>
    <w:rsid w:val="7CD930BA"/>
    <w:rsid w:val="7CDE3017"/>
    <w:rsid w:val="7CFE0C47"/>
    <w:rsid w:val="7D006E99"/>
    <w:rsid w:val="7D21507B"/>
    <w:rsid w:val="7D4F5B8A"/>
    <w:rsid w:val="7D517499"/>
    <w:rsid w:val="7D6F401F"/>
    <w:rsid w:val="7D752025"/>
    <w:rsid w:val="7D904C25"/>
    <w:rsid w:val="7D9D0B8C"/>
    <w:rsid w:val="7D9F1E09"/>
    <w:rsid w:val="7DA168CE"/>
    <w:rsid w:val="7DA56368"/>
    <w:rsid w:val="7DA8292D"/>
    <w:rsid w:val="7DBB54B6"/>
    <w:rsid w:val="7DDD542C"/>
    <w:rsid w:val="7E0368D8"/>
    <w:rsid w:val="7E4159BB"/>
    <w:rsid w:val="7E553215"/>
    <w:rsid w:val="7E7044F2"/>
    <w:rsid w:val="7E7B31DC"/>
    <w:rsid w:val="7E9235AA"/>
    <w:rsid w:val="7ED2135E"/>
    <w:rsid w:val="7EE01021"/>
    <w:rsid w:val="7EE5787B"/>
    <w:rsid w:val="7EED78F1"/>
    <w:rsid w:val="7EFB4FBB"/>
    <w:rsid w:val="7F07123A"/>
    <w:rsid w:val="7F2E23E3"/>
    <w:rsid w:val="7F2F641F"/>
    <w:rsid w:val="7F390F10"/>
    <w:rsid w:val="7F47040C"/>
    <w:rsid w:val="7F4E65E2"/>
    <w:rsid w:val="7F6C6A68"/>
    <w:rsid w:val="7F7153BB"/>
    <w:rsid w:val="7F871C42"/>
    <w:rsid w:val="7FBB79EF"/>
    <w:rsid w:val="7FBE3022"/>
    <w:rsid w:val="7FBF1CF8"/>
    <w:rsid w:val="7FD84837"/>
    <w:rsid w:val="7FF058EB"/>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1"/>
    <w:rPr>
      <w:rFonts w:ascii="仿宋" w:hAnsi="仿宋" w:eastAsia="仿宋" w:cs="仿宋"/>
      <w:sz w:val="30"/>
      <w:szCs w:val="30"/>
      <w:lang w:val="zh-CN" w:eastAsia="zh-CN" w:bidi="zh-CN"/>
    </w:rPr>
  </w:style>
  <w:style w:type="paragraph" w:styleId="4">
    <w:name w:val="Body Text Indent"/>
    <w:autoRedefine/>
    <w:qFormat/>
    <w:uiPriority w:val="99"/>
    <w:pPr>
      <w:widowControl w:val="0"/>
      <w:ind w:firstLine="525"/>
      <w:jc w:val="left"/>
    </w:pPr>
    <w:rPr>
      <w:rFonts w:ascii="宋体" w:hAnsi="Times New Roman" w:eastAsia="宋体" w:cs="Times New Roman"/>
      <w:kern w:val="2"/>
      <w:sz w:val="28"/>
      <w:szCs w:val="20"/>
      <w:lang w:val="en-US" w:eastAsia="zh-CN"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1"/>
    <w:pPr>
      <w:spacing w:before="240"/>
      <w:ind w:right="263"/>
      <w:jc w:val="right"/>
    </w:pPr>
    <w:rPr>
      <w:rFonts w:ascii="仿宋" w:hAnsi="仿宋" w:eastAsia="仿宋" w:cs="仿宋"/>
      <w:sz w:val="30"/>
      <w:szCs w:val="30"/>
      <w:lang w:val="zh-CN" w:eastAsia="zh-CN" w:bidi="zh-CN"/>
    </w:rPr>
  </w:style>
  <w:style w:type="paragraph" w:styleId="8">
    <w:name w:val="Body Text First Indent 2"/>
    <w:autoRedefine/>
    <w:qFormat/>
    <w:uiPriority w:val="0"/>
    <w:pPr>
      <w:widowControl w:val="0"/>
      <w:tabs>
        <w:tab w:val="left" w:pos="-116"/>
        <w:tab w:val="left" w:pos="420"/>
      </w:tabs>
      <w:ind w:firstLine="420" w:firstLineChars="200"/>
      <w:jc w:val="left"/>
    </w:pPr>
    <w:rPr>
      <w:rFonts w:ascii="宋体" w:hAnsi="Times New Roman" w:eastAsia="宋体" w:cs="Times New Roman"/>
      <w:kern w:val="2"/>
      <w:sz w:val="28"/>
      <w:szCs w:val="20"/>
      <w:lang w:val="en-US" w:eastAsia="zh-CN" w:bidi="ar-SA"/>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autoRedefine/>
    <w:qFormat/>
    <w:uiPriority w:val="0"/>
    <w:rPr>
      <w:color w:val="0000FF"/>
      <w:u w:val="single"/>
    </w:rPr>
  </w:style>
  <w:style w:type="paragraph" w:customStyle="1" w:styleId="13">
    <w:name w:val="WPSOffice手动目录 1"/>
    <w:autoRedefine/>
    <w:qFormat/>
    <w:uiPriority w:val="0"/>
    <w:pPr>
      <w:ind w:leftChars="0"/>
    </w:pPr>
    <w:rPr>
      <w:rFonts w:ascii="Times New Roman" w:hAnsi="Times New Roman" w:eastAsia="宋体" w:cs="Times New Roman"/>
      <w:sz w:val="20"/>
      <w:szCs w:val="20"/>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11836</Words>
  <Characters>12381</Characters>
  <Lines>1</Lines>
  <Paragraphs>1</Paragraphs>
  <TotalTime>7</TotalTime>
  <ScaleCrop>false</ScaleCrop>
  <LinksUpToDate>false</LinksUpToDate>
  <CharactersWithSpaces>13327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招采中心2</cp:lastModifiedBy>
  <cp:lastPrinted>2024-05-27T07:18:00Z</cp:lastPrinted>
  <dcterms:modified xsi:type="dcterms:W3CDTF">2024-07-11T01:06:02Z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5946954852BC476CB095FB4BD5A57BA8_13</vt:lpwstr>
  </property>
</Properties>
</file>