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079D0">
      <w:pPr>
        <w:jc w:val="right"/>
        <w:rPr>
          <w:rFonts w:hint="default" w:ascii="仿宋" w:hAnsi="仿宋" w:eastAsia="仿宋" w:cs="仿宋"/>
          <w:highlight w:val="none"/>
          <w:lang w:val="en-US" w:eastAsia="zh-CN"/>
        </w:rPr>
      </w:pPr>
    </w:p>
    <w:p w14:paraId="0ECA36CA">
      <w:pPr>
        <w:jc w:val="both"/>
        <w:rPr>
          <w:rFonts w:hint="eastAsia" w:ascii="仿宋" w:hAnsi="仿宋" w:eastAsia="仿宋" w:cs="仿宋"/>
          <w:b/>
          <w:sz w:val="72"/>
          <w:highlight w:val="none"/>
          <w:lang w:val="en-US" w:eastAsia="zh-CN"/>
        </w:rPr>
      </w:pPr>
      <w:r>
        <w:rPr>
          <w:rFonts w:hint="eastAsia" w:ascii="仿宋" w:hAnsi="仿宋" w:eastAsia="仿宋" w:cs="仿宋"/>
          <w:kern w:val="0"/>
          <w:sz w:val="24"/>
          <w:szCs w:val="24"/>
          <w:highlight w:val="none"/>
        </w:rPr>
        <w:drawing>
          <wp:anchor distT="0" distB="0" distL="114300" distR="114300" simplePos="0" relativeHeight="251659264" behindDoc="0" locked="0" layoutInCell="1" allowOverlap="1">
            <wp:simplePos x="0" y="0"/>
            <wp:positionH relativeFrom="column">
              <wp:posOffset>920115</wp:posOffset>
            </wp:positionH>
            <wp:positionV relativeFrom="paragraph">
              <wp:posOffset>19685</wp:posOffset>
            </wp:positionV>
            <wp:extent cx="4288790" cy="525780"/>
            <wp:effectExtent l="0" t="0" r="16510" b="7620"/>
            <wp:wrapNone/>
            <wp:docPr id="1"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6619fd34e89ba868d862bb3661be41"/>
                    <pic:cNvPicPr>
                      <a:picLocks noChangeAspect="1"/>
                    </pic:cNvPicPr>
                  </pic:nvPicPr>
                  <pic:blipFill>
                    <a:blip r:embed="rId7"/>
                    <a:stretch>
                      <a:fillRect/>
                    </a:stretch>
                  </pic:blipFill>
                  <pic:spPr>
                    <a:xfrm>
                      <a:off x="0" y="0"/>
                      <a:ext cx="4288790" cy="525780"/>
                    </a:xfrm>
                    <a:prstGeom prst="rect">
                      <a:avLst/>
                    </a:prstGeom>
                    <a:noFill/>
                    <a:ln>
                      <a:noFill/>
                    </a:ln>
                  </pic:spPr>
                </pic:pic>
              </a:graphicData>
            </a:graphic>
          </wp:anchor>
        </w:drawing>
      </w:r>
    </w:p>
    <w:p w14:paraId="000BE8F1">
      <w:pPr>
        <w:jc w:val="center"/>
        <w:rPr>
          <w:rFonts w:hint="eastAsia" w:ascii="仿宋" w:hAnsi="仿宋" w:eastAsia="仿宋" w:cs="仿宋"/>
          <w:b/>
          <w:sz w:val="56"/>
          <w:szCs w:val="22"/>
          <w:highlight w:val="none"/>
          <w:lang w:val="en-US" w:eastAsia="zh-CN"/>
        </w:rPr>
      </w:pPr>
    </w:p>
    <w:p w14:paraId="24B4C9FC">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sz w:val="52"/>
          <w:szCs w:val="52"/>
          <w:highlight w:val="none"/>
          <w:lang w:val="en-US" w:eastAsia="zh-CN"/>
        </w:rPr>
      </w:pPr>
      <w:r>
        <w:rPr>
          <w:rFonts w:hint="eastAsia" w:ascii="仿宋" w:hAnsi="仿宋" w:eastAsia="仿宋" w:cs="仿宋"/>
          <w:b w:val="0"/>
          <w:bCs/>
          <w:sz w:val="52"/>
          <w:szCs w:val="52"/>
          <w:highlight w:val="none"/>
          <w:lang w:val="en-US" w:eastAsia="zh-CN"/>
        </w:rPr>
        <w:t>南京现代表面处理科技产业中心项目</w:t>
      </w:r>
    </w:p>
    <w:p w14:paraId="27341F3D">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sz w:val="52"/>
          <w:szCs w:val="52"/>
          <w:highlight w:val="none"/>
          <w:u w:val="none"/>
          <w:lang w:val="en-US" w:eastAsia="zh-CN"/>
        </w:rPr>
      </w:pPr>
      <w:r>
        <w:rPr>
          <w:rFonts w:hint="eastAsia" w:ascii="仿宋" w:hAnsi="仿宋" w:eastAsia="仿宋" w:cs="仿宋"/>
          <w:b w:val="0"/>
          <w:bCs/>
          <w:sz w:val="52"/>
          <w:szCs w:val="52"/>
          <w:highlight w:val="none"/>
          <w:lang w:val="en-US" w:eastAsia="zh-CN"/>
        </w:rPr>
        <w:t>A地块商品混凝土</w:t>
      </w:r>
    </w:p>
    <w:p w14:paraId="072FBC94">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 w:hAnsi="仿宋" w:eastAsia="仿宋" w:cs="仿宋"/>
          <w:b w:val="0"/>
          <w:bCs/>
          <w:sz w:val="52"/>
          <w:szCs w:val="52"/>
          <w:highlight w:val="none"/>
          <w:lang w:val="en-US" w:eastAsia="zh-CN"/>
        </w:rPr>
      </w:pPr>
      <w:bookmarkStart w:id="0" w:name="_Toc13418"/>
      <w:bookmarkStart w:id="1" w:name="_Toc927"/>
      <w:bookmarkStart w:id="2" w:name="_Toc782"/>
      <w:bookmarkStart w:id="3" w:name="_Toc32625"/>
      <w:r>
        <w:rPr>
          <w:rFonts w:hint="eastAsia" w:ascii="仿宋" w:hAnsi="仿宋" w:eastAsia="仿宋" w:cs="仿宋"/>
          <w:b w:val="0"/>
          <w:bCs/>
          <w:sz w:val="52"/>
          <w:szCs w:val="52"/>
          <w:highlight w:val="none"/>
          <w:lang w:val="en-US" w:eastAsia="zh-CN"/>
        </w:rPr>
        <w:t>购</w:t>
      </w:r>
      <w:bookmarkEnd w:id="0"/>
      <w:bookmarkEnd w:id="1"/>
      <w:bookmarkEnd w:id="2"/>
      <w:bookmarkEnd w:id="3"/>
    </w:p>
    <w:p w14:paraId="2A2EE401">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 w:hAnsi="仿宋" w:eastAsia="仿宋" w:cs="仿宋"/>
          <w:b w:val="0"/>
          <w:bCs/>
          <w:sz w:val="52"/>
          <w:szCs w:val="52"/>
          <w:highlight w:val="none"/>
          <w:lang w:val="en-US" w:eastAsia="zh-CN"/>
        </w:rPr>
      </w:pPr>
      <w:bookmarkStart w:id="4" w:name="_Toc16578"/>
      <w:bookmarkStart w:id="5" w:name="_Toc516"/>
      <w:bookmarkStart w:id="6" w:name="_Toc15725"/>
      <w:bookmarkStart w:id="7" w:name="_Toc11958"/>
      <w:r>
        <w:rPr>
          <w:rFonts w:hint="eastAsia" w:ascii="仿宋" w:hAnsi="仿宋" w:eastAsia="仿宋" w:cs="仿宋"/>
          <w:b w:val="0"/>
          <w:bCs/>
          <w:sz w:val="52"/>
          <w:szCs w:val="52"/>
          <w:highlight w:val="none"/>
          <w:lang w:val="en-US" w:eastAsia="zh-CN"/>
        </w:rPr>
        <w:t>销</w:t>
      </w:r>
      <w:bookmarkEnd w:id="4"/>
      <w:bookmarkEnd w:id="5"/>
      <w:bookmarkEnd w:id="6"/>
      <w:bookmarkEnd w:id="7"/>
    </w:p>
    <w:p w14:paraId="436EC44D">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 w:hAnsi="仿宋" w:eastAsia="仿宋" w:cs="仿宋"/>
          <w:b w:val="0"/>
          <w:bCs/>
          <w:sz w:val="52"/>
          <w:szCs w:val="52"/>
          <w:highlight w:val="none"/>
          <w:lang w:val="en-US" w:eastAsia="zh-CN"/>
        </w:rPr>
      </w:pPr>
      <w:bookmarkStart w:id="8" w:name="_Toc14406"/>
      <w:bookmarkStart w:id="9" w:name="_Toc9045"/>
      <w:bookmarkStart w:id="10" w:name="_Toc4020"/>
      <w:bookmarkStart w:id="11" w:name="_Toc16372"/>
      <w:r>
        <w:rPr>
          <w:rFonts w:hint="eastAsia" w:ascii="仿宋" w:hAnsi="仿宋" w:eastAsia="仿宋" w:cs="仿宋"/>
          <w:b w:val="0"/>
          <w:bCs/>
          <w:sz w:val="52"/>
          <w:szCs w:val="52"/>
          <w:highlight w:val="none"/>
          <w:lang w:val="en-US" w:eastAsia="zh-CN"/>
        </w:rPr>
        <w:t>合</w:t>
      </w:r>
      <w:bookmarkEnd w:id="8"/>
      <w:bookmarkEnd w:id="9"/>
      <w:bookmarkEnd w:id="10"/>
      <w:bookmarkEnd w:id="11"/>
    </w:p>
    <w:p w14:paraId="242494F5">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 w:hAnsi="仿宋" w:eastAsia="仿宋" w:cs="仿宋"/>
          <w:b w:val="0"/>
          <w:bCs/>
          <w:sz w:val="52"/>
          <w:szCs w:val="52"/>
          <w:highlight w:val="none"/>
          <w:lang w:val="en-US" w:eastAsia="zh-CN"/>
        </w:rPr>
      </w:pPr>
      <w:bookmarkStart w:id="12" w:name="_Toc9859"/>
      <w:bookmarkStart w:id="13" w:name="_Toc20513"/>
      <w:bookmarkStart w:id="14" w:name="_Toc29668"/>
      <w:bookmarkStart w:id="15" w:name="_Toc2686"/>
      <w:r>
        <w:rPr>
          <w:rFonts w:hint="eastAsia" w:ascii="仿宋" w:hAnsi="仿宋" w:eastAsia="仿宋" w:cs="仿宋"/>
          <w:b w:val="0"/>
          <w:bCs/>
          <w:sz w:val="52"/>
          <w:szCs w:val="52"/>
          <w:highlight w:val="none"/>
          <w:lang w:val="en-US" w:eastAsia="zh-CN"/>
        </w:rPr>
        <w:t>同</w:t>
      </w:r>
      <w:bookmarkEnd w:id="12"/>
      <w:bookmarkEnd w:id="13"/>
      <w:bookmarkEnd w:id="14"/>
      <w:bookmarkEnd w:id="15"/>
    </w:p>
    <w:p w14:paraId="13FCB094">
      <w:pPr>
        <w:jc w:val="both"/>
        <w:rPr>
          <w:rFonts w:hint="eastAsia" w:ascii="仿宋" w:hAnsi="仿宋" w:eastAsia="仿宋" w:cs="仿宋"/>
          <w:highlight w:val="none"/>
          <w:lang w:val="en-US" w:eastAsia="zh-CN"/>
        </w:rPr>
      </w:pPr>
    </w:p>
    <w:p w14:paraId="19824DAA">
      <w:pPr>
        <w:jc w:val="both"/>
        <w:rPr>
          <w:rFonts w:hint="eastAsia" w:ascii="仿宋" w:hAnsi="仿宋" w:eastAsia="仿宋" w:cs="仿宋"/>
          <w:highlight w:val="none"/>
          <w:lang w:val="en-US" w:eastAsia="zh-CN"/>
        </w:rPr>
      </w:pPr>
    </w:p>
    <w:p w14:paraId="69BF9EDE">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28"/>
          <w:szCs w:val="28"/>
          <w:highlight w:val="none"/>
          <w:lang w:val="en-US" w:eastAsia="zh-CN"/>
        </w:rPr>
      </w:pPr>
    </w:p>
    <w:p w14:paraId="597A6DFF">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sz w:val="28"/>
          <w:szCs w:val="28"/>
          <w:highlight w:val="none"/>
          <w:lang w:val="en-US" w:eastAsia="zh-CN"/>
        </w:rPr>
      </w:pPr>
    </w:p>
    <w:p w14:paraId="600C8BD0">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sz w:val="28"/>
          <w:szCs w:val="28"/>
          <w:highlight w:val="none"/>
          <w:u w:val="single"/>
          <w:lang w:val="en-US" w:eastAsia="zh-CN"/>
        </w:rPr>
      </w:pPr>
      <w:r>
        <w:rPr>
          <w:rFonts w:hint="eastAsia" w:ascii="仿宋" w:hAnsi="仿宋" w:eastAsia="仿宋" w:cs="仿宋"/>
          <w:b w:val="0"/>
          <w:bCs w:val="0"/>
          <w:sz w:val="28"/>
          <w:szCs w:val="28"/>
          <w:highlight w:val="none"/>
          <w:lang w:val="en-US" w:eastAsia="zh-CN"/>
        </w:rPr>
        <w:t>合同编号：</w:t>
      </w:r>
    </w:p>
    <w:p w14:paraId="63E33EF9">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sz w:val="28"/>
          <w:szCs w:val="28"/>
          <w:highlight w:val="none"/>
          <w:u w:val="single"/>
          <w:lang w:val="en-US" w:eastAsia="zh-CN"/>
        </w:rPr>
      </w:pPr>
      <w:r>
        <w:rPr>
          <w:rFonts w:hint="eastAsia" w:ascii="仿宋" w:hAnsi="仿宋" w:eastAsia="仿宋" w:cs="仿宋"/>
          <w:b w:val="0"/>
          <w:bCs w:val="0"/>
          <w:sz w:val="28"/>
          <w:szCs w:val="28"/>
          <w:highlight w:val="none"/>
          <w:lang w:val="en-US" w:eastAsia="zh-CN"/>
        </w:rPr>
        <w:t>甲方（需方）：东莞市中泰建安工程有限公司</w:t>
      </w:r>
    </w:p>
    <w:p w14:paraId="5D69191C">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乙方（供方）：</w:t>
      </w:r>
    </w:p>
    <w:p w14:paraId="11B2F296">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签订日期：</w:t>
      </w:r>
      <w:r>
        <w:rPr>
          <w:rFonts w:hint="eastAsia" w:ascii="仿宋" w:hAnsi="仿宋" w:eastAsia="仿宋" w:cs="仿宋"/>
          <w:b w:val="0"/>
          <w:bCs w:val="0"/>
          <w:sz w:val="28"/>
          <w:szCs w:val="28"/>
          <w:highlight w:val="none"/>
          <w:u w:val="single"/>
          <w:lang w:val="en-US" w:eastAsia="zh-CN"/>
        </w:rPr>
        <w:t xml:space="preserve">  2024 </w:t>
      </w:r>
      <w:r>
        <w:rPr>
          <w:rFonts w:hint="eastAsia" w:ascii="仿宋" w:hAnsi="仿宋" w:eastAsia="仿宋" w:cs="仿宋"/>
          <w:b w:val="0"/>
          <w:bCs w:val="0"/>
          <w:sz w:val="28"/>
          <w:szCs w:val="28"/>
          <w:highlight w:val="none"/>
          <w:u w:val="none"/>
          <w:lang w:val="en-US" w:eastAsia="zh-CN"/>
        </w:rPr>
        <w:t>年</w:t>
      </w:r>
      <w:r>
        <w:rPr>
          <w:rFonts w:hint="eastAsia" w:ascii="仿宋" w:hAnsi="仿宋" w:eastAsia="仿宋" w:cs="仿宋"/>
          <w:b w:val="0"/>
          <w:bCs w:val="0"/>
          <w:sz w:val="28"/>
          <w:szCs w:val="28"/>
          <w:highlight w:val="none"/>
          <w:u w:val="single"/>
          <w:lang w:val="en-US" w:eastAsia="zh-CN"/>
        </w:rPr>
        <w:t xml:space="preserve">    </w:t>
      </w:r>
      <w:r>
        <w:rPr>
          <w:rFonts w:hint="eastAsia" w:ascii="仿宋" w:hAnsi="仿宋" w:eastAsia="仿宋" w:cs="仿宋"/>
          <w:b w:val="0"/>
          <w:bCs w:val="0"/>
          <w:sz w:val="28"/>
          <w:szCs w:val="28"/>
          <w:highlight w:val="none"/>
          <w:u w:val="none"/>
          <w:lang w:val="en-US" w:eastAsia="zh-CN"/>
        </w:rPr>
        <w:t>月</w:t>
      </w:r>
      <w:r>
        <w:rPr>
          <w:rFonts w:hint="eastAsia" w:ascii="仿宋" w:hAnsi="仿宋" w:eastAsia="仿宋" w:cs="仿宋"/>
          <w:b w:val="0"/>
          <w:bCs w:val="0"/>
          <w:sz w:val="28"/>
          <w:szCs w:val="28"/>
          <w:highlight w:val="none"/>
          <w:u w:val="single"/>
          <w:lang w:val="en-US" w:eastAsia="zh-CN"/>
        </w:rPr>
        <w:t xml:space="preserve">  </w:t>
      </w:r>
      <w:r>
        <w:rPr>
          <w:rFonts w:hint="eastAsia" w:ascii="仿宋" w:hAnsi="仿宋" w:eastAsia="仿宋" w:cs="仿宋"/>
          <w:b w:val="0"/>
          <w:bCs w:val="0"/>
          <w:sz w:val="28"/>
          <w:szCs w:val="28"/>
          <w:highlight w:val="none"/>
          <w:u w:val="none"/>
          <w:lang w:val="en-US" w:eastAsia="zh-CN"/>
        </w:rPr>
        <w:t>日</w:t>
      </w:r>
    </w:p>
    <w:p w14:paraId="782E573B">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highlight w:val="none"/>
          <w:lang w:val="en-US" w:eastAsia="zh-CN"/>
        </w:rPr>
      </w:pPr>
      <w:r>
        <w:rPr>
          <w:rFonts w:hint="eastAsia" w:ascii="仿宋" w:hAnsi="仿宋" w:eastAsia="仿宋" w:cs="仿宋"/>
          <w:b w:val="0"/>
          <w:bCs w:val="0"/>
          <w:sz w:val="28"/>
          <w:szCs w:val="28"/>
          <w:highlight w:val="none"/>
          <w:u w:val="none"/>
          <w:lang w:val="en-US" w:eastAsia="zh-CN"/>
        </w:rPr>
        <w:t>签订地点：广东东莞。</w:t>
      </w:r>
    </w:p>
    <w:p w14:paraId="08764E3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kern w:val="2"/>
          <w:sz w:val="32"/>
          <w:szCs w:val="32"/>
          <w:highlight w:val="none"/>
          <w:u w:val="none"/>
          <w:lang w:val="en-US" w:eastAsia="zh-CN" w:bidi="ar-SA"/>
        </w:rPr>
        <w:sectPr>
          <w:headerReference r:id="rId3" w:type="default"/>
          <w:footerReference r:id="rId4" w:type="default"/>
          <w:pgSz w:w="11906" w:h="16838"/>
          <w:pgMar w:top="1440" w:right="1247" w:bottom="1440" w:left="1247"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p>
    <w:p w14:paraId="74789149">
      <w:pPr>
        <w:spacing w:before="0" w:beforeLines="0" w:after="0" w:afterLines="0" w:line="240" w:lineRule="auto"/>
        <w:ind w:left="0" w:leftChars="0" w:right="0" w:rightChars="0" w:firstLine="0" w:firstLineChars="0"/>
        <w:jc w:val="center"/>
        <w:rPr>
          <w:sz w:val="32"/>
          <w:szCs w:val="40"/>
          <w:highlight w:val="none"/>
        </w:rPr>
      </w:pPr>
      <w:r>
        <w:rPr>
          <w:rFonts w:ascii="宋体" w:hAnsi="宋体" w:eastAsia="宋体"/>
          <w:sz w:val="32"/>
          <w:szCs w:val="40"/>
          <w:highlight w:val="none"/>
        </w:rPr>
        <w:t>目录</w:t>
      </w:r>
    </w:p>
    <w:p w14:paraId="5DADAF62">
      <w:pPr>
        <w:pStyle w:val="7"/>
        <w:tabs>
          <w:tab w:val="right" w:leader="dot" w:pos="9524"/>
        </w:tabs>
        <w:rPr>
          <w:highlight w:val="none"/>
        </w:rPr>
      </w:pPr>
      <w:r>
        <w:rPr>
          <w:sz w:val="28"/>
          <w:szCs w:val="28"/>
          <w:highlight w:val="none"/>
        </w:rPr>
        <w:fldChar w:fldCharType="begin"/>
      </w:r>
      <w:r>
        <w:rPr>
          <w:sz w:val="28"/>
          <w:szCs w:val="28"/>
          <w:highlight w:val="none"/>
        </w:rPr>
        <w:instrText xml:space="preserve">TOC \o "1-1" \h \u </w:instrText>
      </w:r>
      <w:r>
        <w:rPr>
          <w:sz w:val="28"/>
          <w:szCs w:val="28"/>
          <w:highlight w:val="none"/>
        </w:rPr>
        <w:fldChar w:fldCharType="separate"/>
      </w:r>
    </w:p>
    <w:p w14:paraId="5D02D35E">
      <w:pPr>
        <w:pStyle w:val="7"/>
        <w:tabs>
          <w:tab w:val="right" w:leader="dot" w:pos="9524"/>
        </w:tabs>
        <w:rPr>
          <w:highlight w:val="none"/>
        </w:rPr>
      </w:pPr>
      <w:r>
        <w:rPr>
          <w:szCs w:val="28"/>
          <w:highlight w:val="none"/>
        </w:rPr>
        <w:fldChar w:fldCharType="begin"/>
      </w:r>
      <w:r>
        <w:rPr>
          <w:szCs w:val="28"/>
          <w:highlight w:val="none"/>
        </w:rPr>
        <w:instrText xml:space="preserve"> HYPERLINK \l _Toc11299 </w:instrText>
      </w:r>
      <w:r>
        <w:rPr>
          <w:szCs w:val="28"/>
          <w:highlight w:val="none"/>
        </w:rPr>
        <w:fldChar w:fldCharType="separate"/>
      </w:r>
      <w:r>
        <w:rPr>
          <w:rFonts w:hint="eastAsia" w:ascii="仿宋" w:hAnsi="仿宋" w:eastAsia="仿宋" w:cs="仿宋"/>
          <w:bCs/>
          <w:szCs w:val="28"/>
          <w:highlight w:val="none"/>
          <w:lang w:val="en-US" w:eastAsia="zh-CN"/>
        </w:rPr>
        <w:t>第一章、产品内容及合同价款</w:t>
      </w:r>
      <w:r>
        <w:rPr>
          <w:highlight w:val="none"/>
        </w:rPr>
        <w:tab/>
      </w:r>
      <w:r>
        <w:rPr>
          <w:highlight w:val="none"/>
        </w:rPr>
        <w:fldChar w:fldCharType="begin"/>
      </w:r>
      <w:r>
        <w:rPr>
          <w:highlight w:val="none"/>
        </w:rPr>
        <w:instrText xml:space="preserve"> PAGEREF _Toc11299 \h </w:instrText>
      </w:r>
      <w:r>
        <w:rPr>
          <w:highlight w:val="none"/>
        </w:rPr>
        <w:fldChar w:fldCharType="separate"/>
      </w:r>
      <w:r>
        <w:rPr>
          <w:highlight w:val="none"/>
        </w:rPr>
        <w:t>7</w:t>
      </w:r>
      <w:r>
        <w:rPr>
          <w:highlight w:val="none"/>
        </w:rPr>
        <w:fldChar w:fldCharType="end"/>
      </w:r>
      <w:r>
        <w:rPr>
          <w:szCs w:val="28"/>
          <w:highlight w:val="none"/>
        </w:rPr>
        <w:fldChar w:fldCharType="end"/>
      </w:r>
    </w:p>
    <w:p w14:paraId="1F2D8C0B">
      <w:pPr>
        <w:pStyle w:val="7"/>
        <w:tabs>
          <w:tab w:val="right" w:leader="dot" w:pos="9524"/>
        </w:tabs>
        <w:rPr>
          <w:highlight w:val="none"/>
        </w:rPr>
      </w:pPr>
      <w:r>
        <w:rPr>
          <w:szCs w:val="28"/>
          <w:highlight w:val="none"/>
        </w:rPr>
        <w:fldChar w:fldCharType="begin"/>
      </w:r>
      <w:r>
        <w:rPr>
          <w:szCs w:val="28"/>
          <w:highlight w:val="none"/>
        </w:rPr>
        <w:instrText xml:space="preserve"> HYPERLINK \l _Toc9743 </w:instrText>
      </w:r>
      <w:r>
        <w:rPr>
          <w:szCs w:val="28"/>
          <w:highlight w:val="none"/>
        </w:rPr>
        <w:fldChar w:fldCharType="separate"/>
      </w:r>
      <w:r>
        <w:rPr>
          <w:rFonts w:hint="eastAsia" w:ascii="仿宋" w:hAnsi="仿宋" w:eastAsia="仿宋" w:cs="仿宋"/>
          <w:bCs/>
          <w:szCs w:val="28"/>
          <w:highlight w:val="none"/>
          <w:lang w:val="en-US" w:eastAsia="zh-CN"/>
        </w:rPr>
        <w:t>第二章、计量方法</w:t>
      </w:r>
      <w:r>
        <w:rPr>
          <w:highlight w:val="none"/>
        </w:rPr>
        <w:tab/>
      </w:r>
      <w:r>
        <w:rPr>
          <w:highlight w:val="none"/>
        </w:rPr>
        <w:fldChar w:fldCharType="begin"/>
      </w:r>
      <w:r>
        <w:rPr>
          <w:highlight w:val="none"/>
        </w:rPr>
        <w:instrText xml:space="preserve"> PAGEREF _Toc9743 \h </w:instrText>
      </w:r>
      <w:r>
        <w:rPr>
          <w:highlight w:val="none"/>
        </w:rPr>
        <w:fldChar w:fldCharType="separate"/>
      </w:r>
      <w:r>
        <w:rPr>
          <w:highlight w:val="none"/>
        </w:rPr>
        <w:t>7</w:t>
      </w:r>
      <w:r>
        <w:rPr>
          <w:highlight w:val="none"/>
        </w:rPr>
        <w:fldChar w:fldCharType="end"/>
      </w:r>
      <w:r>
        <w:rPr>
          <w:szCs w:val="28"/>
          <w:highlight w:val="none"/>
        </w:rPr>
        <w:fldChar w:fldCharType="end"/>
      </w:r>
    </w:p>
    <w:p w14:paraId="7398FAD8">
      <w:pPr>
        <w:pStyle w:val="7"/>
        <w:tabs>
          <w:tab w:val="right" w:leader="dot" w:pos="9524"/>
        </w:tabs>
        <w:rPr>
          <w:highlight w:val="none"/>
        </w:rPr>
      </w:pPr>
      <w:r>
        <w:rPr>
          <w:szCs w:val="28"/>
          <w:highlight w:val="none"/>
        </w:rPr>
        <w:fldChar w:fldCharType="begin"/>
      </w:r>
      <w:r>
        <w:rPr>
          <w:szCs w:val="28"/>
          <w:highlight w:val="none"/>
        </w:rPr>
        <w:instrText xml:space="preserve"> HYPERLINK \l _Toc12036 </w:instrText>
      </w:r>
      <w:r>
        <w:rPr>
          <w:szCs w:val="28"/>
          <w:highlight w:val="none"/>
        </w:rPr>
        <w:fldChar w:fldCharType="separate"/>
      </w:r>
      <w:r>
        <w:rPr>
          <w:rFonts w:hint="eastAsia" w:ascii="仿宋" w:hAnsi="仿宋" w:eastAsia="仿宋" w:cs="仿宋"/>
          <w:bCs/>
          <w:szCs w:val="28"/>
          <w:highlight w:val="none"/>
          <w:lang w:val="en-US" w:eastAsia="zh-CN"/>
        </w:rPr>
        <w:t>第三章、付款方式</w:t>
      </w:r>
      <w:r>
        <w:rPr>
          <w:highlight w:val="none"/>
        </w:rPr>
        <w:tab/>
      </w:r>
      <w:r>
        <w:rPr>
          <w:highlight w:val="none"/>
        </w:rPr>
        <w:fldChar w:fldCharType="begin"/>
      </w:r>
      <w:r>
        <w:rPr>
          <w:highlight w:val="none"/>
        </w:rPr>
        <w:instrText xml:space="preserve"> PAGEREF _Toc12036 \h </w:instrText>
      </w:r>
      <w:r>
        <w:rPr>
          <w:highlight w:val="none"/>
        </w:rPr>
        <w:fldChar w:fldCharType="separate"/>
      </w:r>
      <w:r>
        <w:rPr>
          <w:highlight w:val="none"/>
        </w:rPr>
        <w:t>9</w:t>
      </w:r>
      <w:r>
        <w:rPr>
          <w:highlight w:val="none"/>
        </w:rPr>
        <w:fldChar w:fldCharType="end"/>
      </w:r>
      <w:r>
        <w:rPr>
          <w:szCs w:val="28"/>
          <w:highlight w:val="none"/>
        </w:rPr>
        <w:fldChar w:fldCharType="end"/>
      </w:r>
    </w:p>
    <w:p w14:paraId="105AE0EE">
      <w:pPr>
        <w:pStyle w:val="7"/>
        <w:tabs>
          <w:tab w:val="right" w:leader="dot" w:pos="9524"/>
        </w:tabs>
        <w:rPr>
          <w:highlight w:val="none"/>
        </w:rPr>
      </w:pPr>
      <w:r>
        <w:rPr>
          <w:szCs w:val="28"/>
          <w:highlight w:val="none"/>
        </w:rPr>
        <w:fldChar w:fldCharType="begin"/>
      </w:r>
      <w:r>
        <w:rPr>
          <w:szCs w:val="28"/>
          <w:highlight w:val="none"/>
        </w:rPr>
        <w:instrText xml:space="preserve"> HYPERLINK \l _Toc21482 </w:instrText>
      </w:r>
      <w:r>
        <w:rPr>
          <w:szCs w:val="28"/>
          <w:highlight w:val="none"/>
        </w:rPr>
        <w:fldChar w:fldCharType="separate"/>
      </w:r>
      <w:r>
        <w:rPr>
          <w:rFonts w:hint="eastAsia" w:ascii="仿宋" w:hAnsi="仿宋" w:eastAsia="仿宋" w:cs="仿宋"/>
          <w:bCs/>
          <w:szCs w:val="28"/>
          <w:highlight w:val="none"/>
          <w:lang w:eastAsia="zh-CN"/>
        </w:rPr>
        <w:t>第六章、</w:t>
      </w:r>
      <w:r>
        <w:rPr>
          <w:rFonts w:hint="eastAsia" w:ascii="仿宋" w:hAnsi="仿宋" w:eastAsia="仿宋" w:cs="仿宋"/>
          <w:bCs/>
          <w:szCs w:val="28"/>
          <w:highlight w:val="none"/>
          <w:lang w:val="en-US" w:eastAsia="zh-CN"/>
        </w:rPr>
        <w:t>质保</w:t>
      </w:r>
      <w:r>
        <w:rPr>
          <w:highlight w:val="none"/>
        </w:rPr>
        <w:tab/>
      </w:r>
      <w:r>
        <w:rPr>
          <w:highlight w:val="none"/>
        </w:rPr>
        <w:fldChar w:fldCharType="begin"/>
      </w:r>
      <w:r>
        <w:rPr>
          <w:highlight w:val="none"/>
        </w:rPr>
        <w:instrText xml:space="preserve"> PAGEREF _Toc21482 \h </w:instrText>
      </w:r>
      <w:r>
        <w:rPr>
          <w:highlight w:val="none"/>
        </w:rPr>
        <w:fldChar w:fldCharType="separate"/>
      </w:r>
      <w:r>
        <w:rPr>
          <w:highlight w:val="none"/>
        </w:rPr>
        <w:t>18</w:t>
      </w:r>
      <w:r>
        <w:rPr>
          <w:highlight w:val="none"/>
        </w:rPr>
        <w:fldChar w:fldCharType="end"/>
      </w:r>
      <w:r>
        <w:rPr>
          <w:szCs w:val="28"/>
          <w:highlight w:val="none"/>
        </w:rPr>
        <w:fldChar w:fldCharType="end"/>
      </w:r>
    </w:p>
    <w:p w14:paraId="6670FE24">
      <w:pPr>
        <w:pStyle w:val="7"/>
        <w:tabs>
          <w:tab w:val="right" w:leader="dot" w:pos="9524"/>
        </w:tabs>
        <w:rPr>
          <w:highlight w:val="none"/>
        </w:rPr>
      </w:pPr>
      <w:r>
        <w:rPr>
          <w:szCs w:val="28"/>
          <w:highlight w:val="none"/>
        </w:rPr>
        <w:fldChar w:fldCharType="begin"/>
      </w:r>
      <w:r>
        <w:rPr>
          <w:szCs w:val="28"/>
          <w:highlight w:val="none"/>
        </w:rPr>
        <w:instrText xml:space="preserve"> HYPERLINK \l _Toc31251 </w:instrText>
      </w:r>
      <w:r>
        <w:rPr>
          <w:szCs w:val="28"/>
          <w:highlight w:val="none"/>
        </w:rPr>
        <w:fldChar w:fldCharType="separate"/>
      </w:r>
      <w:r>
        <w:rPr>
          <w:rFonts w:hint="eastAsia" w:ascii="仿宋" w:hAnsi="仿宋" w:eastAsia="仿宋" w:cs="仿宋"/>
          <w:bCs/>
          <w:szCs w:val="28"/>
          <w:highlight w:val="none"/>
          <w:lang w:val="en-US" w:eastAsia="zh-CN"/>
        </w:rPr>
        <w:t>第七章、双方责任</w:t>
      </w:r>
      <w:r>
        <w:rPr>
          <w:highlight w:val="none"/>
        </w:rPr>
        <w:tab/>
      </w:r>
      <w:r>
        <w:rPr>
          <w:highlight w:val="none"/>
        </w:rPr>
        <w:fldChar w:fldCharType="begin"/>
      </w:r>
      <w:r>
        <w:rPr>
          <w:highlight w:val="none"/>
        </w:rPr>
        <w:instrText xml:space="preserve"> PAGEREF _Toc31251 \h </w:instrText>
      </w:r>
      <w:r>
        <w:rPr>
          <w:highlight w:val="none"/>
        </w:rPr>
        <w:fldChar w:fldCharType="separate"/>
      </w:r>
      <w:r>
        <w:rPr>
          <w:highlight w:val="none"/>
        </w:rPr>
        <w:t>19</w:t>
      </w:r>
      <w:r>
        <w:rPr>
          <w:highlight w:val="none"/>
        </w:rPr>
        <w:fldChar w:fldCharType="end"/>
      </w:r>
      <w:r>
        <w:rPr>
          <w:szCs w:val="28"/>
          <w:highlight w:val="none"/>
        </w:rPr>
        <w:fldChar w:fldCharType="end"/>
      </w:r>
    </w:p>
    <w:p w14:paraId="423B8127">
      <w:pPr>
        <w:pStyle w:val="7"/>
        <w:tabs>
          <w:tab w:val="right" w:leader="dot" w:pos="9524"/>
        </w:tabs>
        <w:rPr>
          <w:highlight w:val="none"/>
        </w:rPr>
      </w:pPr>
      <w:r>
        <w:rPr>
          <w:szCs w:val="28"/>
          <w:highlight w:val="none"/>
        </w:rPr>
        <w:fldChar w:fldCharType="begin"/>
      </w:r>
      <w:r>
        <w:rPr>
          <w:szCs w:val="28"/>
          <w:highlight w:val="none"/>
        </w:rPr>
        <w:instrText xml:space="preserve"> HYPERLINK \l _Toc3195 </w:instrText>
      </w:r>
      <w:r>
        <w:rPr>
          <w:szCs w:val="28"/>
          <w:highlight w:val="none"/>
        </w:rPr>
        <w:fldChar w:fldCharType="separate"/>
      </w:r>
      <w:r>
        <w:rPr>
          <w:rFonts w:hint="eastAsia" w:ascii="仿宋" w:hAnsi="仿宋" w:eastAsia="仿宋" w:cs="仿宋"/>
          <w:bCs/>
          <w:szCs w:val="28"/>
          <w:highlight w:val="none"/>
          <w:lang w:eastAsia="zh-CN"/>
        </w:rPr>
        <w:t>第八章、廉洁条款</w:t>
      </w:r>
      <w:r>
        <w:rPr>
          <w:highlight w:val="none"/>
        </w:rPr>
        <w:tab/>
      </w:r>
      <w:r>
        <w:rPr>
          <w:highlight w:val="none"/>
        </w:rPr>
        <w:fldChar w:fldCharType="begin"/>
      </w:r>
      <w:r>
        <w:rPr>
          <w:highlight w:val="none"/>
        </w:rPr>
        <w:instrText xml:space="preserve"> PAGEREF _Toc3195 \h </w:instrText>
      </w:r>
      <w:r>
        <w:rPr>
          <w:highlight w:val="none"/>
        </w:rPr>
        <w:fldChar w:fldCharType="separate"/>
      </w:r>
      <w:r>
        <w:rPr>
          <w:highlight w:val="none"/>
        </w:rPr>
        <w:t>26</w:t>
      </w:r>
      <w:r>
        <w:rPr>
          <w:highlight w:val="none"/>
        </w:rPr>
        <w:fldChar w:fldCharType="end"/>
      </w:r>
      <w:r>
        <w:rPr>
          <w:szCs w:val="28"/>
          <w:highlight w:val="none"/>
        </w:rPr>
        <w:fldChar w:fldCharType="end"/>
      </w:r>
    </w:p>
    <w:p w14:paraId="052FB6A6">
      <w:pPr>
        <w:pStyle w:val="7"/>
        <w:tabs>
          <w:tab w:val="right" w:leader="dot" w:pos="9524"/>
        </w:tabs>
        <w:rPr>
          <w:highlight w:val="none"/>
        </w:rPr>
      </w:pPr>
      <w:r>
        <w:rPr>
          <w:szCs w:val="28"/>
          <w:highlight w:val="none"/>
        </w:rPr>
        <w:fldChar w:fldCharType="begin"/>
      </w:r>
      <w:r>
        <w:rPr>
          <w:szCs w:val="28"/>
          <w:highlight w:val="none"/>
        </w:rPr>
        <w:instrText xml:space="preserve"> HYPERLINK \l _Toc15438 </w:instrText>
      </w:r>
      <w:r>
        <w:rPr>
          <w:szCs w:val="28"/>
          <w:highlight w:val="none"/>
        </w:rPr>
        <w:fldChar w:fldCharType="separate"/>
      </w:r>
      <w:r>
        <w:rPr>
          <w:rFonts w:hint="eastAsia" w:ascii="仿宋" w:hAnsi="仿宋" w:eastAsia="仿宋" w:cs="仿宋"/>
          <w:bCs/>
          <w:szCs w:val="28"/>
          <w:highlight w:val="none"/>
          <w:lang w:val="en-US" w:eastAsia="zh-CN"/>
        </w:rPr>
        <w:t>第九章、其他</w:t>
      </w:r>
      <w:r>
        <w:rPr>
          <w:highlight w:val="none"/>
        </w:rPr>
        <w:tab/>
      </w:r>
      <w:r>
        <w:rPr>
          <w:highlight w:val="none"/>
        </w:rPr>
        <w:fldChar w:fldCharType="begin"/>
      </w:r>
      <w:r>
        <w:rPr>
          <w:highlight w:val="none"/>
        </w:rPr>
        <w:instrText xml:space="preserve"> PAGEREF _Toc15438 \h </w:instrText>
      </w:r>
      <w:r>
        <w:rPr>
          <w:highlight w:val="none"/>
        </w:rPr>
        <w:fldChar w:fldCharType="separate"/>
      </w:r>
      <w:r>
        <w:rPr>
          <w:highlight w:val="none"/>
        </w:rPr>
        <w:t>26</w:t>
      </w:r>
      <w:r>
        <w:rPr>
          <w:highlight w:val="none"/>
        </w:rPr>
        <w:fldChar w:fldCharType="end"/>
      </w:r>
      <w:r>
        <w:rPr>
          <w:szCs w:val="28"/>
          <w:highlight w:val="none"/>
        </w:rPr>
        <w:fldChar w:fldCharType="end"/>
      </w:r>
    </w:p>
    <w:p w14:paraId="6BC331E0">
      <w:pPr>
        <w:pStyle w:val="7"/>
        <w:tabs>
          <w:tab w:val="right" w:leader="dot" w:pos="9524"/>
        </w:tabs>
        <w:rPr>
          <w:highlight w:val="none"/>
        </w:rPr>
      </w:pPr>
    </w:p>
    <w:p w14:paraId="5AF2C47C">
      <w:pPr>
        <w:rPr>
          <w:highlight w:val="none"/>
        </w:rPr>
      </w:pPr>
      <w:r>
        <w:rPr>
          <w:szCs w:val="28"/>
          <w:highlight w:val="none"/>
        </w:rPr>
        <w:fldChar w:fldCharType="end"/>
      </w:r>
    </w:p>
    <w:p w14:paraId="7AD5E380">
      <w:pPr>
        <w:pStyle w:val="7"/>
        <w:tabs>
          <w:tab w:val="right" w:leader="dot" w:pos="9524"/>
        </w:tabs>
        <w:rPr>
          <w:highlight w:val="none"/>
        </w:rPr>
      </w:pP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TOC \o "1-1" \h \u </w:instrText>
      </w:r>
      <w:r>
        <w:rPr>
          <w:rFonts w:hint="eastAsia" w:ascii="仿宋" w:hAnsi="仿宋" w:eastAsia="仿宋" w:cs="仿宋"/>
          <w:sz w:val="28"/>
          <w:szCs w:val="28"/>
          <w:highlight w:val="none"/>
          <w:lang w:val="en-US" w:eastAsia="zh-CN"/>
        </w:rPr>
        <w:fldChar w:fldCharType="separate"/>
      </w:r>
    </w:p>
    <w:p w14:paraId="05F832A2">
      <w:pPr>
        <w:pStyle w:val="7"/>
        <w:tabs>
          <w:tab w:val="right" w:leader="dot" w:pos="9524"/>
        </w:tabs>
        <w:rPr>
          <w:highlight w:val="none"/>
        </w:rPr>
      </w:pPr>
    </w:p>
    <w:p w14:paraId="09861354">
      <w:pPr>
        <w:spacing w:line="600" w:lineRule="auto"/>
        <w:ind w:firstLine="420" w:firstLineChars="200"/>
        <w:rPr>
          <w:rFonts w:hint="eastAsia" w:ascii="仿宋" w:hAnsi="仿宋" w:eastAsia="仿宋" w:cs="仿宋"/>
          <w:sz w:val="28"/>
          <w:szCs w:val="28"/>
          <w:highlight w:val="none"/>
          <w:lang w:val="en-US" w:eastAsia="zh-CN"/>
        </w:rPr>
      </w:pPr>
      <w:r>
        <w:rPr>
          <w:rFonts w:hint="eastAsia" w:ascii="仿宋" w:hAnsi="仿宋" w:eastAsia="仿宋" w:cs="仿宋"/>
          <w:szCs w:val="28"/>
          <w:highlight w:val="none"/>
          <w:lang w:val="en-US" w:eastAsia="zh-CN"/>
        </w:rPr>
        <w:fldChar w:fldCharType="end"/>
      </w:r>
    </w:p>
    <w:p w14:paraId="1B40EE5A">
      <w:pPr>
        <w:ind w:firstLine="560" w:firstLineChars="200"/>
        <w:rPr>
          <w:rFonts w:hint="eastAsia" w:ascii="仿宋" w:hAnsi="仿宋" w:eastAsia="仿宋" w:cs="仿宋"/>
          <w:sz w:val="28"/>
          <w:szCs w:val="28"/>
          <w:highlight w:val="none"/>
          <w:lang w:val="en-US" w:eastAsia="zh-CN"/>
        </w:rPr>
      </w:pPr>
    </w:p>
    <w:p w14:paraId="656C22FF">
      <w:pPr>
        <w:ind w:firstLine="560" w:firstLineChars="200"/>
        <w:rPr>
          <w:rFonts w:hint="eastAsia" w:ascii="仿宋" w:hAnsi="仿宋" w:eastAsia="仿宋" w:cs="仿宋"/>
          <w:sz w:val="28"/>
          <w:szCs w:val="28"/>
          <w:highlight w:val="none"/>
          <w:lang w:val="en-US" w:eastAsia="zh-CN"/>
        </w:rPr>
      </w:pPr>
    </w:p>
    <w:p w14:paraId="77FFE29D">
      <w:pPr>
        <w:ind w:firstLine="560" w:firstLineChars="200"/>
        <w:rPr>
          <w:rFonts w:hint="eastAsia" w:ascii="仿宋" w:hAnsi="仿宋" w:eastAsia="仿宋" w:cs="仿宋"/>
          <w:sz w:val="28"/>
          <w:szCs w:val="28"/>
          <w:highlight w:val="none"/>
          <w:lang w:val="en-US" w:eastAsia="zh-CN"/>
        </w:rPr>
      </w:pPr>
    </w:p>
    <w:p w14:paraId="6DFEB764">
      <w:pPr>
        <w:ind w:firstLine="560" w:firstLineChars="200"/>
        <w:rPr>
          <w:rFonts w:hint="eastAsia" w:ascii="仿宋" w:hAnsi="仿宋" w:eastAsia="仿宋" w:cs="仿宋"/>
          <w:sz w:val="28"/>
          <w:szCs w:val="28"/>
          <w:highlight w:val="none"/>
          <w:lang w:val="en-US" w:eastAsia="zh-CN"/>
        </w:rPr>
      </w:pPr>
    </w:p>
    <w:p w14:paraId="73BC3FD4">
      <w:pPr>
        <w:ind w:firstLine="560" w:firstLineChars="200"/>
        <w:rPr>
          <w:rFonts w:hint="eastAsia" w:ascii="仿宋" w:hAnsi="仿宋" w:eastAsia="仿宋" w:cs="仿宋"/>
          <w:sz w:val="28"/>
          <w:szCs w:val="28"/>
          <w:highlight w:val="none"/>
          <w:lang w:val="en-US" w:eastAsia="zh-CN"/>
        </w:rPr>
      </w:pPr>
    </w:p>
    <w:p w14:paraId="358235D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甲、乙双方在平等、自愿、公平和诚实信用的原则上，依据《中华人民共和国民法典》《中华人民共和国产品质量法》及其他有关法律法规，就拟用于</w:t>
      </w:r>
      <w:r>
        <w:rPr>
          <w:rFonts w:hint="eastAsia" w:ascii="仿宋" w:hAnsi="仿宋" w:eastAsia="仿宋" w:cs="仿宋"/>
          <w:sz w:val="28"/>
          <w:szCs w:val="28"/>
          <w:highlight w:val="none"/>
          <w:u w:val="single"/>
          <w:lang w:val="en-US" w:eastAsia="zh-CN"/>
        </w:rPr>
        <w:t>南京现代表面处理科技产业中心项目A地块</w:t>
      </w:r>
      <w:r>
        <w:rPr>
          <w:rFonts w:hint="eastAsia" w:ascii="仿宋" w:hAnsi="仿宋" w:eastAsia="仿宋" w:cs="仿宋"/>
          <w:sz w:val="28"/>
          <w:szCs w:val="28"/>
          <w:highlight w:val="none"/>
          <w:lang w:val="en-US" w:eastAsia="zh-CN"/>
        </w:rPr>
        <w:t>（以下简称“本项目”）的</w:t>
      </w:r>
      <w:r>
        <w:rPr>
          <w:rFonts w:hint="eastAsia" w:ascii="仿宋" w:hAnsi="仿宋" w:eastAsia="仿宋" w:cs="仿宋"/>
          <w:sz w:val="28"/>
          <w:szCs w:val="28"/>
          <w:highlight w:val="none"/>
          <w:u w:val="single"/>
          <w:lang w:val="en-US" w:eastAsia="zh-CN"/>
        </w:rPr>
        <w:t>商品混凝土</w:t>
      </w:r>
      <w:r>
        <w:rPr>
          <w:rFonts w:hint="eastAsia" w:ascii="仿宋" w:hAnsi="仿宋" w:eastAsia="仿宋" w:cs="仿宋"/>
          <w:sz w:val="28"/>
          <w:szCs w:val="28"/>
          <w:highlight w:val="none"/>
          <w:lang w:val="en-US" w:eastAsia="zh-CN"/>
        </w:rPr>
        <w:t>（以下简称“产品”） 购销事宜协商一致，特签订本合同。（本合同范围内，对以</w:t>
      </w:r>
      <w:r>
        <w:rPr>
          <w:rFonts w:hint="eastAsia" w:ascii="仿宋" w:hAnsi="仿宋" w:eastAsia="仿宋" w:cs="仿宋"/>
          <w:sz w:val="28"/>
          <w:szCs w:val="28"/>
          <w:highlight w:val="none"/>
          <w:lang w:val="en-US" w:eastAsia="zh-CN"/>
        </w:rPr>
        <w:sym w:font="Wingdings" w:char="00A8"/>
      </w:r>
      <w:r>
        <w:rPr>
          <w:rFonts w:hint="eastAsia" w:ascii="仿宋" w:hAnsi="仿宋" w:eastAsia="仿宋" w:cs="仿宋"/>
          <w:sz w:val="28"/>
          <w:szCs w:val="28"/>
          <w:highlight w:val="none"/>
          <w:lang w:val="en-US" w:eastAsia="zh-CN"/>
        </w:rPr>
        <w:t>或</w:t>
      </w:r>
      <w:r>
        <w:rPr>
          <w:rFonts w:hint="eastAsia" w:ascii="仿宋" w:hAnsi="仿宋" w:eastAsia="仿宋" w:cs="仿宋"/>
          <w:sz w:val="28"/>
          <w:szCs w:val="28"/>
          <w:highlight w:val="none"/>
          <w:lang w:val="en-US" w:eastAsia="zh-CN"/>
        </w:rPr>
        <w:sym w:font="Wingdings" w:char="00FE"/>
      </w:r>
      <w:r>
        <w:rPr>
          <w:rFonts w:hint="eastAsia" w:ascii="仿宋" w:hAnsi="仿宋" w:eastAsia="仿宋" w:cs="仿宋"/>
          <w:sz w:val="28"/>
          <w:szCs w:val="28"/>
          <w:highlight w:val="none"/>
          <w:lang w:val="en-US" w:eastAsia="zh-CN"/>
        </w:rPr>
        <w:t>开头的内容，以</w:t>
      </w:r>
      <w:r>
        <w:rPr>
          <w:rFonts w:hint="eastAsia" w:ascii="仿宋" w:hAnsi="仿宋" w:eastAsia="仿宋" w:cs="仿宋"/>
          <w:sz w:val="28"/>
          <w:szCs w:val="28"/>
          <w:highlight w:val="none"/>
          <w:lang w:val="en-US" w:eastAsia="zh-CN"/>
        </w:rPr>
        <w:sym w:font="Wingdings" w:char="00FE"/>
      </w:r>
      <w:r>
        <w:rPr>
          <w:rFonts w:hint="eastAsia" w:ascii="仿宋" w:hAnsi="仿宋" w:eastAsia="仿宋" w:cs="仿宋"/>
          <w:sz w:val="28"/>
          <w:szCs w:val="28"/>
          <w:highlight w:val="none"/>
          <w:lang w:val="en-US" w:eastAsia="zh-CN"/>
        </w:rPr>
        <w:t>开头的内容为准。）</w:t>
      </w:r>
    </w:p>
    <w:p w14:paraId="24FA6612">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
          <w:bCs/>
          <w:sz w:val="28"/>
          <w:szCs w:val="28"/>
          <w:highlight w:val="none"/>
          <w:lang w:val="en-US" w:eastAsia="zh-CN"/>
        </w:rPr>
      </w:pPr>
      <w:bookmarkStart w:id="16" w:name="_Toc20142"/>
      <w:bookmarkStart w:id="17" w:name="_Toc2019"/>
      <w:bookmarkStart w:id="18" w:name="_Toc11299"/>
      <w:bookmarkStart w:id="19" w:name="_Toc30517"/>
      <w:bookmarkStart w:id="20" w:name="_Toc5311"/>
      <w:bookmarkStart w:id="21" w:name="_Toc26009"/>
      <w:r>
        <w:rPr>
          <w:rFonts w:hint="eastAsia" w:ascii="仿宋" w:hAnsi="仿宋" w:eastAsia="仿宋" w:cs="仿宋"/>
          <w:b/>
          <w:bCs/>
          <w:sz w:val="28"/>
          <w:szCs w:val="28"/>
          <w:highlight w:val="none"/>
          <w:lang w:val="en-US" w:eastAsia="zh-CN"/>
        </w:rPr>
        <w:t>第一章、产品内容及合同价款</w:t>
      </w:r>
      <w:bookmarkEnd w:id="16"/>
      <w:bookmarkEnd w:id="17"/>
      <w:bookmarkEnd w:id="18"/>
      <w:r>
        <w:rPr>
          <w:rFonts w:hint="eastAsia" w:ascii="仿宋" w:hAnsi="仿宋" w:eastAsia="仿宋" w:cs="仿宋"/>
          <w:b/>
          <w:bCs/>
          <w:sz w:val="28"/>
          <w:szCs w:val="28"/>
          <w:highlight w:val="none"/>
          <w:lang w:val="en-US" w:eastAsia="zh-CN"/>
        </w:rPr>
        <w:tab/>
      </w:r>
      <w:bookmarkEnd w:id="19"/>
      <w:bookmarkEnd w:id="20"/>
      <w:bookmarkEnd w:id="21"/>
    </w:p>
    <w:p w14:paraId="517620AC">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1.1本合同为固定单价合同，合同单价详见附件《报价清单》。</w:t>
      </w:r>
    </w:p>
    <w:p w14:paraId="31F5AC3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合同单价含材料原价、材料运杂费、运输费、损耗费、采购保管费等运至施工现场的各项费用</w:t>
      </w:r>
      <w:r>
        <w:rPr>
          <w:rFonts w:hint="eastAsia" w:ascii="仿宋" w:hAnsi="仿宋" w:eastAsia="仿宋" w:cs="仿宋"/>
          <w:sz w:val="28"/>
          <w:szCs w:val="28"/>
          <w:highlight w:val="none"/>
          <w:lang w:val="en-US" w:eastAsia="zh-CN"/>
        </w:rPr>
        <w:t>和</w:t>
      </w:r>
      <w:r>
        <w:rPr>
          <w:rFonts w:hint="eastAsia" w:ascii="仿宋" w:hAnsi="仿宋" w:eastAsia="仿宋" w:cs="仿宋"/>
          <w:color w:val="auto"/>
          <w:sz w:val="28"/>
          <w:szCs w:val="28"/>
          <w:highlight w:val="none"/>
          <w:lang w:eastAsia="zh-CN"/>
        </w:rPr>
        <w:t>人工费、泵送机械设备费及进退场费(来、回车费)、燃油费、司机劳务费、维修费</w:t>
      </w:r>
      <w:r>
        <w:rPr>
          <w:rFonts w:hint="eastAsia" w:ascii="仿宋" w:hAnsi="仿宋" w:eastAsia="仿宋" w:cs="仿宋"/>
          <w:sz w:val="28"/>
          <w:szCs w:val="28"/>
          <w:highlight w:val="none"/>
        </w:rPr>
        <w:t>，也包含税金、提供检验检测所需材料费（数量按当地送检取样要求)、检验检测费(材料移交甲方前的所有检验检测费用，检验检测结果须符合工程所在地政府主管部门要求)、装卸费、风险费、保险费、利润、管理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税金</w:t>
      </w:r>
      <w:r>
        <w:rPr>
          <w:rFonts w:hint="eastAsia" w:ascii="仿宋" w:hAnsi="仿宋" w:eastAsia="仿宋" w:cs="仿宋"/>
          <w:sz w:val="28"/>
          <w:szCs w:val="28"/>
          <w:highlight w:val="none"/>
        </w:rPr>
        <w:t>等承担合同义务、责任、风险所涉及的全部费用。</w:t>
      </w:r>
      <w:r>
        <w:rPr>
          <w:rFonts w:hint="eastAsia" w:ascii="仿宋" w:hAnsi="仿宋" w:eastAsia="仿宋" w:cs="仿宋"/>
          <w:sz w:val="28"/>
          <w:szCs w:val="28"/>
          <w:highlight w:val="none"/>
          <w:lang w:val="en-US" w:eastAsia="zh-CN"/>
        </w:rPr>
        <w:t>乙方</w:t>
      </w:r>
      <w:r>
        <w:rPr>
          <w:rFonts w:hint="eastAsia" w:ascii="仿宋" w:hAnsi="仿宋" w:eastAsia="仿宋" w:cs="仿宋"/>
          <w:sz w:val="28"/>
          <w:szCs w:val="28"/>
          <w:highlight w:val="none"/>
        </w:rPr>
        <w:t>开具税率</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的增值税专用</w:t>
      </w:r>
      <w:r>
        <w:rPr>
          <w:rFonts w:hint="eastAsia" w:ascii="仿宋" w:hAnsi="仿宋" w:eastAsia="仿宋" w:cs="仿宋"/>
          <w:color w:val="auto"/>
          <w:sz w:val="28"/>
          <w:szCs w:val="28"/>
          <w:highlight w:val="none"/>
          <w:lang w:val="en-US" w:eastAsia="zh-CN"/>
        </w:rPr>
        <w:t>发票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税率按国家政策执行，</w:t>
      </w:r>
      <w:r>
        <w:rPr>
          <w:rFonts w:hint="eastAsia" w:ascii="仿宋" w:hAnsi="仿宋" w:eastAsia="仿宋" w:cs="仿宋"/>
          <w:color w:val="auto"/>
          <w:sz w:val="28"/>
          <w:szCs w:val="28"/>
          <w:highlight w:val="none"/>
          <w:lang w:eastAsia="zh-CN"/>
        </w:rPr>
        <w:t>如</w:t>
      </w:r>
      <w:r>
        <w:rPr>
          <w:rFonts w:hint="eastAsia" w:ascii="仿宋" w:hAnsi="仿宋" w:eastAsia="仿宋" w:cs="仿宋"/>
          <w:color w:val="auto"/>
          <w:sz w:val="28"/>
          <w:szCs w:val="28"/>
          <w:highlight w:val="none"/>
          <w:lang w:val="en-US" w:eastAsia="zh-CN"/>
        </w:rPr>
        <w:t>税率</w:t>
      </w:r>
      <w:r>
        <w:rPr>
          <w:rFonts w:hint="eastAsia" w:ascii="仿宋" w:hAnsi="仿宋" w:eastAsia="仿宋" w:cs="仿宋"/>
          <w:color w:val="auto"/>
          <w:sz w:val="28"/>
          <w:szCs w:val="28"/>
          <w:highlight w:val="none"/>
          <w:lang w:eastAsia="zh-CN"/>
        </w:rPr>
        <w:t>调整，</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单价随之调整</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除合同另有约定外</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lang w:eastAsia="zh-CN"/>
        </w:rPr>
        <w:t>单价</w:t>
      </w:r>
      <w:r>
        <w:rPr>
          <w:rFonts w:hint="eastAsia" w:ascii="仿宋" w:hAnsi="仿宋" w:eastAsia="仿宋" w:cs="仿宋"/>
          <w:color w:val="auto"/>
          <w:sz w:val="28"/>
          <w:szCs w:val="28"/>
          <w:highlight w:val="none"/>
        </w:rPr>
        <w:t>不</w:t>
      </w:r>
      <w:r>
        <w:rPr>
          <w:rFonts w:hint="eastAsia" w:ascii="仿宋" w:hAnsi="仿宋" w:eastAsia="仿宋" w:cs="仿宋"/>
          <w:color w:val="auto"/>
          <w:sz w:val="28"/>
          <w:szCs w:val="28"/>
          <w:highlight w:val="none"/>
          <w:lang w:eastAsia="zh-CN"/>
        </w:rPr>
        <w:t>作</w:t>
      </w:r>
      <w:r>
        <w:rPr>
          <w:rFonts w:hint="eastAsia" w:ascii="仿宋" w:hAnsi="仿宋" w:eastAsia="仿宋" w:cs="仿宋"/>
          <w:color w:val="auto"/>
          <w:sz w:val="28"/>
          <w:szCs w:val="28"/>
          <w:highlight w:val="none"/>
        </w:rPr>
        <w:t>任何调整</w:t>
      </w:r>
      <w:r>
        <w:rPr>
          <w:rFonts w:hint="eastAsia" w:ascii="仿宋" w:hAnsi="仿宋" w:eastAsia="仿宋" w:cs="仿宋"/>
          <w:color w:val="auto"/>
          <w:sz w:val="28"/>
          <w:szCs w:val="28"/>
          <w:highlight w:val="none"/>
          <w:lang w:eastAsia="zh-CN"/>
        </w:rPr>
        <w:t>。</w:t>
      </w:r>
    </w:p>
    <w:p w14:paraId="51D59B4B">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乙方的送货数量由甲方决定，乙方无条件配合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附件《报价清单》的</w:t>
      </w:r>
      <w:r>
        <w:rPr>
          <w:rFonts w:hint="eastAsia" w:ascii="仿宋" w:hAnsi="仿宋" w:eastAsia="仿宋" w:cs="仿宋"/>
          <w:color w:val="auto"/>
          <w:sz w:val="28"/>
          <w:szCs w:val="28"/>
          <w:highlight w:val="none"/>
          <w:lang w:eastAsia="zh-CN"/>
        </w:rPr>
        <w:t>数量仅作参考，不作为结算依据。</w:t>
      </w:r>
      <w:r>
        <w:rPr>
          <w:rFonts w:hint="eastAsia" w:ascii="仿宋" w:hAnsi="仿宋" w:eastAsia="仿宋" w:cs="仿宋"/>
          <w:color w:val="auto"/>
          <w:sz w:val="28"/>
          <w:szCs w:val="28"/>
          <w:highlight w:val="none"/>
        </w:rPr>
        <w:t>产品购销数量按甲方实际</w:t>
      </w:r>
      <w:r>
        <w:rPr>
          <w:rFonts w:hint="eastAsia" w:ascii="仿宋" w:hAnsi="仿宋" w:eastAsia="仿宋" w:cs="仿宋"/>
          <w:color w:val="auto"/>
          <w:sz w:val="28"/>
          <w:szCs w:val="28"/>
          <w:highlight w:val="none"/>
          <w:lang w:val="en-US" w:eastAsia="zh-CN"/>
        </w:rPr>
        <w:t>接收并</w:t>
      </w:r>
      <w:r>
        <w:rPr>
          <w:rFonts w:hint="eastAsia" w:ascii="仿宋" w:hAnsi="仿宋" w:eastAsia="仿宋" w:cs="仿宋"/>
          <w:color w:val="auto"/>
          <w:sz w:val="28"/>
          <w:szCs w:val="28"/>
          <w:highlight w:val="none"/>
        </w:rPr>
        <w:t>验收合格的数量结算</w:t>
      </w:r>
      <w:r>
        <w:rPr>
          <w:rFonts w:hint="eastAsia" w:ascii="仿宋" w:hAnsi="仿宋" w:eastAsia="仿宋" w:cs="仿宋"/>
          <w:color w:val="auto"/>
          <w:sz w:val="28"/>
          <w:szCs w:val="28"/>
          <w:highlight w:val="none"/>
          <w:lang w:eastAsia="zh-CN"/>
        </w:rPr>
        <w:t>。</w:t>
      </w:r>
    </w:p>
    <w:p w14:paraId="780367BD">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auto"/>
          <w:sz w:val="28"/>
          <w:szCs w:val="28"/>
          <w:highlight w:val="none"/>
          <w:lang w:val="en-US" w:eastAsia="zh-CN"/>
        </w:rPr>
        <w:t>1.4本合同暂定总价为人民币</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元</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合同暂定总价仅供参考，不作结算用途。</w:t>
      </w:r>
    </w:p>
    <w:p w14:paraId="5CEE5277">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
          <w:bCs/>
          <w:sz w:val="28"/>
          <w:szCs w:val="28"/>
          <w:highlight w:val="none"/>
          <w:lang w:val="en-US" w:eastAsia="zh-CN"/>
        </w:rPr>
      </w:pPr>
      <w:bookmarkStart w:id="22" w:name="_Toc2086"/>
      <w:bookmarkStart w:id="23" w:name="_Toc9743"/>
      <w:bookmarkStart w:id="24" w:name="_Toc8234"/>
      <w:r>
        <w:rPr>
          <w:rFonts w:hint="eastAsia" w:ascii="仿宋" w:hAnsi="仿宋" w:eastAsia="仿宋" w:cs="仿宋"/>
          <w:b/>
          <w:bCs/>
          <w:sz w:val="28"/>
          <w:szCs w:val="28"/>
          <w:highlight w:val="none"/>
          <w:lang w:val="en-US" w:eastAsia="zh-CN"/>
        </w:rPr>
        <w:t>第二章、计量方法</w:t>
      </w:r>
      <w:bookmarkEnd w:id="22"/>
      <w:bookmarkEnd w:id="23"/>
      <w:bookmarkEnd w:id="24"/>
    </w:p>
    <w:p w14:paraId="60DFE06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2.1计量单位：立方米（m³）；取值：四舍五入小数点后取两位。运输方式：车运。产品须在本项目现场过磅称重验收。</w:t>
      </w:r>
    </w:p>
    <w:p w14:paraId="4B5DF438">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2.2数量计算公式：净重÷容重比=数量（例：某车规格C30混凝土过磅净重17000Kg，则该车产品结算数量：17000Kg÷2368Kg/m³=7.18m³）。</w:t>
      </w:r>
    </w:p>
    <w:p w14:paraId="32EAA6C2">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2.3容重比标准：按表一执行。</w:t>
      </w:r>
    </w:p>
    <w:p w14:paraId="3845E71A">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center"/>
        <w:textAlignment w:val="auto"/>
        <w:rPr>
          <w:rFonts w:hint="default" w:ascii="仿宋" w:hAnsi="仿宋" w:eastAsia="仿宋" w:cs="仿宋"/>
          <w:highlight w:val="none"/>
          <w:lang w:val="en-US"/>
        </w:rPr>
      </w:pPr>
      <w:r>
        <w:rPr>
          <w:rFonts w:hint="eastAsia" w:ascii="仿宋" w:hAnsi="仿宋" w:eastAsia="仿宋" w:cs="仿宋"/>
          <w:sz w:val="28"/>
          <w:szCs w:val="28"/>
          <w:highlight w:val="none"/>
          <w:lang w:val="en-US" w:eastAsia="zh-CN"/>
        </w:rPr>
        <w:t>表一</w:t>
      </w:r>
    </w:p>
    <w:tbl>
      <w:tblPr>
        <w:tblStyle w:val="10"/>
        <w:tblW w:w="41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2378"/>
        <w:gridCol w:w="1766"/>
        <w:gridCol w:w="2320"/>
      </w:tblGrid>
      <w:tr w14:paraId="64A9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noWrap w:val="0"/>
            <w:vAlign w:val="center"/>
          </w:tcPr>
          <w:p w14:paraId="49D8E6A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强度等级</w:t>
            </w:r>
          </w:p>
        </w:tc>
        <w:tc>
          <w:tcPr>
            <w:tcW w:w="1521" w:type="pct"/>
            <w:noWrap w:val="0"/>
            <w:vAlign w:val="center"/>
          </w:tcPr>
          <w:p w14:paraId="35A186B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容重比</w:t>
            </w:r>
          </w:p>
          <w:p w14:paraId="7875528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（Kg/m³）</w:t>
            </w:r>
          </w:p>
        </w:tc>
        <w:tc>
          <w:tcPr>
            <w:tcW w:w="1130" w:type="pct"/>
            <w:noWrap w:val="0"/>
            <w:vAlign w:val="center"/>
          </w:tcPr>
          <w:p w14:paraId="246689E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强度等级</w:t>
            </w:r>
          </w:p>
        </w:tc>
        <w:tc>
          <w:tcPr>
            <w:tcW w:w="1484" w:type="pct"/>
            <w:noWrap w:val="0"/>
            <w:vAlign w:val="center"/>
          </w:tcPr>
          <w:p w14:paraId="1F12DBA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容重比</w:t>
            </w:r>
          </w:p>
          <w:p w14:paraId="0BFE5B4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（Kg/m³）</w:t>
            </w:r>
          </w:p>
        </w:tc>
      </w:tr>
      <w:tr w14:paraId="0587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noWrap w:val="0"/>
            <w:vAlign w:val="center"/>
          </w:tcPr>
          <w:p w14:paraId="2A26C9A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C10</w:t>
            </w:r>
          </w:p>
        </w:tc>
        <w:tc>
          <w:tcPr>
            <w:tcW w:w="1521" w:type="pct"/>
            <w:noWrap w:val="0"/>
            <w:vAlign w:val="center"/>
          </w:tcPr>
          <w:p w14:paraId="36EC20E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2345</w:t>
            </w:r>
          </w:p>
        </w:tc>
        <w:tc>
          <w:tcPr>
            <w:tcW w:w="1130" w:type="pct"/>
            <w:noWrap w:val="0"/>
            <w:vAlign w:val="center"/>
          </w:tcPr>
          <w:p w14:paraId="1D2B647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C45</w:t>
            </w:r>
          </w:p>
        </w:tc>
        <w:tc>
          <w:tcPr>
            <w:tcW w:w="1484" w:type="pct"/>
            <w:noWrap w:val="0"/>
            <w:vAlign w:val="center"/>
          </w:tcPr>
          <w:p w14:paraId="6F10050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2380</w:t>
            </w:r>
          </w:p>
        </w:tc>
      </w:tr>
      <w:tr w14:paraId="523E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noWrap w:val="0"/>
            <w:vAlign w:val="center"/>
          </w:tcPr>
          <w:p w14:paraId="1451144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C15</w:t>
            </w:r>
          </w:p>
        </w:tc>
        <w:tc>
          <w:tcPr>
            <w:tcW w:w="1521" w:type="pct"/>
            <w:noWrap w:val="0"/>
            <w:vAlign w:val="center"/>
          </w:tcPr>
          <w:p w14:paraId="3A55122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2350</w:t>
            </w:r>
          </w:p>
        </w:tc>
        <w:tc>
          <w:tcPr>
            <w:tcW w:w="1130" w:type="pct"/>
            <w:noWrap w:val="0"/>
            <w:vAlign w:val="center"/>
          </w:tcPr>
          <w:p w14:paraId="1EE085A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C50</w:t>
            </w:r>
          </w:p>
        </w:tc>
        <w:tc>
          <w:tcPr>
            <w:tcW w:w="1484" w:type="pct"/>
            <w:noWrap w:val="0"/>
            <w:vAlign w:val="center"/>
          </w:tcPr>
          <w:p w14:paraId="4F5D2C6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2387</w:t>
            </w:r>
          </w:p>
        </w:tc>
      </w:tr>
      <w:tr w14:paraId="5962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noWrap w:val="0"/>
            <w:vAlign w:val="center"/>
          </w:tcPr>
          <w:p w14:paraId="117BF5A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C20</w:t>
            </w:r>
          </w:p>
        </w:tc>
        <w:tc>
          <w:tcPr>
            <w:tcW w:w="1521" w:type="pct"/>
            <w:noWrap w:val="0"/>
            <w:vAlign w:val="center"/>
          </w:tcPr>
          <w:p w14:paraId="18F97DC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2354</w:t>
            </w:r>
          </w:p>
        </w:tc>
        <w:tc>
          <w:tcPr>
            <w:tcW w:w="1130" w:type="pct"/>
            <w:noWrap w:val="0"/>
            <w:vAlign w:val="center"/>
          </w:tcPr>
          <w:p w14:paraId="3AD348D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C15细石</w:t>
            </w:r>
          </w:p>
        </w:tc>
        <w:tc>
          <w:tcPr>
            <w:tcW w:w="1484" w:type="pct"/>
            <w:noWrap w:val="0"/>
            <w:vAlign w:val="center"/>
          </w:tcPr>
          <w:p w14:paraId="343AD91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2351</w:t>
            </w:r>
          </w:p>
        </w:tc>
      </w:tr>
      <w:tr w14:paraId="419C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noWrap w:val="0"/>
            <w:vAlign w:val="center"/>
          </w:tcPr>
          <w:p w14:paraId="5D6E610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C25</w:t>
            </w:r>
          </w:p>
        </w:tc>
        <w:tc>
          <w:tcPr>
            <w:tcW w:w="1521" w:type="pct"/>
            <w:noWrap w:val="0"/>
            <w:vAlign w:val="center"/>
          </w:tcPr>
          <w:p w14:paraId="087849F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2362</w:t>
            </w:r>
          </w:p>
        </w:tc>
        <w:tc>
          <w:tcPr>
            <w:tcW w:w="1130" w:type="pct"/>
            <w:noWrap w:val="0"/>
            <w:vAlign w:val="center"/>
          </w:tcPr>
          <w:p w14:paraId="7A26C6A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C20细石</w:t>
            </w:r>
          </w:p>
        </w:tc>
        <w:tc>
          <w:tcPr>
            <w:tcW w:w="1484" w:type="pct"/>
            <w:noWrap w:val="0"/>
            <w:vAlign w:val="center"/>
          </w:tcPr>
          <w:p w14:paraId="55DB714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2357</w:t>
            </w:r>
          </w:p>
        </w:tc>
      </w:tr>
      <w:tr w14:paraId="2A90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noWrap w:val="0"/>
            <w:vAlign w:val="center"/>
          </w:tcPr>
          <w:p w14:paraId="190E78E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C30</w:t>
            </w:r>
          </w:p>
        </w:tc>
        <w:tc>
          <w:tcPr>
            <w:tcW w:w="1521" w:type="pct"/>
            <w:noWrap w:val="0"/>
            <w:vAlign w:val="center"/>
          </w:tcPr>
          <w:p w14:paraId="70244CB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2368</w:t>
            </w:r>
          </w:p>
        </w:tc>
        <w:tc>
          <w:tcPr>
            <w:tcW w:w="1130" w:type="pct"/>
            <w:noWrap w:val="0"/>
            <w:vAlign w:val="center"/>
          </w:tcPr>
          <w:p w14:paraId="47EE0C7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C25细石</w:t>
            </w:r>
          </w:p>
        </w:tc>
        <w:tc>
          <w:tcPr>
            <w:tcW w:w="1484" w:type="pct"/>
            <w:noWrap w:val="0"/>
            <w:vAlign w:val="center"/>
          </w:tcPr>
          <w:p w14:paraId="0A03289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2360</w:t>
            </w:r>
          </w:p>
        </w:tc>
      </w:tr>
      <w:tr w14:paraId="75A18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noWrap w:val="0"/>
            <w:vAlign w:val="center"/>
          </w:tcPr>
          <w:p w14:paraId="1D6126F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C35</w:t>
            </w:r>
          </w:p>
        </w:tc>
        <w:tc>
          <w:tcPr>
            <w:tcW w:w="1521" w:type="pct"/>
            <w:noWrap w:val="0"/>
            <w:vAlign w:val="center"/>
          </w:tcPr>
          <w:p w14:paraId="5105008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2372</w:t>
            </w:r>
          </w:p>
        </w:tc>
        <w:tc>
          <w:tcPr>
            <w:tcW w:w="1130" w:type="pct"/>
            <w:noWrap w:val="0"/>
            <w:vAlign w:val="center"/>
          </w:tcPr>
          <w:p w14:paraId="752DA0D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C30细石</w:t>
            </w:r>
          </w:p>
        </w:tc>
        <w:tc>
          <w:tcPr>
            <w:tcW w:w="1484" w:type="pct"/>
            <w:noWrap w:val="0"/>
            <w:vAlign w:val="center"/>
          </w:tcPr>
          <w:p w14:paraId="74F9323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2364</w:t>
            </w:r>
          </w:p>
        </w:tc>
      </w:tr>
      <w:tr w14:paraId="0F9A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noWrap w:val="0"/>
            <w:vAlign w:val="center"/>
          </w:tcPr>
          <w:p w14:paraId="3DD2493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C40</w:t>
            </w:r>
          </w:p>
        </w:tc>
        <w:tc>
          <w:tcPr>
            <w:tcW w:w="1521" w:type="pct"/>
            <w:noWrap w:val="0"/>
            <w:vAlign w:val="center"/>
          </w:tcPr>
          <w:p w14:paraId="715B2C0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2376</w:t>
            </w:r>
          </w:p>
        </w:tc>
        <w:tc>
          <w:tcPr>
            <w:tcW w:w="1130" w:type="pct"/>
            <w:noWrap w:val="0"/>
            <w:vAlign w:val="center"/>
          </w:tcPr>
          <w:p w14:paraId="2050E54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预拌砂浆</w:t>
            </w:r>
          </w:p>
        </w:tc>
        <w:tc>
          <w:tcPr>
            <w:tcW w:w="1484" w:type="pct"/>
            <w:noWrap w:val="0"/>
            <w:vAlign w:val="center"/>
          </w:tcPr>
          <w:p w14:paraId="26E3042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1450</w:t>
            </w:r>
          </w:p>
        </w:tc>
      </w:tr>
      <w:tr w14:paraId="54408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3" w:type="pct"/>
            <w:noWrap w:val="0"/>
            <w:vAlign w:val="center"/>
          </w:tcPr>
          <w:p w14:paraId="0C29370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砂浆</w:t>
            </w:r>
          </w:p>
        </w:tc>
        <w:tc>
          <w:tcPr>
            <w:tcW w:w="1521" w:type="pct"/>
            <w:noWrap w:val="0"/>
            <w:vAlign w:val="center"/>
          </w:tcPr>
          <w:p w14:paraId="272E986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1800</w:t>
            </w:r>
          </w:p>
        </w:tc>
        <w:tc>
          <w:tcPr>
            <w:tcW w:w="1130" w:type="pct"/>
            <w:noWrap w:val="0"/>
            <w:vAlign w:val="center"/>
          </w:tcPr>
          <w:p w14:paraId="661EA30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p>
        </w:tc>
        <w:tc>
          <w:tcPr>
            <w:tcW w:w="1484" w:type="pct"/>
            <w:noWrap w:val="0"/>
            <w:vAlign w:val="center"/>
          </w:tcPr>
          <w:p w14:paraId="2D56ACD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p>
        </w:tc>
      </w:tr>
    </w:tbl>
    <w:p w14:paraId="6D5B155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2.4甲方将在本项目现场以1立方米/次随机抽样三次进行过磅，其平均值作为当批次砼或砂浆的容重校核值，并与本合同第2.2条和第2.3条对比，以大值作为容重计量依据。</w:t>
      </w:r>
    </w:p>
    <w:p w14:paraId="1D2BAED7">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2.5如任意一车产品数量差额在（国标允许范围）±2%内，该车产品以乙方送货单所示数量结算；反之，则以“本项目过磅净重数量”与“乙方送货单所示数量”两者比较数值低的为结算数量。</w:t>
      </w:r>
    </w:p>
    <w:p w14:paraId="7A1C8C1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lang w:val="en-US" w:eastAsia="zh-CN"/>
        </w:rPr>
        <w:t>2.6数量差额计算公式：（本项目过磅净重数量-乙方送货单所示数量）÷乙方送货单所示数量</w:t>
      </w:r>
      <w:r>
        <w:rPr>
          <w:rFonts w:hint="eastAsia" w:ascii="宋体" w:hAnsi="宋体" w:eastAsia="宋体" w:cs="宋体"/>
          <w:sz w:val="28"/>
          <w:szCs w:val="28"/>
          <w:highlight w:val="none"/>
          <w:lang w:val="en-US" w:eastAsia="zh-CN"/>
        </w:rPr>
        <w:t>×</w:t>
      </w:r>
      <w:r>
        <w:rPr>
          <w:rFonts w:hint="eastAsia" w:ascii="仿宋" w:hAnsi="仿宋" w:eastAsia="仿宋" w:cs="仿宋"/>
          <w:sz w:val="28"/>
          <w:szCs w:val="28"/>
          <w:highlight w:val="none"/>
          <w:lang w:val="en-US" w:eastAsia="zh-CN"/>
        </w:rPr>
        <w:t>100%=数量差额。</w:t>
      </w:r>
    </w:p>
    <w:p w14:paraId="545452FF">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2.7任意一批产品（用于同一浇筑施工段的产品，以甲方当次订购的数量及部位定义为同一批次）如有三车以上（含三车）数量差额超出（详见前述约定）±2%的，属乙方违约，按（1+本批次数量差额最低三车的平均值）</w:t>
      </w:r>
      <w:r>
        <w:rPr>
          <w:rFonts w:hint="eastAsia" w:ascii="宋体" w:hAnsi="宋体" w:eastAsia="宋体" w:cs="宋体"/>
          <w:sz w:val="28"/>
          <w:szCs w:val="28"/>
          <w:highlight w:val="none"/>
          <w:u w:val="none"/>
          <w:lang w:val="en-US" w:eastAsia="zh-CN"/>
        </w:rPr>
        <w:t>×</w:t>
      </w:r>
      <w:r>
        <w:rPr>
          <w:rFonts w:hint="eastAsia" w:ascii="仿宋" w:hAnsi="仿宋" w:eastAsia="仿宋" w:cs="仿宋"/>
          <w:sz w:val="28"/>
          <w:szCs w:val="28"/>
          <w:highlight w:val="none"/>
          <w:u w:val="none"/>
          <w:lang w:val="en-US" w:eastAsia="zh-CN"/>
        </w:rPr>
        <w:t>本批次数量（按本合同第2.4条约定计量）的比例结算，乙方就该批次的违约承担违约金1万元</w:t>
      </w:r>
      <w:r>
        <w:rPr>
          <w:rFonts w:hint="eastAsia" w:ascii="宋体" w:hAnsi="宋体" w:eastAsia="宋体" w:cs="宋体"/>
          <w:sz w:val="28"/>
          <w:szCs w:val="28"/>
          <w:highlight w:val="none"/>
          <w:u w:val="none"/>
          <w:lang w:val="en-US" w:eastAsia="zh-CN"/>
        </w:rPr>
        <w:t>～</w:t>
      </w:r>
      <w:r>
        <w:rPr>
          <w:rFonts w:hint="eastAsia" w:ascii="仿宋" w:hAnsi="仿宋" w:eastAsia="仿宋" w:cs="仿宋"/>
          <w:sz w:val="28"/>
          <w:szCs w:val="28"/>
          <w:highlight w:val="none"/>
          <w:u w:val="none"/>
          <w:lang w:val="en-US" w:eastAsia="zh-CN"/>
        </w:rPr>
        <w:t>10万元/批（视实际相差数量，违约金额由甲方确定），且甲方可以从乙方任意一批货款中扣款。</w:t>
      </w:r>
    </w:p>
    <w:p w14:paraId="579EE843">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
          <w:bCs/>
          <w:sz w:val="28"/>
          <w:szCs w:val="28"/>
          <w:highlight w:val="none"/>
          <w:u w:val="none"/>
          <w:lang w:val="en-US" w:eastAsia="zh-CN"/>
        </w:rPr>
      </w:pPr>
      <w:bookmarkStart w:id="25" w:name="_Toc12036"/>
      <w:bookmarkStart w:id="26" w:name="_Toc13656"/>
      <w:bookmarkStart w:id="27" w:name="_Toc8210"/>
      <w:r>
        <w:rPr>
          <w:rFonts w:hint="eastAsia" w:ascii="仿宋" w:hAnsi="仿宋" w:eastAsia="仿宋" w:cs="仿宋"/>
          <w:b/>
          <w:bCs/>
          <w:sz w:val="28"/>
          <w:szCs w:val="28"/>
          <w:highlight w:val="none"/>
          <w:u w:val="none"/>
          <w:lang w:val="en-US" w:eastAsia="zh-CN"/>
        </w:rPr>
        <w:t>第三章、付款方式</w:t>
      </w:r>
      <w:bookmarkEnd w:id="25"/>
      <w:bookmarkEnd w:id="26"/>
      <w:bookmarkEnd w:id="27"/>
    </w:p>
    <w:p w14:paraId="63887F30">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☑办法一</w:t>
      </w:r>
    </w:p>
    <w:p w14:paraId="1D3965BD">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3.1每月货款在该月起的第五个月底前付清（即五月份付一月份的货款，六月份付二月份的货款，依此类推）。乙方按合同约定的时间交齐当月对账资料且与甲方完成对账的，甲方则按合同约定时限完成付款，若乙方逾期交齐对账资料或完成对账，甲方付款时间则按完成对账月对应的付款节点支付。</w:t>
      </w:r>
      <w:r>
        <w:rPr>
          <w:rFonts w:hint="eastAsia" w:ascii="仿宋" w:hAnsi="仿宋" w:eastAsia="仿宋" w:cs="仿宋"/>
          <w:b w:val="0"/>
          <w:bCs w:val="0"/>
          <w:sz w:val="28"/>
          <w:szCs w:val="28"/>
          <w:highlight w:val="none"/>
          <w:u w:val="single"/>
          <w:lang w:val="en-US" w:eastAsia="zh-CN"/>
        </w:rPr>
        <w:t>甲乙双方须每月对账并确认对账结果，对账结果须经甲方项目成本管理员签认。</w:t>
      </w:r>
    </w:p>
    <w:p w14:paraId="39828AD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对账日期：每月3日至每月8日，乙方在每月3日前一次性提交上月供货的对账资料至甲方项目部，双方在每月8日前（遇节假日则顺延）完成对账，如乙方逾期交齐对账资料，则对账日期顺延至次月的3日至8日，次月乙方对账的同时须提供“延迟付款声明函”（格式详见附件），依此类推。(例：乙方在6月3日前交齐5月份货款的对账资料给甲方对账人员并在6月8日完成对账的，则甲方在9月30日前支付5月份货款；若乙方6月9日交齐5月份货款的对账资料给甲方，则对账期顺延至7月3日至7月8日，付款顺延至10月31日底前支付。)</w:t>
      </w:r>
    </w:p>
    <w:p w14:paraId="6C9E4BE3">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□办法二</w:t>
      </w:r>
    </w:p>
    <w:p w14:paraId="19762069">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single"/>
          <w:lang w:val="en-US" w:eastAsia="zh-CN"/>
        </w:rPr>
      </w:pPr>
      <w:r>
        <w:rPr>
          <w:rFonts w:hint="eastAsia" w:ascii="仿宋" w:hAnsi="仿宋" w:eastAsia="仿宋" w:cs="仿宋"/>
          <w:b w:val="0"/>
          <w:bCs w:val="0"/>
          <w:sz w:val="28"/>
          <w:szCs w:val="28"/>
          <w:highlight w:val="none"/>
          <w:u w:val="single"/>
          <w:lang w:val="en-US" w:eastAsia="zh-CN"/>
        </w:rPr>
        <w:t>3.1      。</w:t>
      </w:r>
    </w:p>
    <w:p w14:paraId="275EB177">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single"/>
          <w:lang w:val="en-US" w:eastAsia="zh-CN"/>
        </w:rPr>
      </w:pPr>
      <w:r>
        <w:rPr>
          <w:rFonts w:hint="eastAsia" w:ascii="仿宋" w:hAnsi="仿宋" w:eastAsia="仿宋" w:cs="仿宋"/>
          <w:b w:val="0"/>
          <w:bCs w:val="0"/>
          <w:sz w:val="28"/>
          <w:szCs w:val="28"/>
          <w:highlight w:val="none"/>
          <w:u w:val="none"/>
          <w:lang w:val="en-US" w:eastAsia="zh-CN"/>
        </w:rPr>
        <w:t>对账日期：每月3日至每月8日，乙方在每月3日前一次性提交上月供货的对账资料至甲方项目部，双方在每月8日前（遇节假日则顺延）完成对账，如乙方逾期交齐对账资料，则对账日期顺延至次月的3日至8日，次月乙方对账的同时须提供“延迟付款声明函”（格式详见附件），依此类推。(例：乙方在6月3日前交齐5月份货款的对账资料给甲方对账人员并在6月8日完成对账的，则甲方在9月30日前支付5月份货款；若乙方6月9日交齐5月份货款的对账资料给甲方，则对账期顺延至7月3日至7月8日，付款顺延至10月31日底前支付。)</w:t>
      </w:r>
    </w:p>
    <w:p w14:paraId="54EE0C57">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default" w:ascii="仿宋" w:hAnsi="仿宋" w:eastAsia="仿宋" w:cs="仿宋"/>
          <w:b w:val="0"/>
          <w:bCs w:val="0"/>
          <w:sz w:val="28"/>
          <w:szCs w:val="28"/>
          <w:highlight w:val="none"/>
          <w:u w:val="single"/>
          <w:lang w:val="en-US" w:eastAsia="zh-CN"/>
        </w:rPr>
      </w:pPr>
      <w:r>
        <w:rPr>
          <w:rFonts w:hint="eastAsia" w:ascii="仿宋" w:hAnsi="仿宋" w:eastAsia="仿宋" w:cs="仿宋"/>
          <w:b w:val="0"/>
          <w:bCs w:val="0"/>
          <w:sz w:val="28"/>
          <w:szCs w:val="28"/>
          <w:highlight w:val="none"/>
          <w:u w:val="none"/>
          <w:lang w:val="en-US" w:eastAsia="zh-CN"/>
        </w:rPr>
        <w:t>3.2履行本合同过程中，凡甲方收取的款项（包括但不限于：各类押金、保证金、违约金、罚款、垃圾处理费、水电费、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7F3D4768">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3.3乙方每次对账须提供：甲方下料订单(即甲方发出的《物料申购单》，格式详见附件)、乙方对账单（结算单）、本合同复印件（含调价函）、材料签收单、乙方送货单（发货单）、材料收货水印照片、材料款申报确认表、付款台账汇总表、供应商月度对账单（格式详见附件）、结清承诺书。</w:t>
      </w:r>
    </w:p>
    <w:p w14:paraId="2C5E12C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3.3.1对账资料具体要求：</w:t>
      </w:r>
    </w:p>
    <w:p w14:paraId="5C2BDDEF">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①乙方对账单（结算单）：该单据须乙方盖章及乙方人员签名和日期，经甲方人员（甲方合同执行人、甲方仓管员）核对无误后签名和日期，原则上款项内容处填写的对账日期应与签注的日期一致。</w:t>
      </w:r>
    </w:p>
    <w:p w14:paraId="1F70092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②本合同复印件（含调价函、合同约定的施工当期“信息价”复印件）：合同复印件以签章完毕的为准，包括本合同及附属补充协议；调价函及调税率函以适用的为准，过期或者不适用的不附，以加盖甲乙双方公章的为准，不调价/不调税则不提供；合同约定的施工当期“信息价”复印件（须加盖乙方公章）。</w:t>
      </w:r>
    </w:p>
    <w:p w14:paraId="33CDC06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③材料签收单：注明材料所用项目、地块、第几期，并正确填写日期、乙方全称、材料名称、规格型号、数量及金额等信息，不得随意修改或涂划，若确有修改，则在需修正数据旁进行修正并附甲方合同执行人、甲方仓管员签名。关于甲乙双方人员（甲方合同执行人、甲方仓管员，乙方送货员、乙方合同授权代表）签字，甲方如有规定则按相关规定办理。</w:t>
      </w:r>
    </w:p>
    <w:p w14:paraId="1F1B5014">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④乙方送货单（发货单）：此单据须乙方盖章及甲乙双方人员（甲方合同执行人、甲方仓管员、乙方送货员、乙方合同授权代表）签字，具体按甲方《</w:t>
      </w:r>
      <w:r>
        <w:rPr>
          <w:rFonts w:hint="eastAsia" w:ascii="仿宋" w:hAnsi="仿宋" w:eastAsia="仿宋" w:cs="仿宋"/>
          <w:b w:val="0"/>
          <w:bCs w:val="0"/>
          <w:sz w:val="28"/>
          <w:szCs w:val="28"/>
          <w:highlight w:val="none"/>
          <w:u w:val="none"/>
          <w:lang w:val="en-US" w:eastAsia="zh-CN"/>
        </w:rPr>
        <w:fldChar w:fldCharType="begin"/>
      </w:r>
      <w:r>
        <w:rPr>
          <w:rFonts w:hint="eastAsia" w:ascii="仿宋" w:hAnsi="仿宋" w:eastAsia="仿宋" w:cs="仿宋"/>
          <w:b w:val="0"/>
          <w:bCs w:val="0"/>
          <w:sz w:val="28"/>
          <w:szCs w:val="28"/>
          <w:highlight w:val="none"/>
          <w:u w:val="none"/>
          <w:lang w:val="en-US" w:eastAsia="zh-CN"/>
        </w:rPr>
        <w:instrText xml:space="preserve"> HYPERLINK "javascript:openFullWindowForXtable('DocDsp.jsp?id=111204&amp;meetingid=0&amp;votingId=0&amp;versionId=123347&amp;imagefileId=138428&amp;from=&amp;userCategory=0&amp;isFromAccessory=true');" </w:instrText>
      </w:r>
      <w:r>
        <w:rPr>
          <w:rFonts w:hint="eastAsia" w:ascii="仿宋" w:hAnsi="仿宋" w:eastAsia="仿宋" w:cs="仿宋"/>
          <w:b w:val="0"/>
          <w:bCs w:val="0"/>
          <w:sz w:val="28"/>
          <w:szCs w:val="28"/>
          <w:highlight w:val="none"/>
          <w:u w:val="none"/>
          <w:lang w:val="en-US" w:eastAsia="zh-CN"/>
        </w:rPr>
        <w:fldChar w:fldCharType="separate"/>
      </w:r>
      <w:r>
        <w:rPr>
          <w:rFonts w:hint="eastAsia" w:ascii="仿宋" w:hAnsi="仿宋" w:eastAsia="仿宋" w:cs="仿宋"/>
          <w:b w:val="0"/>
          <w:bCs w:val="0"/>
          <w:sz w:val="28"/>
          <w:szCs w:val="28"/>
          <w:highlight w:val="none"/>
          <w:u w:val="none"/>
          <w:lang w:val="en-US" w:eastAsia="zh-CN"/>
        </w:rPr>
        <w:t>商品混凝土、砂浆验收管理制度</w:t>
      </w:r>
      <w:r>
        <w:rPr>
          <w:rFonts w:hint="eastAsia" w:ascii="仿宋" w:hAnsi="仿宋" w:eastAsia="仿宋" w:cs="仿宋"/>
          <w:b w:val="0"/>
          <w:bCs w:val="0"/>
          <w:sz w:val="28"/>
          <w:szCs w:val="28"/>
          <w:highlight w:val="none"/>
          <w:u w:val="none"/>
          <w:lang w:val="en-US" w:eastAsia="zh-CN"/>
        </w:rPr>
        <w:fldChar w:fldCharType="end"/>
      </w:r>
      <w:r>
        <w:rPr>
          <w:rFonts w:hint="eastAsia" w:ascii="仿宋" w:hAnsi="仿宋" w:eastAsia="仿宋" w:cs="仿宋"/>
          <w:b w:val="0"/>
          <w:bCs w:val="0"/>
          <w:sz w:val="28"/>
          <w:szCs w:val="28"/>
          <w:highlight w:val="none"/>
          <w:u w:val="none"/>
          <w:lang w:val="en-US" w:eastAsia="zh-CN"/>
        </w:rPr>
        <w:t>》规定的验收组人员执行。</w:t>
      </w:r>
    </w:p>
    <w:p w14:paraId="745CC268">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⑤材料收货水印照片：含甲乙双方参加材料签收人员留影，材料卸货前后对比照，材料实物规格、品牌等参数照，车辆、车牌信息照，卸货现场工程背景照，所有照片均须有水印备注，水印须有项目地址定位和拍照时间、日期。</w:t>
      </w:r>
    </w:p>
    <w:p w14:paraId="019000F0">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⑥材料款申报确认表：格式详见附件。</w:t>
      </w:r>
    </w:p>
    <w:p w14:paraId="6981EFA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⑦付款台账汇总表：格式详见附件。</w:t>
      </w:r>
    </w:p>
    <w:p w14:paraId="1FAB0483">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⑧结清承诺书：格式详见附件。</w:t>
      </w:r>
      <w:bookmarkStart w:id="97" w:name="_GoBack"/>
      <w:bookmarkEnd w:id="97"/>
    </w:p>
    <w:p w14:paraId="78D77144">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3.4付款形式：优先使用网银、银行承兑汇票等，支票、电汇视情况而定。甲方选择其中任意一种支付形式给乙方合同款，均视为乙方收到该货款。</w:t>
      </w:r>
      <w:r>
        <w:rPr>
          <w:rFonts w:hint="eastAsia" w:ascii="仿宋" w:hAnsi="仿宋" w:eastAsia="仿宋" w:cs="仿宋"/>
          <w:b w:val="0"/>
          <w:bCs w:val="0"/>
          <w:sz w:val="28"/>
          <w:szCs w:val="28"/>
          <w:highlight w:val="yellow"/>
          <w:u w:val="none"/>
          <w:lang w:val="en-US" w:eastAsia="zh-CN"/>
        </w:rPr>
        <w:t>乙方可以接收银行承兑汇票的百分比为</w:t>
      </w:r>
      <w:r>
        <w:rPr>
          <w:rFonts w:hint="eastAsia" w:ascii="仿宋" w:hAnsi="仿宋" w:eastAsia="仿宋" w:cs="仿宋"/>
          <w:b w:val="0"/>
          <w:bCs w:val="0"/>
          <w:sz w:val="28"/>
          <w:szCs w:val="28"/>
          <w:highlight w:val="yellow"/>
          <w:u w:val="single"/>
          <w:lang w:val="en-US" w:eastAsia="zh-CN"/>
        </w:rPr>
        <w:t xml:space="preserve">   %</w:t>
      </w:r>
      <w:r>
        <w:rPr>
          <w:rFonts w:hint="eastAsia" w:ascii="仿宋" w:hAnsi="仿宋" w:eastAsia="仿宋" w:cs="仿宋"/>
          <w:b w:val="0"/>
          <w:bCs w:val="0"/>
          <w:sz w:val="28"/>
          <w:szCs w:val="28"/>
          <w:highlight w:val="none"/>
          <w:u w:val="none"/>
          <w:lang w:val="en-US" w:eastAsia="zh-CN"/>
        </w:rPr>
        <w:t>。</w:t>
      </w:r>
    </w:p>
    <w:p w14:paraId="09C7C8E9">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3.5发票要求：甲乙双方对账完成后，甲方项目部通知乙方开票，乙方开具的发票内容须与合同约定内容一致。乙方每次开票金额必须与当次对账金额一致而非与当次请款金额一致，并按甲方要求分项目、分地块、分楼栋分别开具发票，否则视为乙方逾期提供发票给甲方，属乙方违约。乙方延迟提供发票的，在申请相关合同款时须提供“延迟付款声明函”（格式详见附件），同时甲方按签收合格发票之日起顺延相应日历天付款且不违约。（甲方顺延付款的日历天数=甲方实际签收合格发票日-合同约定的乙方提供合格发票日）</w:t>
      </w:r>
    </w:p>
    <w:p w14:paraId="72428B66">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如因特殊情况甲方在收齐发票前已付款，乙方未按要求及时提供发票，每逾期1个日历天按合同暂定总价的1%向甲方支付违约金。如乙方经甲方书面催告后、超过5个日历天仍不提供的，乙方另按合同暂定总价的30%向甲方支付违约金。</w:t>
      </w:r>
    </w:p>
    <w:p w14:paraId="0E8448F2">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3.6乙方收款账户开户名称须与本合同乙方名称、收款发票开具单位名称一致，否则甲方有权不支付货款且不视为甲方违约，直到乙方提供甲方认可的发票再计付款周期。如甲方发现乙方开具假发票的，属乙方违约，乙方须书面向甲方承认开具假发票行为并重新开具合法发票，若乙方发生开具假发票行为则视乙方逾期提供发票，按第3.5条逾期提供发票支付违约金。因乙方提供假发票行为导致的不良后果（包括但不限于行政处罚或使甲方遭受损失等所有费用及损失）由乙方全部承担。</w:t>
      </w:r>
    </w:p>
    <w:p w14:paraId="1E46E53D">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3.7乙方必须按税法规定的四流合一执行合同，即合同流、货物流、发票流、资金流一致，否则视为乙方违约，且由乙方承担所有责任及损失，直至满足四流合一，甲方方才付款。</w:t>
      </w:r>
    </w:p>
    <w:p w14:paraId="2AB06C6F">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3.8乙方每次向甲方请款时，应按甲方要求注明该次请款所含的每个组团、每个地块、每栋楼具体金额，否则甲方有权不付款且不违约。</w:t>
      </w:r>
    </w:p>
    <w:p w14:paraId="233E94A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3.9如甲乙双方对付款金额/结算金额产生争议，甲方有权暂缓付款且不违约，甲方无需向乙方支付违约金或利息，直至双方达成一致意见，方可按甲方相应流程办理付款手续。</w:t>
      </w:r>
    </w:p>
    <w:p w14:paraId="3A073634">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3.10甲方支付完任一批次货款或双方完成本项目货款结算或合同款支付完毕后，视为乙方关于除质保金外的合同款支付事宜的全部权利全部消灭，乙方不得基于合同款支付事宜向甲方提出任何权利主张或追索其他任何费用。</w:t>
      </w:r>
    </w:p>
    <w:p w14:paraId="7FE8FE6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 xml:space="preserve">3.11乙方每次收取合同款时，当期乙方如有未付清给甲方的款项（如：罚款、违约金、代支付款、赔偿、加固、押金等），乙方须一次性付清后，甲方方才支付当期合同款，如乙方未付清所有当期应向甲方支付的款额，则甲方付款周期顺延且属乙方违约，直至乙方付清为止。                                                                                </w:t>
      </w:r>
    </w:p>
    <w:p w14:paraId="1E7F748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sz w:val="28"/>
          <w:szCs w:val="28"/>
          <w:highlight w:val="none"/>
          <w:lang w:val="en-US" w:eastAsia="zh-CN"/>
        </w:rPr>
      </w:pPr>
      <w:bookmarkStart w:id="28" w:name="_Toc17081"/>
      <w:bookmarkStart w:id="29" w:name="_Toc13709"/>
      <w:r>
        <w:rPr>
          <w:rFonts w:hint="eastAsia" w:ascii="仿宋" w:hAnsi="仿宋" w:eastAsia="仿宋" w:cs="仿宋"/>
          <w:b/>
          <w:bCs/>
          <w:sz w:val="28"/>
          <w:szCs w:val="28"/>
          <w:highlight w:val="none"/>
          <w:lang w:val="en-US" w:eastAsia="zh-CN"/>
        </w:rPr>
        <w:t>四、产品</w:t>
      </w:r>
      <w:r>
        <w:rPr>
          <w:rFonts w:hint="eastAsia" w:ascii="仿宋" w:hAnsi="仿宋" w:eastAsia="仿宋" w:cs="仿宋"/>
          <w:b/>
          <w:bCs/>
          <w:sz w:val="28"/>
          <w:szCs w:val="28"/>
          <w:highlight w:val="none"/>
        </w:rPr>
        <w:t>质量</w:t>
      </w:r>
      <w:bookmarkEnd w:id="28"/>
      <w:bookmarkEnd w:id="29"/>
      <w:r>
        <w:rPr>
          <w:rFonts w:hint="eastAsia" w:ascii="仿宋" w:hAnsi="仿宋" w:eastAsia="仿宋" w:cs="仿宋"/>
          <w:b/>
          <w:bCs/>
          <w:sz w:val="28"/>
          <w:szCs w:val="28"/>
          <w:highlight w:val="none"/>
          <w:lang w:val="en-US" w:eastAsia="zh-CN"/>
        </w:rPr>
        <w:t>要求</w:t>
      </w:r>
    </w:p>
    <w:p w14:paraId="41D69158">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4.1</w:t>
      </w:r>
      <w:r>
        <w:rPr>
          <w:rFonts w:hint="eastAsia" w:ascii="仿宋" w:hAnsi="仿宋" w:eastAsia="仿宋" w:cs="仿宋"/>
          <w:sz w:val="28"/>
          <w:szCs w:val="28"/>
          <w:highlight w:val="none"/>
        </w:rPr>
        <w:t>乙方所供</w:t>
      </w:r>
      <w:r>
        <w:rPr>
          <w:rFonts w:hint="eastAsia" w:ascii="仿宋" w:hAnsi="仿宋" w:eastAsia="仿宋" w:cs="仿宋"/>
          <w:sz w:val="28"/>
          <w:szCs w:val="28"/>
          <w:highlight w:val="none"/>
          <w:lang w:val="en-US" w:eastAsia="zh-CN"/>
        </w:rPr>
        <w:t>产品</w:t>
      </w:r>
      <w:r>
        <w:rPr>
          <w:rFonts w:hint="eastAsia" w:ascii="仿宋" w:hAnsi="仿宋" w:eastAsia="仿宋" w:cs="仿宋"/>
          <w:sz w:val="28"/>
          <w:szCs w:val="28"/>
          <w:highlight w:val="none"/>
        </w:rPr>
        <w:t>须满足</w:t>
      </w:r>
      <w:r>
        <w:rPr>
          <w:rFonts w:hint="eastAsia" w:ascii="仿宋" w:hAnsi="仿宋" w:eastAsia="仿宋" w:cs="仿宋"/>
          <w:sz w:val="28"/>
          <w:szCs w:val="28"/>
          <w:highlight w:val="none"/>
          <w:lang w:val="en-US" w:eastAsia="zh-CN"/>
        </w:rPr>
        <w:t>合同约定、</w:t>
      </w:r>
      <w:r>
        <w:rPr>
          <w:rFonts w:hint="eastAsia" w:ascii="仿宋" w:hAnsi="仿宋" w:eastAsia="仿宋" w:cs="仿宋"/>
          <w:sz w:val="28"/>
          <w:szCs w:val="28"/>
          <w:highlight w:val="none"/>
        </w:rPr>
        <w:t>甲方验收要求且符合</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所在地</w:t>
      </w:r>
      <w:r>
        <w:rPr>
          <w:rFonts w:hint="eastAsia" w:ascii="仿宋" w:hAnsi="仿宋" w:eastAsia="仿宋" w:cs="仿宋"/>
          <w:sz w:val="28"/>
          <w:szCs w:val="28"/>
          <w:highlight w:val="none"/>
          <w:lang w:val="en-US" w:eastAsia="zh-CN"/>
        </w:rPr>
        <w:t>政府</w:t>
      </w:r>
      <w:r>
        <w:rPr>
          <w:rFonts w:hint="eastAsia" w:ascii="仿宋" w:hAnsi="仿宋" w:eastAsia="仿宋" w:cs="仿宋"/>
          <w:sz w:val="28"/>
          <w:szCs w:val="28"/>
          <w:highlight w:val="none"/>
        </w:rPr>
        <w:t>主管部门相关质量验收规范标准和文件要求。</w:t>
      </w:r>
    </w:p>
    <w:p w14:paraId="2DE04196">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2乙方提供的预拌混凝土质量</w:t>
      </w:r>
      <w:r>
        <w:rPr>
          <w:rFonts w:hint="eastAsia" w:ascii="仿宋" w:hAnsi="仿宋" w:eastAsia="仿宋" w:cs="仿宋"/>
          <w:sz w:val="28"/>
          <w:szCs w:val="28"/>
          <w:highlight w:val="none"/>
          <w:lang w:val="en-US" w:eastAsia="zh-CN"/>
        </w:rPr>
        <w:t>须</w:t>
      </w:r>
      <w:r>
        <w:rPr>
          <w:rFonts w:hint="eastAsia" w:ascii="仿宋" w:hAnsi="仿宋" w:eastAsia="仿宋" w:cs="仿宋"/>
          <w:sz w:val="28"/>
          <w:szCs w:val="28"/>
          <w:highlight w:val="none"/>
        </w:rPr>
        <w:t>符合最新的国家标准《预拌混凝土》（GB/T 14902）等有关行业和地方标准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向甲方提供相应的技术资料（</w:t>
      </w:r>
      <w:r>
        <w:rPr>
          <w:rFonts w:hint="eastAsia" w:ascii="仿宋" w:hAnsi="仿宋" w:eastAsia="仿宋" w:cs="仿宋"/>
          <w:sz w:val="28"/>
          <w:szCs w:val="28"/>
          <w:highlight w:val="none"/>
          <w:lang w:val="en-US" w:eastAsia="zh-CN"/>
        </w:rPr>
        <w:t>包括</w:t>
      </w:r>
      <w:r>
        <w:rPr>
          <w:rFonts w:hint="eastAsia" w:ascii="仿宋" w:hAnsi="仿宋" w:eastAsia="仿宋" w:cs="仿宋"/>
          <w:sz w:val="28"/>
          <w:szCs w:val="28"/>
          <w:highlight w:val="none"/>
        </w:rPr>
        <w:t>出厂质量证明书等）</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以满足并符合本项目当地住建主管部门要求为准</w:t>
      </w:r>
      <w:r>
        <w:rPr>
          <w:rFonts w:hint="eastAsia" w:ascii="仿宋" w:hAnsi="仿宋" w:eastAsia="仿宋" w:cs="仿宋"/>
          <w:sz w:val="28"/>
          <w:szCs w:val="28"/>
          <w:highlight w:val="none"/>
        </w:rPr>
        <w:t>。</w:t>
      </w:r>
    </w:p>
    <w:p w14:paraId="0E8B3B1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3</w:t>
      </w:r>
      <w:r>
        <w:rPr>
          <w:rFonts w:hint="eastAsia" w:ascii="仿宋" w:hAnsi="仿宋" w:eastAsia="仿宋" w:cs="仿宋"/>
          <w:sz w:val="28"/>
          <w:szCs w:val="28"/>
          <w:highlight w:val="none"/>
          <w:lang w:val="en-US" w:eastAsia="zh-CN"/>
        </w:rPr>
        <w:t>产品</w:t>
      </w:r>
      <w:r>
        <w:rPr>
          <w:rFonts w:hint="eastAsia" w:ascii="仿宋" w:hAnsi="仿宋" w:eastAsia="仿宋" w:cs="仿宋"/>
          <w:sz w:val="28"/>
          <w:szCs w:val="28"/>
          <w:highlight w:val="none"/>
        </w:rPr>
        <w:t>强度的试验结果评定以</w:t>
      </w:r>
      <w:r>
        <w:rPr>
          <w:rFonts w:hint="eastAsia" w:ascii="仿宋" w:hAnsi="仿宋" w:eastAsia="仿宋" w:cs="仿宋"/>
          <w:sz w:val="28"/>
          <w:szCs w:val="28"/>
          <w:highlight w:val="none"/>
          <w:lang w:val="en-US" w:eastAsia="zh-CN"/>
        </w:rPr>
        <w:t>最新的国家标准</w:t>
      </w:r>
      <w:r>
        <w:rPr>
          <w:rFonts w:hint="eastAsia" w:ascii="仿宋" w:hAnsi="仿宋" w:eastAsia="仿宋" w:cs="仿宋"/>
          <w:color w:val="auto"/>
          <w:sz w:val="28"/>
          <w:szCs w:val="28"/>
          <w:highlight w:val="none"/>
        </w:rPr>
        <w:t>《混凝土强度检验</w:t>
      </w:r>
      <w:r>
        <w:rPr>
          <w:rFonts w:hint="eastAsia" w:ascii="仿宋" w:hAnsi="仿宋" w:eastAsia="仿宋" w:cs="仿宋"/>
          <w:color w:val="auto"/>
          <w:sz w:val="28"/>
          <w:szCs w:val="28"/>
          <w:highlight w:val="none"/>
          <w:lang w:val="en-US" w:eastAsia="zh-CN"/>
        </w:rPr>
        <w:t>评定</w:t>
      </w:r>
      <w:r>
        <w:rPr>
          <w:rFonts w:hint="eastAsia" w:ascii="仿宋" w:hAnsi="仿宋" w:eastAsia="仿宋" w:cs="仿宋"/>
          <w:color w:val="auto"/>
          <w:sz w:val="28"/>
          <w:szCs w:val="28"/>
          <w:highlight w:val="none"/>
        </w:rPr>
        <w:t>标准》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GB/T</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50107</w:t>
      </w:r>
      <w:r>
        <w:rPr>
          <w:rFonts w:hint="eastAsia" w:ascii="仿宋" w:hAnsi="仿宋" w:eastAsia="仿宋" w:cs="仿宋"/>
          <w:color w:val="auto"/>
          <w:sz w:val="28"/>
          <w:szCs w:val="28"/>
          <w:highlight w:val="none"/>
          <w:lang w:eastAsia="zh-CN"/>
        </w:rPr>
        <w:t>）</w:t>
      </w:r>
      <w:r>
        <w:rPr>
          <w:rFonts w:hint="eastAsia" w:ascii="仿宋" w:hAnsi="仿宋" w:eastAsia="仿宋" w:cs="仿宋"/>
          <w:sz w:val="28"/>
          <w:szCs w:val="28"/>
          <w:highlight w:val="none"/>
        </w:rPr>
        <w:t>及</w:t>
      </w:r>
      <w:r>
        <w:rPr>
          <w:rFonts w:hint="eastAsia" w:ascii="仿宋" w:hAnsi="仿宋" w:eastAsia="仿宋" w:cs="仿宋"/>
          <w:sz w:val="28"/>
          <w:szCs w:val="28"/>
          <w:highlight w:val="none"/>
          <w:lang w:val="en-US" w:eastAsia="zh-CN"/>
        </w:rPr>
        <w:t>本项目所在地政府主管部门认可的标准、规范为准</w:t>
      </w:r>
      <w:r>
        <w:rPr>
          <w:rFonts w:hint="eastAsia" w:ascii="仿宋" w:hAnsi="仿宋" w:eastAsia="仿宋" w:cs="仿宋"/>
          <w:sz w:val="28"/>
          <w:szCs w:val="28"/>
          <w:highlight w:val="none"/>
        </w:rPr>
        <w:t>。</w:t>
      </w:r>
    </w:p>
    <w:p w14:paraId="68553CA0">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default"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4.4本合同签订后至开始供应产品前，乙方根据甲方对产品的技术要求（详见附件《关于混凝土材料、结构的抗裂措施等说明》）提交书面技术交底报告，注明在现场接收、泵送、浇筑、养护产品的注意事项，且甲乙双方须召开一次会议，对产品供应过程中的技术及双方相关人员的配合、协调等事项进行一次细致的研究和探讨，拟定可行的产品浇筑方案并形成会议纪要。乙方承诺以合格的产品及专业的技术保障甲方的施工质量。</w:t>
      </w:r>
    </w:p>
    <w:p w14:paraId="061AC03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4.5</w:t>
      </w:r>
      <w:r>
        <w:rPr>
          <w:rFonts w:hint="eastAsia" w:ascii="仿宋" w:hAnsi="仿宋" w:eastAsia="仿宋" w:cs="仿宋"/>
          <w:sz w:val="28"/>
          <w:szCs w:val="28"/>
          <w:highlight w:val="none"/>
        </w:rPr>
        <w:t>乙方混凝土到达施工现场的坍落度必须符合最新的国家标准《预拌混凝土》（GB/T 14902）规定：</w:t>
      </w:r>
      <w:r>
        <w:rPr>
          <w:rFonts w:hint="eastAsia" w:ascii="仿宋" w:hAnsi="仿宋" w:eastAsia="仿宋" w:cs="仿宋"/>
          <w:sz w:val="28"/>
          <w:szCs w:val="28"/>
          <w:highlight w:val="none"/>
          <w:u w:val="none"/>
        </w:rPr>
        <w:t>坍落度100mm以下误差±20mm，坍落度100mm以上误差±30mm。</w:t>
      </w:r>
    </w:p>
    <w:p w14:paraId="62F17693">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4.6粉煤灰必须符合国家建设现行相关检测标准要求，其细度、需水量比、含水量、三氧化硫、游离氧化钙、安定性等必须检测，并提供本项目所在地住建局认可单位出具的相应检测报告给甲方。</w:t>
      </w:r>
    </w:p>
    <w:p w14:paraId="7675775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4.7</w:t>
      </w:r>
      <w:r>
        <w:rPr>
          <w:rFonts w:hint="eastAsia" w:ascii="仿宋" w:hAnsi="仿宋" w:eastAsia="仿宋" w:cs="仿宋"/>
          <w:sz w:val="28"/>
          <w:szCs w:val="28"/>
          <w:highlight w:val="none"/>
        </w:rPr>
        <w:t>乙方供应的</w:t>
      </w:r>
      <w:r>
        <w:rPr>
          <w:rFonts w:hint="eastAsia" w:ascii="仿宋" w:hAnsi="仿宋" w:eastAsia="仿宋" w:cs="仿宋"/>
          <w:sz w:val="28"/>
          <w:szCs w:val="28"/>
          <w:highlight w:val="none"/>
          <w:lang w:val="en-US" w:eastAsia="zh-CN"/>
        </w:rPr>
        <w:t>产品须</w:t>
      </w:r>
      <w:r>
        <w:rPr>
          <w:rFonts w:hint="eastAsia" w:ascii="仿宋" w:hAnsi="仿宋" w:eastAsia="仿宋" w:cs="仿宋"/>
          <w:sz w:val="28"/>
          <w:szCs w:val="28"/>
          <w:highlight w:val="none"/>
        </w:rPr>
        <w:t>保证在标准养护下28天的强度达到设计强度和规范验收标准。</w:t>
      </w:r>
    </w:p>
    <w:p w14:paraId="5A3A55CD">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4.8乙方供应的产品质量不符合本合同要求的，乙方承担补救费用并赔偿甲方因此造成的损失（包括但不限于：甲方拆除不合格施工部位、重新施工、甲方向第三方采购产生的差价、甲方因此延误工期而向建设方承担的违约责任、赔偿责任等损失）。</w:t>
      </w:r>
    </w:p>
    <w:p w14:paraId="597DEC0D">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4.9因乙方送错产品或产品质量问题造成甲方损失的，由乙方全额赔偿甲方损失。</w:t>
      </w:r>
    </w:p>
    <w:p w14:paraId="47563837">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4.10如乙方原因导致产品浇筑施工过程中发生产品明显的离析现象等质量问题，甲方有权停止使用，余下产品由乙方自行退场处理或调配至合格产品且符合使用要求为止，同时乙方承担因离析现象等质量问题导致的一切责任、损失及费用。</w:t>
      </w:r>
    </w:p>
    <w:p w14:paraId="2988ACD2">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4.11如产品质量原因导致塞管、爆管的，所产生的费用及损失由乙方承担并赔偿甲方损失。</w:t>
      </w:r>
    </w:p>
    <w:p w14:paraId="4F3C1A34">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4.12其他要求：</w:t>
      </w:r>
      <w:bookmarkStart w:id="30" w:name="_Toc23033"/>
      <w:bookmarkStart w:id="31" w:name="_Toc4462"/>
      <w:r>
        <w:rPr>
          <w:rFonts w:hint="eastAsia" w:ascii="仿宋" w:hAnsi="仿宋" w:eastAsia="仿宋" w:cs="仿宋"/>
          <w:sz w:val="28"/>
          <w:szCs w:val="28"/>
          <w:highlight w:val="none"/>
          <w:u w:val="single"/>
          <w:lang w:val="en-US" w:eastAsia="zh-CN"/>
        </w:rPr>
        <w:t xml:space="preserve"> 无。</w:t>
      </w:r>
      <w:r>
        <w:rPr>
          <w:rFonts w:hint="eastAsia" w:ascii="仿宋" w:hAnsi="仿宋" w:eastAsia="仿宋" w:cs="仿宋"/>
          <w:sz w:val="28"/>
          <w:szCs w:val="28"/>
          <w:highlight w:val="none"/>
          <w:lang w:val="en-US" w:eastAsia="zh-CN"/>
        </w:rPr>
        <w:t xml:space="preserve">       </w:t>
      </w:r>
    </w:p>
    <w:p w14:paraId="4C48985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五、</w:t>
      </w:r>
      <w:r>
        <w:rPr>
          <w:rFonts w:hint="eastAsia" w:ascii="仿宋" w:hAnsi="仿宋" w:eastAsia="仿宋" w:cs="仿宋"/>
          <w:b/>
          <w:bCs/>
          <w:sz w:val="28"/>
          <w:szCs w:val="28"/>
          <w:highlight w:val="none"/>
          <w:lang w:eastAsia="zh-CN"/>
        </w:rPr>
        <w:t>订货、</w:t>
      </w:r>
      <w:r>
        <w:rPr>
          <w:rFonts w:hint="eastAsia" w:ascii="仿宋" w:hAnsi="仿宋" w:eastAsia="仿宋" w:cs="仿宋"/>
          <w:b/>
          <w:bCs/>
          <w:sz w:val="28"/>
          <w:szCs w:val="28"/>
          <w:highlight w:val="none"/>
        </w:rPr>
        <w:t>交货</w:t>
      </w:r>
      <w:bookmarkEnd w:id="30"/>
      <w:bookmarkEnd w:id="31"/>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验收</w:t>
      </w:r>
    </w:p>
    <w:p w14:paraId="0256421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5.1</w:t>
      </w:r>
      <w:r>
        <w:rPr>
          <w:rFonts w:hint="eastAsia" w:ascii="仿宋" w:hAnsi="仿宋" w:eastAsia="仿宋" w:cs="仿宋"/>
          <w:sz w:val="28"/>
          <w:szCs w:val="28"/>
          <w:highlight w:val="none"/>
          <w:lang w:eastAsia="zh-CN"/>
        </w:rPr>
        <w:t>订单确认方式：</w:t>
      </w:r>
      <w:r>
        <w:rPr>
          <w:rFonts w:hint="eastAsia" w:ascii="仿宋" w:hAnsi="仿宋" w:eastAsia="仿宋" w:cs="仿宋"/>
          <w:sz w:val="28"/>
          <w:szCs w:val="28"/>
          <w:highlight w:val="none"/>
          <w:lang w:val="en-US" w:eastAsia="zh-CN"/>
        </w:rPr>
        <w:t>甲方</w:t>
      </w:r>
      <w:r>
        <w:rPr>
          <w:rFonts w:hint="eastAsia" w:ascii="仿宋" w:hAnsi="仿宋" w:eastAsia="仿宋" w:cs="仿宋"/>
          <w:sz w:val="28"/>
          <w:szCs w:val="28"/>
          <w:highlight w:val="none"/>
          <w:lang w:eastAsia="zh-CN"/>
        </w:rPr>
        <w:t>在产品</w:t>
      </w:r>
      <w:r>
        <w:rPr>
          <w:rFonts w:hint="eastAsia" w:ascii="仿宋" w:hAnsi="仿宋" w:eastAsia="仿宋" w:cs="仿宋"/>
          <w:sz w:val="28"/>
          <w:szCs w:val="28"/>
          <w:highlight w:val="none"/>
          <w:lang w:val="en-US" w:eastAsia="zh-CN"/>
        </w:rPr>
        <w:t>使用之日的前</w:t>
      </w:r>
      <w:r>
        <w:rPr>
          <w:rFonts w:hint="eastAsia" w:ascii="仿宋" w:hAnsi="仿宋" w:eastAsia="仿宋" w:cs="仿宋"/>
          <w:sz w:val="28"/>
          <w:szCs w:val="28"/>
          <w:highlight w:val="none"/>
          <w:u w:val="none"/>
          <w:lang w:val="en-US" w:eastAsia="zh-CN"/>
        </w:rPr>
        <w:t>一个日历天17</w:t>
      </w:r>
      <w:r>
        <w:rPr>
          <w:rFonts w:hint="eastAsia" w:ascii="仿宋" w:hAnsi="仿宋" w:eastAsia="仿宋" w:cs="仿宋"/>
          <w:sz w:val="28"/>
          <w:szCs w:val="28"/>
          <w:highlight w:val="none"/>
          <w:u w:val="none"/>
          <w:lang w:eastAsia="zh-CN"/>
        </w:rPr>
        <w:t>：00</w:t>
      </w:r>
      <w:r>
        <w:rPr>
          <w:rFonts w:hint="eastAsia" w:ascii="仿宋" w:hAnsi="仿宋" w:eastAsia="仿宋" w:cs="仿宋"/>
          <w:sz w:val="28"/>
          <w:szCs w:val="28"/>
          <w:highlight w:val="none"/>
          <w:u w:val="none"/>
          <w:lang w:val="en-US" w:eastAsia="zh-CN"/>
        </w:rPr>
        <w:t>前，将符合甲方相关制度规定、有甲方相关人员签字完善的“物料申购单”（格式详见附件）发送给</w:t>
      </w:r>
      <w:r>
        <w:rPr>
          <w:rFonts w:hint="eastAsia" w:ascii="仿宋" w:hAnsi="仿宋" w:eastAsia="仿宋" w:cs="仿宋"/>
          <w:sz w:val="28"/>
          <w:szCs w:val="28"/>
          <w:highlight w:val="none"/>
          <w:lang w:val="en-US" w:eastAsia="zh-CN"/>
        </w:rPr>
        <w:t>合同约定的乙方合同</w:t>
      </w:r>
      <w:r>
        <w:rPr>
          <w:rFonts w:hint="eastAsia" w:ascii="仿宋" w:hAnsi="仿宋" w:eastAsia="仿宋" w:cs="仿宋"/>
          <w:sz w:val="28"/>
          <w:szCs w:val="28"/>
          <w:highlight w:val="none"/>
          <w:lang w:eastAsia="zh-CN"/>
        </w:rPr>
        <w:t>执行</w:t>
      </w:r>
      <w:r>
        <w:rPr>
          <w:rFonts w:hint="eastAsia" w:ascii="仿宋" w:hAnsi="仿宋" w:eastAsia="仿宋" w:cs="仿宋"/>
          <w:sz w:val="28"/>
          <w:szCs w:val="28"/>
          <w:highlight w:val="none"/>
          <w:lang w:val="en-US" w:eastAsia="zh-CN"/>
        </w:rPr>
        <w:t>代表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甲方发送方式</w:t>
      </w:r>
      <w:r>
        <w:rPr>
          <w:rFonts w:hint="eastAsia" w:ascii="仿宋" w:hAnsi="仿宋" w:eastAsia="仿宋" w:cs="仿宋"/>
          <w:sz w:val="28"/>
          <w:szCs w:val="28"/>
          <w:highlight w:val="none"/>
          <w:lang w:eastAsia="zh-CN"/>
        </w:rPr>
        <w:t>包括但不限于传真、</w:t>
      </w:r>
      <w:r>
        <w:rPr>
          <w:rFonts w:hint="eastAsia" w:ascii="仿宋" w:hAnsi="仿宋" w:eastAsia="仿宋" w:cs="仿宋"/>
          <w:sz w:val="28"/>
          <w:szCs w:val="28"/>
          <w:highlight w:val="none"/>
          <w:lang w:val="en-US" w:eastAsia="zh-CN"/>
        </w:rPr>
        <w:t>短信</w:t>
      </w:r>
      <w:r>
        <w:rPr>
          <w:rFonts w:hint="eastAsia" w:ascii="仿宋" w:hAnsi="仿宋" w:eastAsia="仿宋" w:cs="仿宋"/>
          <w:sz w:val="28"/>
          <w:szCs w:val="28"/>
          <w:highlight w:val="none"/>
          <w:lang w:eastAsia="zh-CN"/>
        </w:rPr>
        <w:t>、微信等方式。</w:t>
      </w:r>
    </w:p>
    <w:p w14:paraId="31B0D604">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sz w:val="28"/>
          <w:szCs w:val="28"/>
          <w:highlight w:val="none"/>
          <w:lang w:val="en-US" w:eastAsia="zh-CN"/>
        </w:rPr>
        <w:t>5.2</w:t>
      </w:r>
      <w:r>
        <w:rPr>
          <w:rFonts w:hint="eastAsia" w:ascii="仿宋" w:hAnsi="仿宋" w:eastAsia="仿宋" w:cs="仿宋"/>
          <w:sz w:val="28"/>
          <w:szCs w:val="28"/>
          <w:highlight w:val="none"/>
        </w:rPr>
        <w:t>交货地点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施工现场</w:t>
      </w:r>
      <w:r>
        <w:rPr>
          <w:rFonts w:hint="eastAsia" w:ascii="仿宋" w:hAnsi="仿宋" w:eastAsia="仿宋" w:cs="仿宋"/>
          <w:sz w:val="28"/>
          <w:szCs w:val="28"/>
          <w:highlight w:val="none"/>
          <w:lang w:eastAsia="zh-CN"/>
        </w:rPr>
        <w:t>）：</w:t>
      </w:r>
      <w:r>
        <w:rPr>
          <w:rFonts w:hint="eastAsia" w:ascii="仿宋" w:hAnsi="仿宋" w:eastAsia="仿宋" w:cs="仿宋"/>
          <w:b w:val="0"/>
          <w:bCs w:val="0"/>
          <w:color w:val="auto"/>
          <w:sz w:val="28"/>
          <w:szCs w:val="28"/>
          <w:highlight w:val="none"/>
          <w:u w:val="single"/>
          <w:lang w:val="en-US" w:eastAsia="zh-CN"/>
        </w:rPr>
        <w:t>南京市六合区南京现代表面处理科技产业中心项目A地块</w:t>
      </w:r>
      <w:r>
        <w:rPr>
          <w:rFonts w:hint="eastAsia" w:ascii="仿宋" w:hAnsi="仿宋" w:eastAsia="仿宋" w:cs="仿宋"/>
          <w:b w:val="0"/>
          <w:bCs w:val="0"/>
          <w:color w:val="auto"/>
          <w:sz w:val="28"/>
          <w:szCs w:val="28"/>
          <w:highlight w:val="none"/>
          <w:u w:val="single"/>
          <w:lang w:eastAsia="zh-CN"/>
        </w:rPr>
        <w:t>甲方指定地点</w:t>
      </w:r>
      <w:r>
        <w:rPr>
          <w:rFonts w:hint="eastAsia" w:ascii="仿宋" w:hAnsi="仿宋" w:eastAsia="仿宋" w:cs="仿宋"/>
          <w:b w:val="0"/>
          <w:bCs w:val="0"/>
          <w:color w:val="auto"/>
          <w:sz w:val="28"/>
          <w:szCs w:val="28"/>
          <w:highlight w:val="none"/>
          <w:lang w:val="en-US" w:eastAsia="zh-CN"/>
        </w:rPr>
        <w:t>。</w:t>
      </w:r>
    </w:p>
    <w:p w14:paraId="6894957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auto"/>
          <w:sz w:val="28"/>
          <w:szCs w:val="28"/>
          <w:highlight w:val="none"/>
          <w:lang w:val="en-US" w:eastAsia="zh-CN"/>
        </w:rPr>
        <w:t>5.3</w:t>
      </w:r>
      <w:r>
        <w:rPr>
          <w:rFonts w:hint="eastAsia" w:ascii="仿宋" w:hAnsi="仿宋" w:eastAsia="仿宋" w:cs="仿宋"/>
          <w:color w:val="auto"/>
          <w:sz w:val="28"/>
          <w:szCs w:val="28"/>
          <w:highlight w:val="none"/>
        </w:rPr>
        <w:t>交货期限</w:t>
      </w:r>
      <w:r>
        <w:rPr>
          <w:rFonts w:hint="eastAsia" w:ascii="仿宋" w:hAnsi="仿宋" w:eastAsia="仿宋" w:cs="仿宋"/>
          <w:color w:val="auto"/>
          <w:sz w:val="28"/>
          <w:szCs w:val="28"/>
          <w:highlight w:val="none"/>
          <w:lang w:eastAsia="zh-CN"/>
        </w:rPr>
        <w:t>：乙方自</w:t>
      </w:r>
      <w:r>
        <w:rPr>
          <w:rFonts w:hint="eastAsia" w:ascii="仿宋" w:hAnsi="仿宋" w:eastAsia="仿宋" w:cs="仿宋"/>
          <w:color w:val="auto"/>
          <w:sz w:val="28"/>
          <w:szCs w:val="28"/>
          <w:highlight w:val="none"/>
          <w:lang w:val="en-US" w:eastAsia="zh-CN"/>
        </w:rPr>
        <w:t>甲方通知起</w:t>
      </w:r>
      <w:r>
        <w:rPr>
          <w:rFonts w:hint="eastAsia" w:ascii="仿宋" w:hAnsi="仿宋" w:eastAsia="仿宋" w:cs="仿宋"/>
          <w:b/>
          <w:bCs/>
          <w:color w:val="auto"/>
          <w:sz w:val="28"/>
          <w:szCs w:val="28"/>
          <w:highlight w:val="yellow"/>
          <w:u w:val="single"/>
          <w:lang w:val="en-US" w:eastAsia="zh-CN"/>
        </w:rPr>
        <w:t xml:space="preserve"> 60 </w:t>
      </w:r>
      <w:r>
        <w:rPr>
          <w:rFonts w:hint="eastAsia" w:ascii="仿宋" w:hAnsi="仿宋" w:eastAsia="仿宋" w:cs="仿宋"/>
          <w:sz w:val="28"/>
          <w:szCs w:val="28"/>
          <w:highlight w:val="none"/>
          <w:lang w:val="en-US" w:eastAsia="zh-CN"/>
        </w:rPr>
        <w:t>分钟</w:t>
      </w:r>
      <w:r>
        <w:rPr>
          <w:rFonts w:hint="eastAsia" w:ascii="仿宋" w:hAnsi="仿宋" w:eastAsia="仿宋" w:cs="仿宋"/>
          <w:sz w:val="28"/>
          <w:szCs w:val="28"/>
          <w:highlight w:val="none"/>
        </w:rPr>
        <w:t>内</w:t>
      </w:r>
      <w:r>
        <w:rPr>
          <w:rFonts w:hint="eastAsia" w:ascii="仿宋" w:hAnsi="仿宋" w:eastAsia="仿宋" w:cs="仿宋"/>
          <w:sz w:val="28"/>
          <w:szCs w:val="28"/>
          <w:highlight w:val="none"/>
          <w:lang w:eastAsia="zh-CN"/>
        </w:rPr>
        <w:t>把</w:t>
      </w:r>
      <w:r>
        <w:rPr>
          <w:rFonts w:hint="eastAsia" w:ascii="仿宋" w:hAnsi="仿宋" w:eastAsia="仿宋" w:cs="仿宋"/>
          <w:sz w:val="28"/>
          <w:szCs w:val="28"/>
          <w:highlight w:val="none"/>
          <w:lang w:val="en-US" w:eastAsia="zh-CN"/>
        </w:rPr>
        <w:t>订单对应的该批</w:t>
      </w:r>
      <w:r>
        <w:rPr>
          <w:rFonts w:hint="eastAsia" w:ascii="仿宋" w:hAnsi="仿宋" w:eastAsia="仿宋" w:cs="仿宋"/>
          <w:sz w:val="28"/>
          <w:szCs w:val="28"/>
          <w:highlight w:val="none"/>
          <w:lang w:eastAsia="zh-CN"/>
        </w:rPr>
        <w:t>产品</w:t>
      </w:r>
      <w:r>
        <w:rPr>
          <w:rFonts w:hint="eastAsia" w:ascii="仿宋" w:hAnsi="仿宋" w:eastAsia="仿宋" w:cs="仿宋"/>
          <w:sz w:val="28"/>
          <w:szCs w:val="28"/>
          <w:highlight w:val="yellow"/>
          <w:lang w:eastAsia="zh-CN"/>
        </w:rPr>
        <w:t>按照甲方要求送齐至甲方指定地点</w:t>
      </w:r>
      <w:r>
        <w:rPr>
          <w:rFonts w:hint="eastAsia" w:ascii="仿宋" w:hAnsi="仿宋" w:eastAsia="仿宋" w:cs="仿宋"/>
          <w:sz w:val="28"/>
          <w:szCs w:val="28"/>
          <w:highlight w:val="yellow"/>
          <w:lang w:val="en-US" w:eastAsia="zh-CN"/>
        </w:rPr>
        <w:t>。</w:t>
      </w:r>
    </w:p>
    <w:p w14:paraId="1CA0E6CF">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5.3.1乙方送货不及时【包含不限于：在浇筑混凝土过程中供料中断40分钟（包括甲方退回的）】导致的各种损失（包括但不限于甲方向第三方采购产生的差价、甲方因此延误工期而向建设方承担的违约责任、赔偿责任等间接损失）及费用由乙方承担，且甲方有权向乙方计取壹万元/次的违约金。如乙方供货不及时情况发生2次以上，甲方可随时单方解除合同，同时乙方赔偿甲方因此产生的损失（包括但不限于甲方向第三方采购产生的差价、甲方因此延误工期而向建设方承担的违约责任、赔偿责任等间接损失）和全部费用。</w:t>
      </w:r>
    </w:p>
    <w:p w14:paraId="109113E3">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5.3.2产品送到交货地点时，产品运输时间、产品拌合物性能、产品所附带的出厂检验合格等相关资料不符合标准或合同约定时，甲方拒收该车产品，乙方自行退场处理并重新供应符合要求的产品。</w:t>
      </w:r>
    </w:p>
    <w:p w14:paraId="6B5110A9">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5.4每批产品浇筑前，乙方须将该批产品的原材料检验报告、配合比设计报告等所有本项目需要的资料送交甲方，如甲方要求质检站出具该批产品原材料检验报告，则由乙方无偿提供原材料。</w:t>
      </w:r>
    </w:p>
    <w:p w14:paraId="529EEED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5.5每批</w:t>
      </w:r>
      <w:r>
        <w:rPr>
          <w:rFonts w:hint="eastAsia" w:ascii="仿宋" w:hAnsi="仿宋" w:eastAsia="仿宋" w:cs="仿宋"/>
          <w:sz w:val="28"/>
          <w:szCs w:val="28"/>
          <w:highlight w:val="none"/>
        </w:rPr>
        <w:t>产品进场时，</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提供该批产品</w:t>
      </w:r>
      <w:r>
        <w:rPr>
          <w:rFonts w:hint="eastAsia" w:ascii="仿宋" w:hAnsi="仿宋" w:eastAsia="仿宋" w:cs="仿宋"/>
          <w:sz w:val="28"/>
          <w:szCs w:val="28"/>
          <w:highlight w:val="none"/>
          <w:lang w:eastAsia="zh-CN"/>
        </w:rPr>
        <w:t>的《产品出厂合格证》《原材料检验报告》《出厂质量证明书》及</w:t>
      </w:r>
      <w:r>
        <w:rPr>
          <w:rFonts w:hint="eastAsia" w:ascii="仿宋" w:hAnsi="仿宋" w:eastAsia="仿宋" w:cs="仿宋"/>
          <w:sz w:val="28"/>
          <w:szCs w:val="28"/>
          <w:highlight w:val="none"/>
          <w:lang w:val="en-US" w:eastAsia="zh-CN"/>
        </w:rPr>
        <w:t>政府主管部门要求的检验检测证明</w:t>
      </w:r>
      <w:r>
        <w:rPr>
          <w:rFonts w:hint="eastAsia" w:ascii="仿宋" w:hAnsi="仿宋" w:eastAsia="仿宋" w:cs="仿宋"/>
          <w:sz w:val="28"/>
          <w:szCs w:val="28"/>
          <w:highlight w:val="none"/>
        </w:rPr>
        <w:t>等相关资料</w:t>
      </w:r>
      <w:r>
        <w:rPr>
          <w:rFonts w:hint="eastAsia" w:ascii="仿宋" w:hAnsi="仿宋" w:eastAsia="仿宋" w:cs="仿宋"/>
          <w:sz w:val="28"/>
          <w:szCs w:val="28"/>
          <w:highlight w:val="none"/>
          <w:lang w:val="en-US" w:eastAsia="zh-CN"/>
        </w:rPr>
        <w:t>给甲方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经</w:t>
      </w:r>
      <w:r>
        <w:rPr>
          <w:rFonts w:hint="eastAsia" w:ascii="仿宋" w:hAnsi="仿宋" w:eastAsia="仿宋" w:cs="仿宋"/>
          <w:sz w:val="28"/>
          <w:szCs w:val="28"/>
          <w:highlight w:val="none"/>
          <w:lang w:eastAsia="zh-CN"/>
        </w:rPr>
        <w:t>甲方验收组工作人员</w:t>
      </w:r>
      <w:r>
        <w:rPr>
          <w:rFonts w:hint="eastAsia" w:ascii="仿宋" w:hAnsi="仿宋" w:eastAsia="仿宋" w:cs="仿宋"/>
          <w:sz w:val="28"/>
          <w:szCs w:val="28"/>
          <w:highlight w:val="none"/>
        </w:rPr>
        <w:t>核对</w:t>
      </w:r>
      <w:r>
        <w:rPr>
          <w:rFonts w:hint="eastAsia" w:ascii="仿宋" w:hAnsi="仿宋" w:eastAsia="仿宋" w:cs="仿宋"/>
          <w:sz w:val="28"/>
          <w:szCs w:val="28"/>
          <w:highlight w:val="none"/>
          <w:lang w:val="en-US" w:eastAsia="zh-CN"/>
        </w:rPr>
        <w:t>该批产品的</w:t>
      </w:r>
      <w:r>
        <w:rPr>
          <w:rFonts w:hint="eastAsia" w:ascii="仿宋" w:hAnsi="仿宋" w:eastAsia="仿宋" w:cs="仿宋"/>
          <w:sz w:val="28"/>
          <w:szCs w:val="28"/>
          <w:highlight w:val="none"/>
        </w:rPr>
        <w:t>品牌、</w:t>
      </w:r>
      <w:r>
        <w:rPr>
          <w:rFonts w:hint="eastAsia" w:ascii="仿宋" w:hAnsi="仿宋" w:eastAsia="仿宋" w:cs="仿宋"/>
          <w:sz w:val="28"/>
          <w:szCs w:val="28"/>
          <w:highlight w:val="none"/>
          <w:lang w:val="en-US" w:eastAsia="zh-CN"/>
        </w:rPr>
        <w:t>规格等各项参数</w:t>
      </w:r>
      <w:r>
        <w:rPr>
          <w:rFonts w:hint="eastAsia" w:ascii="仿宋" w:hAnsi="仿宋" w:eastAsia="仿宋" w:cs="仿宋"/>
          <w:sz w:val="28"/>
          <w:szCs w:val="28"/>
          <w:highlight w:val="none"/>
          <w:lang w:eastAsia="zh-CN"/>
        </w:rPr>
        <w:t>合格</w:t>
      </w:r>
      <w:r>
        <w:rPr>
          <w:rFonts w:hint="eastAsia" w:ascii="仿宋" w:hAnsi="仿宋" w:eastAsia="仿宋" w:cs="仿宋"/>
          <w:sz w:val="28"/>
          <w:szCs w:val="28"/>
          <w:highlight w:val="none"/>
        </w:rPr>
        <w:t>后</w:t>
      </w:r>
      <w:r>
        <w:rPr>
          <w:rFonts w:hint="eastAsia" w:ascii="仿宋" w:hAnsi="仿宋" w:eastAsia="仿宋" w:cs="仿宋"/>
          <w:sz w:val="28"/>
          <w:szCs w:val="28"/>
          <w:highlight w:val="none"/>
          <w:lang w:val="en-US" w:eastAsia="zh-CN"/>
        </w:rPr>
        <w:t>方可过磅。</w:t>
      </w:r>
    </w:p>
    <w:p w14:paraId="5CBB7BE7">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5.6供应产品时，乙方定期派技术人员到浇筑现场进行技术服务。供应大方量产品（单次浇筑量</w:t>
      </w:r>
      <w:r>
        <w:rPr>
          <w:rFonts w:hint="eastAsia" w:ascii="仿宋" w:hAnsi="仿宋" w:eastAsia="仿宋" w:cs="仿宋"/>
          <w:sz w:val="28"/>
          <w:szCs w:val="28"/>
          <w:highlight w:val="none"/>
          <w:u w:val="single"/>
          <w:lang w:val="en-US" w:eastAsia="zh-CN"/>
        </w:rPr>
        <w:t>≥200m³</w:t>
      </w:r>
      <w:r>
        <w:rPr>
          <w:rFonts w:hint="eastAsia" w:ascii="仿宋" w:hAnsi="仿宋" w:eastAsia="仿宋" w:cs="仿宋"/>
          <w:sz w:val="28"/>
          <w:szCs w:val="28"/>
          <w:highlight w:val="none"/>
          <w:lang w:val="en-US" w:eastAsia="zh-CN"/>
        </w:rPr>
        <w:t>）时，乙方派技术人员到浇筑现场进行全程技术服务。本条所述服务涉及的费用已含于合同单价中，甲方无需再付费给乙方。</w:t>
      </w:r>
    </w:p>
    <w:p w14:paraId="445F3542">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5.7甲方指定</w:t>
      </w:r>
      <w:r>
        <w:rPr>
          <w:rFonts w:hint="eastAsia" w:ascii="仿宋" w:hAnsi="仿宋" w:eastAsia="仿宋" w:cs="仿宋"/>
          <w:sz w:val="28"/>
          <w:szCs w:val="28"/>
          <w:highlight w:val="none"/>
          <w:u w:val="single"/>
          <w:lang w:val="en-US" w:eastAsia="zh-CN"/>
        </w:rPr>
        <w:t xml:space="preserve"> 彭善海（电话：13592796498）</w:t>
      </w:r>
      <w:r>
        <w:rPr>
          <w:rFonts w:hint="eastAsia" w:ascii="仿宋" w:hAnsi="仿宋" w:eastAsia="仿宋" w:cs="仿宋"/>
          <w:sz w:val="28"/>
          <w:szCs w:val="28"/>
          <w:highlight w:val="none"/>
          <w:lang w:val="en-US" w:eastAsia="zh-CN"/>
        </w:rPr>
        <w:t>为本合同的甲方执行联系人，</w:t>
      </w:r>
      <w:r>
        <w:rPr>
          <w:rFonts w:hint="eastAsia" w:ascii="仿宋" w:hAnsi="仿宋" w:eastAsia="仿宋" w:cs="仿宋"/>
          <w:color w:val="auto"/>
          <w:sz w:val="28"/>
          <w:szCs w:val="28"/>
          <w:highlight w:val="none"/>
          <w:lang w:val="en-US" w:eastAsia="zh-CN"/>
        </w:rPr>
        <w:t>指定</w:t>
      </w:r>
      <w:r>
        <w:rPr>
          <w:rFonts w:hint="eastAsia" w:ascii="仿宋" w:hAnsi="仿宋" w:eastAsia="仿宋" w:cs="仿宋"/>
          <w:color w:val="auto"/>
          <w:sz w:val="28"/>
          <w:szCs w:val="28"/>
          <w:highlight w:val="none"/>
          <w:u w:val="single"/>
          <w:lang w:val="en-US" w:eastAsia="zh-CN"/>
        </w:rPr>
        <w:t xml:space="preserve"> 杨军(电话：13652456602 ) </w:t>
      </w:r>
      <w:r>
        <w:rPr>
          <w:rFonts w:hint="eastAsia" w:ascii="仿宋" w:hAnsi="仿宋" w:eastAsia="仿宋" w:cs="仿宋"/>
          <w:color w:val="auto"/>
          <w:sz w:val="28"/>
          <w:szCs w:val="28"/>
          <w:highlight w:val="none"/>
          <w:lang w:val="en-US" w:eastAsia="zh-CN"/>
        </w:rPr>
        <w:t>为产品签收人。</w:t>
      </w:r>
      <w:r>
        <w:rPr>
          <w:rFonts w:hint="eastAsia" w:ascii="仿宋" w:hAnsi="仿宋" w:eastAsia="仿宋" w:cs="仿宋"/>
          <w:sz w:val="28"/>
          <w:szCs w:val="28"/>
          <w:highlight w:val="none"/>
          <w:lang w:val="en-US" w:eastAsia="zh-CN"/>
        </w:rPr>
        <w:t>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执行联系人签名并加盖甲方项目章（样式详见附件）方为有效，否则为无效文件，仅盖章或者签名的文件亦无效。甲方项目负责人、执行联系人变更的，甲方将以书面形式通知乙方。</w:t>
      </w:r>
    </w:p>
    <w:p w14:paraId="68BBA06E">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5.7.1本合同约定的甲方项目章仅供甲方项目部与乙方联系工作和确认施工技术、资料之用。乙方知悉并同意，该项目章用于以下情形时无效：</w:t>
      </w:r>
    </w:p>
    <w:p w14:paraId="1B88EE4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5.7.1.1签订合同；</w:t>
      </w:r>
    </w:p>
    <w:p w14:paraId="184FEEEC">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5.7.1.2任何类型的欠条或收据；</w:t>
      </w:r>
    </w:p>
    <w:p w14:paraId="64BFFD24">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5.7.1.3任何形式的经济结算凭证；</w:t>
      </w:r>
    </w:p>
    <w:p w14:paraId="2D00F4BD">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5.7.1.4为他人或他单位提供任何形式的担保；</w:t>
      </w:r>
    </w:p>
    <w:p w14:paraId="1F41B96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5.7.1.5确认任何形式的包含权利义务及责任承担的文件。</w:t>
      </w:r>
    </w:p>
    <w:p w14:paraId="46541929">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5.8乙方指定</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single"/>
          <w:lang w:val="en-US" w:eastAsia="zh-CN"/>
        </w:rPr>
        <w:t xml:space="preserve"> （身份证号码：         ；手机号码：    ）</w:t>
      </w:r>
      <w:r>
        <w:rPr>
          <w:rFonts w:hint="eastAsia" w:ascii="仿宋" w:hAnsi="仿宋" w:eastAsia="仿宋" w:cs="仿宋"/>
          <w:b w:val="0"/>
          <w:bCs w:val="0"/>
          <w:color w:val="auto"/>
          <w:sz w:val="28"/>
          <w:szCs w:val="28"/>
          <w:highlight w:val="none"/>
          <w:lang w:val="en-US" w:eastAsia="zh-CN"/>
        </w:rPr>
        <w:t>作</w:t>
      </w:r>
      <w:r>
        <w:rPr>
          <w:rFonts w:hint="eastAsia" w:ascii="仿宋" w:hAnsi="仿宋" w:eastAsia="仿宋" w:cs="仿宋"/>
          <w:color w:val="auto"/>
          <w:sz w:val="28"/>
          <w:szCs w:val="28"/>
          <w:highlight w:val="none"/>
          <w:lang w:val="en-US" w:eastAsia="zh-CN"/>
        </w:rPr>
        <w:t>为</w:t>
      </w:r>
      <w:r>
        <w:rPr>
          <w:rFonts w:hint="eastAsia" w:ascii="仿宋" w:hAnsi="仿宋" w:eastAsia="仿宋" w:cs="仿宋"/>
          <w:sz w:val="28"/>
          <w:szCs w:val="28"/>
          <w:highlight w:val="none"/>
          <w:lang w:val="en-US" w:eastAsia="zh-CN"/>
        </w:rPr>
        <w:t>其授权代表（乙方合同执行代表），在本合同有效期内执行与本合同有关的事项，两位代表具有相同权限，任何一人均有权以乙方的名义处理与本合同相关的一切事务，乙方对其行为均认可并承担一切责任。如两位代表的意见不一致或行为不统一，则以对甲方最有利的意见或行为为准。乙方如需更换授权代表，应提前3个日历天以书面形式通知甲方。</w:t>
      </w:r>
    </w:p>
    <w:p w14:paraId="5809AA85">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5.9</w:t>
      </w:r>
      <w:r>
        <w:rPr>
          <w:rFonts w:hint="eastAsia" w:ascii="仿宋" w:hAnsi="仿宋" w:eastAsia="仿宋" w:cs="仿宋"/>
          <w:sz w:val="28"/>
          <w:szCs w:val="28"/>
          <w:highlight w:val="none"/>
          <w:lang w:eastAsia="zh-CN"/>
        </w:rPr>
        <w:t>除甲方项目部负责人外，甲方项目部其他任何人对涉及费用的所有文件、资料无权进行确定、批准。甲方的项目部负责人在履行本合同过程中，对涉及费用的所有文件、资料审批权限为不超过三千元/次（含税）。三千元/次以该负责人负责管理的项目为最小单位，不得分地块、分期、分楼栋、分部位拆分使用权限。涉及费用超过三千元的文件、资料，无论甲方的项目部负责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4587D91C">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5.10</w:t>
      </w:r>
      <w:r>
        <w:rPr>
          <w:rFonts w:hint="eastAsia" w:ascii="仿宋" w:hAnsi="仿宋" w:eastAsia="仿宋" w:cs="仿宋"/>
          <w:sz w:val="28"/>
          <w:szCs w:val="28"/>
          <w:highlight w:val="none"/>
          <w:lang w:eastAsia="zh-CN"/>
        </w:rPr>
        <w:t>乙方在选择运输</w:t>
      </w:r>
      <w:r>
        <w:rPr>
          <w:rFonts w:hint="eastAsia" w:ascii="仿宋" w:hAnsi="仿宋" w:eastAsia="仿宋" w:cs="仿宋"/>
          <w:sz w:val="28"/>
          <w:szCs w:val="28"/>
          <w:highlight w:val="none"/>
          <w:lang w:val="en-US" w:eastAsia="zh-CN"/>
        </w:rPr>
        <w:t>产品</w:t>
      </w:r>
      <w:r>
        <w:rPr>
          <w:rFonts w:hint="eastAsia" w:ascii="仿宋" w:hAnsi="仿宋" w:eastAsia="仿宋" w:cs="仿宋"/>
          <w:sz w:val="28"/>
          <w:szCs w:val="28"/>
          <w:highlight w:val="none"/>
          <w:lang w:eastAsia="zh-CN"/>
        </w:rPr>
        <w:t>时，</w:t>
      </w:r>
      <w:r>
        <w:rPr>
          <w:rFonts w:hint="eastAsia" w:ascii="仿宋" w:hAnsi="仿宋" w:eastAsia="仿宋" w:cs="仿宋"/>
          <w:sz w:val="28"/>
          <w:szCs w:val="28"/>
          <w:highlight w:val="none"/>
          <w:lang w:val="en-US" w:eastAsia="zh-CN"/>
        </w:rPr>
        <w:t>须</w:t>
      </w:r>
      <w:r>
        <w:rPr>
          <w:rFonts w:hint="eastAsia" w:ascii="仿宋" w:hAnsi="仿宋" w:eastAsia="仿宋" w:cs="仿宋"/>
          <w:sz w:val="28"/>
          <w:szCs w:val="28"/>
          <w:highlight w:val="none"/>
          <w:lang w:eastAsia="zh-CN"/>
        </w:rPr>
        <w:t>提前</w:t>
      </w:r>
      <w:r>
        <w:rPr>
          <w:rFonts w:hint="eastAsia" w:ascii="仿宋" w:hAnsi="仿宋" w:eastAsia="仿宋" w:cs="仿宋"/>
          <w:sz w:val="28"/>
          <w:szCs w:val="28"/>
          <w:highlight w:val="none"/>
          <w:lang w:val="en-US" w:eastAsia="zh-CN"/>
        </w:rPr>
        <w:t>向</w:t>
      </w:r>
      <w:r>
        <w:rPr>
          <w:rFonts w:hint="eastAsia" w:ascii="仿宋" w:hAnsi="仿宋" w:eastAsia="仿宋" w:cs="仿宋"/>
          <w:sz w:val="28"/>
          <w:szCs w:val="28"/>
          <w:highlight w:val="none"/>
          <w:lang w:eastAsia="zh-CN"/>
        </w:rPr>
        <w:t>甲方项目部安全员</w:t>
      </w:r>
      <w:r>
        <w:rPr>
          <w:rFonts w:hint="eastAsia" w:ascii="仿宋" w:hAnsi="仿宋" w:eastAsia="仿宋" w:cs="仿宋"/>
          <w:sz w:val="28"/>
          <w:szCs w:val="28"/>
          <w:highlight w:val="none"/>
          <w:lang w:val="en-US" w:eastAsia="zh-CN"/>
        </w:rPr>
        <w:t>报备</w:t>
      </w:r>
      <w:r>
        <w:rPr>
          <w:rFonts w:hint="eastAsia" w:ascii="仿宋" w:hAnsi="仿宋" w:eastAsia="仿宋" w:cs="仿宋"/>
          <w:sz w:val="28"/>
          <w:szCs w:val="28"/>
          <w:highlight w:val="none"/>
          <w:lang w:eastAsia="zh-CN"/>
        </w:rPr>
        <w:t>并服从甲方人员指挥，选择适合的路线准时抵达，避免现场车辆拥堵，运输车辆</w:t>
      </w:r>
      <w:r>
        <w:rPr>
          <w:rFonts w:hint="eastAsia" w:ascii="仿宋" w:hAnsi="仿宋" w:eastAsia="仿宋" w:cs="仿宋"/>
          <w:sz w:val="28"/>
          <w:szCs w:val="28"/>
          <w:highlight w:val="none"/>
          <w:lang w:val="en-US" w:eastAsia="zh-CN"/>
        </w:rPr>
        <w:t>加产品</w:t>
      </w:r>
      <w:r>
        <w:rPr>
          <w:rFonts w:hint="eastAsia" w:ascii="仿宋" w:hAnsi="仿宋" w:eastAsia="仿宋" w:cs="仿宋"/>
          <w:sz w:val="28"/>
          <w:szCs w:val="28"/>
          <w:highlight w:val="none"/>
          <w:lang w:eastAsia="zh-CN"/>
        </w:rPr>
        <w:t>总重不得超过现场道路限载，装卸时注意施工安全。</w:t>
      </w:r>
    </w:p>
    <w:p w14:paraId="78D7FC8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5.11收货验收流程及标准：</w:t>
      </w:r>
    </w:p>
    <w:p w14:paraId="65525D2F">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5.11.1乙方送货前须提前向甲方告知送货司机的姓名、联系电话、车牌号，乙方送货单须盖乙方公章。</w:t>
      </w:r>
    </w:p>
    <w:p w14:paraId="05147BC9">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5.11.2产品进场时乙方向甲方提供“产品出厂合格证、原材料检验报告、出厂质量证明书、产品强度等级、立方量、坍落度、使用地块、部位和出厂时间”等相关资料并在当天移交甲方存档。</w:t>
      </w:r>
    </w:p>
    <w:p w14:paraId="4D22D610">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5.11.3甲方项目施工员在产品进场时对规格、型号、质量等</w:t>
      </w:r>
      <w:r>
        <w:rPr>
          <w:rFonts w:hint="eastAsia" w:ascii="仿宋" w:hAnsi="仿宋" w:eastAsia="仿宋" w:cs="仿宋"/>
          <w:sz w:val="28"/>
          <w:szCs w:val="28"/>
          <w:highlight w:val="yellow"/>
          <w:lang w:val="en-US" w:eastAsia="zh-CN"/>
        </w:rPr>
        <w:t>进行外观检查并</w:t>
      </w:r>
      <w:r>
        <w:rPr>
          <w:rFonts w:hint="eastAsia" w:ascii="仿宋" w:hAnsi="仿宋" w:eastAsia="仿宋" w:cs="仿宋"/>
          <w:sz w:val="28"/>
          <w:szCs w:val="28"/>
          <w:highlight w:val="none"/>
          <w:lang w:val="en-US" w:eastAsia="zh-CN"/>
        </w:rPr>
        <w:t>拍照留存。</w:t>
      </w:r>
    </w:p>
    <w:p w14:paraId="0030E37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5.11.4每车产品进场后，甲方按最新版的国家标准《预拌混凝土》（GB/T 14902）对乙方所供产品进行现场取样，其结果作为验收产品表面、外观质量的依据。如现场抽样送检试块强度不合格或甲方认为产品有质量问题且甲乙双方意见不一致时，根据质检站要求使用抽芯及超声波综合法等方法进行检测（具体方法以甲方确定为准），对现场抽样送检费用，若产品检验合格则由甲方承担，不合格则由乙方承担且乙方承担由此产生的责任、费用并无条件将该批产品更换为合格产品（货期不予延长），同时甲方亦有权单方解除合同。如甲方单方解除合同，乙方退还全部已收款项并赔偿甲方损失。</w:t>
      </w:r>
      <w:r>
        <w:rPr>
          <w:rFonts w:hint="eastAsia" w:ascii="仿宋" w:hAnsi="仿宋" w:eastAsia="仿宋" w:cs="仿宋"/>
          <w:sz w:val="28"/>
          <w:szCs w:val="28"/>
          <w:highlight w:val="yellow"/>
          <w:lang w:val="en-US" w:eastAsia="zh-CN"/>
        </w:rPr>
        <w:t>甲方按照规范现场取样并进行养护，其结果作为甲方工程质量管理，工程资料组卷归档，各种验收，货款支付，质量责任、违约责任及损失费用划分及承担的依据。</w:t>
      </w:r>
    </w:p>
    <w:p w14:paraId="4AC2FD8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5.11.5产品如与合同约定不符（如产品的规格、型号、质量等），甲方按合同要求直接拒收、退场并作好记录备查，甲方不折价签收不符合合同要求的产品，乙方无条件更换至符合合同要求为止且货期不顺延，乙方就此事宜向甲方承担所有补救费用及一万元/次的违约金，甲方有权在任意一笔应付乙方的合同款中自行扣取违约金。乙方不更换或更换三次仍不合格的，甲方有权单方终止合同，乙方自甲方要求之日起三个日历天内退还全部已收款给甲方，同时按合同暂定总价的20%支付违约金并赔偿甲方损失。</w:t>
      </w:r>
    </w:p>
    <w:p w14:paraId="67F10D4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5.11.6产品在甲方交货地点的过磅单，乙方搅拌车的驾驶员须签名确认，否则甲方不予支付相关费用。</w:t>
      </w:r>
    </w:p>
    <w:p w14:paraId="4C88C6F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5.12甲方收货后，若甲方对产品数量、质量等级等再次复查的，乙方须无条件配合，且复查结果作为结算依据，复查程序等按甲方要求执行。乙方须派指定人员参与甲方对产品验收。</w:t>
      </w:r>
    </w:p>
    <w:p w14:paraId="68DE763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5.13产品送至交货地点后，现场表观验收结果合格为形式检验，其质量均以当地住建局认可的有资质相关检测中心检测结果为准。甲方有权要求对产品送至第三方单位（须具备相应专业资质）鉴定、检测。如鉴定结果不合格，乙方除承担鉴定、检测费用外，同时承担因不合格导致的其它一切损失及费用；鉴定结果合格的，则由甲方承担鉴定、检测费。</w:t>
      </w:r>
    </w:p>
    <w:p w14:paraId="34DCB8E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5.14产品送至交货地点后，尽管现场表观验收结果合格，如果有下列情形之一的，则由乙方承担全部责任、损失及费用：</w:t>
      </w:r>
    </w:p>
    <w:p w14:paraId="4AEAE4C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5.14.1混凝土使用原材料不合格的</w:t>
      </w:r>
      <w:r>
        <w:rPr>
          <w:rFonts w:hint="eastAsia" w:ascii="仿宋" w:hAnsi="仿宋" w:eastAsia="仿宋" w:cs="仿宋"/>
          <w:sz w:val="28"/>
          <w:szCs w:val="28"/>
          <w:highlight w:val="yellow"/>
          <w:lang w:val="en-US" w:eastAsia="zh-CN"/>
        </w:rPr>
        <w:t>及混凝土质量不符合国家相关规范规定及地方标准文件的</w:t>
      </w:r>
      <w:r>
        <w:rPr>
          <w:rFonts w:hint="eastAsia" w:ascii="仿宋" w:hAnsi="仿宋" w:eastAsia="仿宋" w:cs="仿宋"/>
          <w:sz w:val="28"/>
          <w:szCs w:val="28"/>
          <w:highlight w:val="none"/>
          <w:lang w:val="en-US" w:eastAsia="zh-CN"/>
        </w:rPr>
        <w:t>；</w:t>
      </w:r>
    </w:p>
    <w:p w14:paraId="514FAD2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5.14.2混凝土配合比设计或实际使用的生产配比有误的；</w:t>
      </w:r>
    </w:p>
    <w:p w14:paraId="043E819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5.14.3游离氧化钙f-CaO对混凝土质量有不良影响，混凝土氯离子含量及其他耐久性指标不满足设计要求的；</w:t>
      </w:r>
    </w:p>
    <w:p w14:paraId="0516649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5.14.4因乙方送错料或混凝土本身质量问题的；</w:t>
      </w:r>
    </w:p>
    <w:p w14:paraId="3A956F5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5.14.5部分混凝土出现外加剂用量不准确的 (目测无法判别的,通过浇筑到现场的混凝土凝固时间和拆模后的外观判定)；</w:t>
      </w:r>
    </w:p>
    <w:p w14:paraId="6DEE253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5.14.6混凝土浇筑施工过程当中发现有离析现象等质量问题的；</w:t>
      </w:r>
    </w:p>
    <w:p w14:paraId="75B3F87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5.14.7用回弹仪对混凝士的标准养护试块及现场结构进行回弹检测，试块强度不能达到设计强度的100%。</w:t>
      </w:r>
    </w:p>
    <w:p w14:paraId="34C69EB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5.14.8</w:t>
      </w:r>
      <w:r>
        <w:rPr>
          <w:rFonts w:hint="eastAsia" w:ascii="仿宋" w:hAnsi="仿宋" w:eastAsia="仿宋" w:cs="仿宋"/>
          <w:sz w:val="28"/>
          <w:szCs w:val="28"/>
          <w:highlight w:val="yellow"/>
          <w:lang w:val="en-US" w:eastAsia="zh-CN"/>
        </w:rPr>
        <w:t>乙方在其原材料检验检测，施工配合比设计，预拌生产过程中不按国家相关规范执行的。</w:t>
      </w:r>
    </w:p>
    <w:p w14:paraId="5F10C07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5.15乙方履约过程中，报送甲方项目部签名的台班记录单、送货单、对账单等单据中，各种违背本合同约定的文字表述内容均无效，乙方承诺仍按本合同执行，但如单据约定的乙方赔偿和违约责任高于本合同约定的，则适用更高的标准。</w:t>
      </w:r>
    </w:p>
    <w:p w14:paraId="1C6E2E2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sz w:val="28"/>
          <w:szCs w:val="28"/>
          <w:highlight w:val="none"/>
          <w:lang w:val="en-US" w:eastAsia="zh-CN"/>
        </w:rPr>
        <w:t>5.16产品数量结算依据为甲方指定的本合同甲方执行联系人和验收组人员共同签名的签收单及甲方认可的相关资料</w:t>
      </w:r>
      <w:r>
        <w:rPr>
          <w:rFonts w:hint="eastAsia" w:ascii="仿宋" w:hAnsi="仿宋" w:eastAsia="仿宋" w:cs="仿宋"/>
          <w:b w:val="0"/>
          <w:bCs w:val="0"/>
          <w:color w:val="auto"/>
          <w:sz w:val="28"/>
          <w:highlight w:val="none"/>
          <w:u w:val="none"/>
          <w:lang w:eastAsia="zh-CN"/>
        </w:rPr>
        <w:t>。</w:t>
      </w:r>
    </w:p>
    <w:p w14:paraId="3507DD7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5.17在泵送设备按计划进场前一日，乙方派人到工程现场勘查设备使用环境，与甲方共同制定合理的使用设备型号及设备最佳停放位置，报甲方审核通过后方可安排进场。</w:t>
      </w:r>
    </w:p>
    <w:p w14:paraId="03A1BA0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5.18泵送设备进入施工现场，甲方栋号施工员须马上与乙方合同指定人员核对设备类型是否与《物料申购单》内容相符，若与计划机型不符(如计划 37 米，到场地 52 米)需更换机型。</w:t>
      </w:r>
    </w:p>
    <w:p w14:paraId="07E989B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5.18当泵送设备在施工过程中发生故障而在1.5小时内不能修复的，乙方须马上调换其它正常的设备代用，且该设备故障期间不计任何费用，由此导致的施工分包单位损失费用由乙方承担。</w:t>
      </w:r>
    </w:p>
    <w:p w14:paraId="365952C0">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
          <w:bCs/>
          <w:sz w:val="28"/>
          <w:szCs w:val="28"/>
          <w:highlight w:val="none"/>
          <w:lang w:val="en-US" w:eastAsia="zh-CN"/>
        </w:rPr>
      </w:pPr>
      <w:bookmarkStart w:id="32" w:name="_Toc7651"/>
      <w:bookmarkStart w:id="33" w:name="_Toc3158"/>
      <w:bookmarkStart w:id="34" w:name="_Toc21482"/>
      <w:r>
        <w:rPr>
          <w:rFonts w:hint="eastAsia" w:ascii="仿宋" w:hAnsi="仿宋" w:eastAsia="仿宋" w:cs="仿宋"/>
          <w:b/>
          <w:bCs/>
          <w:sz w:val="28"/>
          <w:szCs w:val="28"/>
          <w:highlight w:val="none"/>
          <w:lang w:eastAsia="zh-CN"/>
        </w:rPr>
        <w:t>第六章、</w:t>
      </w:r>
      <w:bookmarkEnd w:id="32"/>
      <w:r>
        <w:rPr>
          <w:rFonts w:hint="eastAsia" w:ascii="仿宋" w:hAnsi="仿宋" w:eastAsia="仿宋" w:cs="仿宋"/>
          <w:b/>
          <w:bCs/>
          <w:sz w:val="28"/>
          <w:szCs w:val="28"/>
          <w:highlight w:val="none"/>
          <w:lang w:val="en-US" w:eastAsia="zh-CN"/>
        </w:rPr>
        <w:t>质保</w:t>
      </w:r>
      <w:bookmarkEnd w:id="33"/>
      <w:bookmarkEnd w:id="34"/>
    </w:p>
    <w:p w14:paraId="7577F875">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6.1</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按法律、法规和国家有关规定对产品在质保期内承担质量保修责任</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质保期内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如产品不能使用</w:t>
      </w:r>
      <w:r>
        <w:rPr>
          <w:rFonts w:hint="eastAsia" w:ascii="仿宋" w:hAnsi="仿宋" w:eastAsia="仿宋" w:cs="仿宋"/>
          <w:sz w:val="28"/>
          <w:szCs w:val="28"/>
          <w:highlight w:val="none"/>
          <w:lang w:val="en-US" w:eastAsia="zh-CN"/>
        </w:rPr>
        <w:t>需</w:t>
      </w:r>
      <w:r>
        <w:rPr>
          <w:rFonts w:hint="eastAsia" w:ascii="仿宋" w:hAnsi="仿宋" w:eastAsia="仿宋" w:cs="仿宋"/>
          <w:sz w:val="28"/>
          <w:szCs w:val="28"/>
          <w:highlight w:val="none"/>
        </w:rPr>
        <w:t>更换，则该</w:t>
      </w:r>
      <w:r>
        <w:rPr>
          <w:rFonts w:hint="eastAsia" w:ascii="仿宋" w:hAnsi="仿宋" w:eastAsia="仿宋" w:cs="仿宋"/>
          <w:sz w:val="28"/>
          <w:szCs w:val="28"/>
          <w:highlight w:val="none"/>
          <w:lang w:val="en-US" w:eastAsia="zh-CN"/>
        </w:rPr>
        <w:t>部位</w:t>
      </w:r>
      <w:r>
        <w:rPr>
          <w:rFonts w:hint="eastAsia" w:ascii="仿宋" w:hAnsi="仿宋" w:eastAsia="仿宋" w:cs="仿宋"/>
          <w:sz w:val="28"/>
          <w:szCs w:val="28"/>
          <w:highlight w:val="none"/>
        </w:rPr>
        <w:t>产品质保期自更换之日起重新计算。 </w:t>
      </w:r>
    </w:p>
    <w:p w14:paraId="40F59857">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6.2</w:t>
      </w:r>
      <w:r>
        <w:rPr>
          <w:rFonts w:hint="eastAsia" w:ascii="仿宋" w:hAnsi="仿宋" w:eastAsia="仿宋" w:cs="仿宋"/>
          <w:sz w:val="28"/>
          <w:szCs w:val="28"/>
          <w:highlight w:val="yellow"/>
          <w:lang w:eastAsia="zh-CN"/>
        </w:rPr>
        <w:t>乙方</w:t>
      </w:r>
      <w:r>
        <w:rPr>
          <w:rFonts w:hint="eastAsia" w:ascii="仿宋" w:hAnsi="仿宋" w:eastAsia="仿宋" w:cs="仿宋"/>
          <w:sz w:val="28"/>
          <w:szCs w:val="28"/>
          <w:highlight w:val="yellow"/>
        </w:rPr>
        <w:t>对产品实行</w:t>
      </w:r>
      <w:r>
        <w:rPr>
          <w:rFonts w:hint="eastAsia" w:ascii="仿宋" w:hAnsi="仿宋" w:eastAsia="仿宋" w:cs="仿宋"/>
          <w:sz w:val="28"/>
          <w:szCs w:val="28"/>
          <w:highlight w:val="yellow"/>
          <w:u w:val="single"/>
          <w:lang w:val="en-US" w:eastAsia="zh-CN"/>
        </w:rPr>
        <w:t xml:space="preserve"> </w:t>
      </w:r>
      <w:r>
        <w:rPr>
          <w:rFonts w:hint="eastAsia" w:ascii="仿宋" w:hAnsi="仿宋" w:eastAsia="仿宋" w:cs="仿宋"/>
          <w:color w:val="auto"/>
          <w:sz w:val="28"/>
          <w:szCs w:val="28"/>
          <w:highlight w:val="yellow"/>
          <w:u w:val="single"/>
          <w:lang w:val="en-US" w:eastAsia="zh-CN"/>
        </w:rPr>
        <w:t xml:space="preserve">50 </w:t>
      </w:r>
      <w:r>
        <w:rPr>
          <w:rFonts w:hint="eastAsia" w:ascii="仿宋" w:hAnsi="仿宋" w:eastAsia="仿宋" w:cs="仿宋"/>
          <w:sz w:val="28"/>
          <w:szCs w:val="28"/>
          <w:highlight w:val="yellow"/>
        </w:rPr>
        <w:t>年免费质保</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政府主管部门</w:t>
      </w:r>
      <w:r>
        <w:rPr>
          <w:rFonts w:hint="eastAsia" w:ascii="仿宋" w:hAnsi="仿宋" w:eastAsia="仿宋" w:cs="仿宋"/>
          <w:sz w:val="28"/>
          <w:szCs w:val="28"/>
          <w:highlight w:val="none"/>
        </w:rPr>
        <w:t>另有更长质保</w:t>
      </w:r>
      <w:r>
        <w:rPr>
          <w:rFonts w:hint="eastAsia" w:ascii="仿宋" w:hAnsi="仿宋" w:eastAsia="仿宋" w:cs="仿宋"/>
          <w:sz w:val="28"/>
          <w:szCs w:val="28"/>
          <w:highlight w:val="none"/>
          <w:lang w:val="en-US" w:eastAsia="zh-CN"/>
        </w:rPr>
        <w:t>期限</w:t>
      </w:r>
      <w:r>
        <w:rPr>
          <w:rFonts w:hint="eastAsia" w:ascii="仿宋" w:hAnsi="仿宋" w:eastAsia="仿宋" w:cs="仿宋"/>
          <w:sz w:val="28"/>
          <w:szCs w:val="28"/>
          <w:highlight w:val="none"/>
        </w:rPr>
        <w:t>规定的，从其规定)，质保期自</w:t>
      </w:r>
      <w:r>
        <w:rPr>
          <w:rFonts w:hint="eastAsia" w:ascii="仿宋" w:hAnsi="仿宋" w:eastAsia="仿宋" w:cs="仿宋"/>
          <w:sz w:val="28"/>
          <w:szCs w:val="28"/>
          <w:highlight w:val="none"/>
          <w:lang w:eastAsia="zh-CN"/>
        </w:rPr>
        <w:t>产品经甲方</w:t>
      </w:r>
      <w:r>
        <w:rPr>
          <w:rFonts w:hint="eastAsia" w:ascii="仿宋" w:hAnsi="仿宋" w:eastAsia="仿宋" w:cs="仿宋"/>
          <w:sz w:val="28"/>
          <w:szCs w:val="28"/>
          <w:highlight w:val="none"/>
        </w:rPr>
        <w:t>验收合格</w:t>
      </w:r>
      <w:r>
        <w:rPr>
          <w:rFonts w:hint="eastAsia" w:ascii="仿宋" w:hAnsi="仿宋" w:eastAsia="仿宋" w:cs="仿宋"/>
          <w:sz w:val="28"/>
          <w:szCs w:val="28"/>
          <w:highlight w:val="none"/>
          <w:lang w:eastAsia="zh-CN"/>
        </w:rPr>
        <w:t>并</w:t>
      </w:r>
      <w:r>
        <w:rPr>
          <w:rFonts w:hint="eastAsia" w:ascii="仿宋" w:hAnsi="仿宋" w:eastAsia="仿宋" w:cs="仿宋"/>
          <w:sz w:val="28"/>
          <w:szCs w:val="28"/>
          <w:highlight w:val="none"/>
        </w:rPr>
        <w:t>移交</w:t>
      </w:r>
      <w:r>
        <w:rPr>
          <w:rFonts w:hint="eastAsia" w:ascii="仿宋" w:hAnsi="仿宋" w:eastAsia="仿宋" w:cs="仿宋"/>
          <w:sz w:val="28"/>
          <w:szCs w:val="28"/>
          <w:highlight w:val="none"/>
          <w:lang w:val="en-US" w:eastAsia="zh-CN"/>
        </w:rPr>
        <w:t>建设</w:t>
      </w:r>
      <w:r>
        <w:rPr>
          <w:rFonts w:hint="eastAsia" w:ascii="仿宋" w:hAnsi="仿宋" w:eastAsia="仿宋" w:cs="仿宋"/>
          <w:sz w:val="28"/>
          <w:szCs w:val="28"/>
          <w:highlight w:val="none"/>
          <w:lang w:eastAsia="zh-CN"/>
        </w:rPr>
        <w:t>方</w:t>
      </w:r>
      <w:r>
        <w:rPr>
          <w:rFonts w:hint="eastAsia" w:ascii="仿宋" w:hAnsi="仿宋" w:eastAsia="仿宋" w:cs="仿宋"/>
          <w:sz w:val="28"/>
          <w:szCs w:val="28"/>
          <w:highlight w:val="none"/>
        </w:rPr>
        <w:t>之日起计。</w:t>
      </w:r>
    </w:p>
    <w:p w14:paraId="5568E343">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质保期内，若产品出现质量问题，</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在收到</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或使用</w:t>
      </w:r>
      <w:r>
        <w:rPr>
          <w:rFonts w:hint="eastAsia" w:ascii="仿宋" w:hAnsi="仿宋" w:eastAsia="仿宋" w:cs="仿宋"/>
          <w:sz w:val="28"/>
          <w:szCs w:val="28"/>
          <w:highlight w:val="none"/>
          <w:lang w:eastAsia="zh-CN"/>
        </w:rPr>
        <w:t>单位</w:t>
      </w:r>
      <w:r>
        <w:rPr>
          <w:rFonts w:hint="eastAsia" w:ascii="仿宋" w:hAnsi="仿宋" w:eastAsia="仿宋" w:cs="仿宋"/>
          <w:sz w:val="28"/>
          <w:szCs w:val="28"/>
          <w:highlight w:val="none"/>
        </w:rPr>
        <w:t>通知后24小时内必须到达现场进行</w:t>
      </w:r>
      <w:r>
        <w:rPr>
          <w:rFonts w:hint="eastAsia" w:ascii="仿宋" w:hAnsi="仿宋" w:eastAsia="仿宋" w:cs="仿宋"/>
          <w:sz w:val="28"/>
          <w:szCs w:val="28"/>
          <w:highlight w:val="none"/>
          <w:lang w:val="en-US" w:eastAsia="zh-CN"/>
        </w:rPr>
        <w:t>处理</w:t>
      </w:r>
      <w:r>
        <w:rPr>
          <w:rFonts w:hint="eastAsia" w:ascii="仿宋" w:hAnsi="仿宋" w:eastAsia="仿宋" w:cs="仿宋"/>
          <w:sz w:val="28"/>
          <w:szCs w:val="28"/>
          <w:highlight w:val="none"/>
        </w:rPr>
        <w:t>。如甲乙双方共同确认非</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原因导致问题发生，</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仍应提供</w:t>
      </w:r>
      <w:r>
        <w:rPr>
          <w:rFonts w:hint="eastAsia" w:ascii="仿宋" w:hAnsi="仿宋" w:eastAsia="仿宋" w:cs="仿宋"/>
          <w:sz w:val="28"/>
          <w:szCs w:val="28"/>
          <w:highlight w:val="none"/>
          <w:lang w:val="en-US" w:eastAsia="zh-CN"/>
        </w:rPr>
        <w:t>售后</w:t>
      </w:r>
      <w:r>
        <w:rPr>
          <w:rFonts w:hint="eastAsia" w:ascii="仿宋" w:hAnsi="仿宋" w:eastAsia="仿宋" w:cs="仿宋"/>
          <w:sz w:val="28"/>
          <w:szCs w:val="28"/>
          <w:highlight w:val="none"/>
        </w:rPr>
        <w:t>服务，相关费用经双方商定后由</w:t>
      </w:r>
      <w:r>
        <w:rPr>
          <w:rFonts w:hint="eastAsia" w:ascii="仿宋" w:hAnsi="仿宋" w:eastAsia="仿宋" w:cs="仿宋"/>
          <w:sz w:val="28"/>
          <w:szCs w:val="28"/>
          <w:highlight w:val="none"/>
          <w:lang w:val="en-US" w:eastAsia="zh-CN"/>
        </w:rPr>
        <w:t>责任</w:t>
      </w:r>
      <w:r>
        <w:rPr>
          <w:rFonts w:hint="eastAsia" w:ascii="仿宋" w:hAnsi="仿宋" w:eastAsia="仿宋" w:cs="仿宋"/>
          <w:sz w:val="28"/>
          <w:szCs w:val="28"/>
          <w:highlight w:val="none"/>
          <w:lang w:eastAsia="zh-CN"/>
        </w:rPr>
        <w:t>方</w:t>
      </w:r>
      <w:r>
        <w:rPr>
          <w:rFonts w:hint="eastAsia" w:ascii="仿宋" w:hAnsi="仿宋" w:eastAsia="仿宋" w:cs="仿宋"/>
          <w:sz w:val="28"/>
          <w:szCs w:val="28"/>
          <w:highlight w:val="none"/>
        </w:rPr>
        <w:t>承担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甲方负责协调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。如</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未准时到达现场，</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可自行处理，</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同时承担违约责任。</w:t>
      </w:r>
    </w:p>
    <w:p w14:paraId="1E3A707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自行处理所耗费用</w:t>
      </w:r>
      <w:r>
        <w:rPr>
          <w:rFonts w:hint="eastAsia" w:ascii="仿宋" w:hAnsi="仿宋" w:eastAsia="仿宋" w:cs="仿宋"/>
          <w:sz w:val="28"/>
          <w:szCs w:val="28"/>
          <w:highlight w:val="none"/>
          <w:lang w:eastAsia="zh-CN"/>
        </w:rPr>
        <w:t>另加</w:t>
      </w:r>
      <w:r>
        <w:rPr>
          <w:rFonts w:hint="eastAsia" w:ascii="仿宋" w:hAnsi="仿宋" w:eastAsia="仿宋" w:cs="仿宋"/>
          <w:sz w:val="28"/>
          <w:szCs w:val="28"/>
          <w:highlight w:val="none"/>
          <w:lang w:val="en-US" w:eastAsia="zh-CN"/>
        </w:rPr>
        <w:t>50%</w:t>
      </w:r>
      <w:r>
        <w:rPr>
          <w:rFonts w:hint="eastAsia" w:ascii="仿宋" w:hAnsi="仿宋" w:eastAsia="仿宋" w:cs="仿宋"/>
          <w:sz w:val="28"/>
          <w:szCs w:val="28"/>
          <w:highlight w:val="none"/>
        </w:rPr>
        <w:t>由</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收到</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通知之日起</w:t>
      </w:r>
      <w:r>
        <w:rPr>
          <w:rFonts w:hint="eastAsia" w:ascii="仿宋" w:hAnsi="仿宋" w:eastAsia="仿宋" w:cs="仿宋"/>
          <w:sz w:val="28"/>
          <w:szCs w:val="28"/>
          <w:highlight w:val="none"/>
          <w:lang w:val="en-US" w:eastAsia="zh-CN"/>
        </w:rPr>
        <w:t>10个</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eastAsia="zh-CN"/>
        </w:rPr>
        <w:t>历天</w:t>
      </w:r>
      <w:r>
        <w:rPr>
          <w:rFonts w:hint="eastAsia" w:ascii="仿宋" w:hAnsi="仿宋" w:eastAsia="仿宋" w:cs="仿宋"/>
          <w:sz w:val="28"/>
          <w:szCs w:val="28"/>
          <w:highlight w:val="none"/>
        </w:rPr>
        <w:t>内支付，因此造成的损失由</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负责全额赔偿。</w:t>
      </w:r>
      <w:r>
        <w:rPr>
          <w:rFonts w:hint="eastAsia" w:ascii="仿宋" w:hAnsi="仿宋" w:eastAsia="仿宋" w:cs="仿宋"/>
          <w:sz w:val="28"/>
          <w:szCs w:val="28"/>
          <w:highlight w:val="none"/>
          <w:lang w:eastAsia="zh-CN"/>
        </w:rPr>
        <w:t>乙方未在</w:t>
      </w:r>
      <w:r>
        <w:rPr>
          <w:rFonts w:hint="eastAsia" w:ascii="仿宋" w:hAnsi="仿宋" w:eastAsia="仿宋" w:cs="仿宋"/>
          <w:sz w:val="28"/>
          <w:szCs w:val="28"/>
          <w:highlight w:val="none"/>
          <w:lang w:val="en-US" w:eastAsia="zh-CN"/>
        </w:rPr>
        <w:t>24小时内到达现场的，出现的质量问题一律视为乙方原因导致的。</w:t>
      </w:r>
      <w:r>
        <w:rPr>
          <w:rFonts w:hint="eastAsia" w:ascii="仿宋" w:hAnsi="仿宋" w:eastAsia="仿宋" w:cs="仿宋"/>
          <w:sz w:val="28"/>
          <w:szCs w:val="28"/>
          <w:highlight w:val="none"/>
        </w:rPr>
        <w:t>质保期内，由</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原因造成的缺陷和事故，</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承担</w:t>
      </w:r>
      <w:r>
        <w:rPr>
          <w:rFonts w:hint="eastAsia" w:ascii="仿宋" w:hAnsi="仿宋" w:eastAsia="仿宋" w:cs="仿宋"/>
          <w:sz w:val="28"/>
          <w:szCs w:val="28"/>
          <w:highlight w:val="none"/>
          <w:lang w:eastAsia="zh-CN"/>
        </w:rPr>
        <w:t>事故所产生的</w:t>
      </w:r>
      <w:r>
        <w:rPr>
          <w:rFonts w:hint="eastAsia" w:ascii="仿宋" w:hAnsi="仿宋" w:eastAsia="仿宋" w:cs="仿宋"/>
          <w:sz w:val="28"/>
          <w:szCs w:val="28"/>
          <w:highlight w:val="none"/>
        </w:rPr>
        <w:t>全部费用。如</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不维修也不承担费用，由</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承担违约责任及</w:t>
      </w:r>
      <w:r>
        <w:rPr>
          <w:rFonts w:hint="eastAsia" w:ascii="仿宋" w:hAnsi="仿宋" w:eastAsia="仿宋" w:cs="仿宋"/>
          <w:sz w:val="28"/>
          <w:szCs w:val="28"/>
          <w:highlight w:val="none"/>
          <w:lang w:eastAsia="zh-CN"/>
        </w:rPr>
        <w:t>所有损失的</w:t>
      </w:r>
      <w:r>
        <w:rPr>
          <w:rFonts w:hint="eastAsia" w:ascii="仿宋" w:hAnsi="仿宋" w:eastAsia="仿宋" w:cs="仿宋"/>
          <w:sz w:val="28"/>
          <w:szCs w:val="28"/>
          <w:highlight w:val="none"/>
        </w:rPr>
        <w:t>责任。</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维修并承担相应费用后，不免除对</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/第三方的损失赔偿责任。</w:t>
      </w:r>
    </w:p>
    <w:p w14:paraId="2C602106">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6</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或使用</w:t>
      </w:r>
      <w:r>
        <w:rPr>
          <w:rFonts w:hint="eastAsia" w:ascii="仿宋" w:hAnsi="仿宋" w:eastAsia="仿宋" w:cs="仿宋"/>
          <w:sz w:val="28"/>
          <w:szCs w:val="28"/>
          <w:highlight w:val="none"/>
          <w:lang w:eastAsia="zh-CN"/>
        </w:rPr>
        <w:t>单位在</w:t>
      </w:r>
      <w:r>
        <w:rPr>
          <w:rFonts w:hint="eastAsia" w:ascii="仿宋" w:hAnsi="仿宋" w:eastAsia="仿宋" w:cs="仿宋"/>
          <w:sz w:val="28"/>
          <w:szCs w:val="28"/>
          <w:highlight w:val="none"/>
        </w:rPr>
        <w:t>产品</w:t>
      </w:r>
      <w:r>
        <w:rPr>
          <w:rFonts w:hint="eastAsia" w:ascii="仿宋" w:hAnsi="仿宋" w:eastAsia="仿宋" w:cs="仿宋"/>
          <w:sz w:val="28"/>
          <w:szCs w:val="28"/>
          <w:highlight w:val="none"/>
          <w:lang w:eastAsia="zh-CN"/>
        </w:rPr>
        <w:t>使用过程</w:t>
      </w:r>
      <w:r>
        <w:rPr>
          <w:rFonts w:hint="eastAsia" w:ascii="仿宋" w:hAnsi="仿宋" w:eastAsia="仿宋" w:cs="仿宋"/>
          <w:sz w:val="28"/>
          <w:szCs w:val="28"/>
          <w:highlight w:val="none"/>
        </w:rPr>
        <w:t>中遇到的问题，</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须随时提供电话答疑（答疑负责人及其电话在质量保修书里注明）。凡与产品相关联的一切问题（如操作、产品的保养及维护等）都属于答疑范围</w:t>
      </w:r>
      <w:r>
        <w:rPr>
          <w:rFonts w:hint="eastAsia" w:ascii="仿宋" w:hAnsi="仿宋" w:eastAsia="仿宋" w:cs="仿宋"/>
          <w:sz w:val="28"/>
          <w:szCs w:val="28"/>
          <w:highlight w:val="none"/>
          <w:lang w:eastAsia="zh-CN"/>
        </w:rPr>
        <w:t>，所需费用已包含在合同</w:t>
      </w:r>
      <w:r>
        <w:rPr>
          <w:rFonts w:hint="eastAsia" w:ascii="仿宋" w:hAnsi="仿宋" w:eastAsia="仿宋" w:cs="仿宋"/>
          <w:sz w:val="28"/>
          <w:szCs w:val="28"/>
          <w:highlight w:val="none"/>
          <w:lang w:val="en-US" w:eastAsia="zh-CN"/>
        </w:rPr>
        <w:t>单</w:t>
      </w:r>
      <w:r>
        <w:rPr>
          <w:rFonts w:hint="eastAsia" w:ascii="仿宋" w:hAnsi="仿宋" w:eastAsia="仿宋" w:cs="仿宋"/>
          <w:sz w:val="28"/>
          <w:szCs w:val="28"/>
          <w:highlight w:val="none"/>
          <w:lang w:eastAsia="zh-CN"/>
        </w:rPr>
        <w:t>价中，不另计费。</w:t>
      </w:r>
    </w:p>
    <w:p w14:paraId="26B53D73">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6.</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根据</w:t>
      </w:r>
      <w:r>
        <w:rPr>
          <w:rFonts w:hint="eastAsia" w:ascii="仿宋" w:hAnsi="仿宋" w:eastAsia="仿宋" w:cs="仿宋"/>
          <w:sz w:val="28"/>
          <w:szCs w:val="28"/>
          <w:highlight w:val="none"/>
          <w:lang w:val="en-US" w:eastAsia="zh-CN"/>
        </w:rPr>
        <w:t>甲方</w:t>
      </w:r>
      <w:r>
        <w:rPr>
          <w:rFonts w:hint="eastAsia" w:ascii="仿宋" w:hAnsi="仿宋" w:eastAsia="仿宋" w:cs="仿宋"/>
          <w:sz w:val="28"/>
          <w:szCs w:val="28"/>
          <w:highlight w:val="none"/>
        </w:rPr>
        <w:t>需要提供现场临时指导</w:t>
      </w:r>
      <w:r>
        <w:rPr>
          <w:rFonts w:hint="eastAsia" w:ascii="仿宋" w:hAnsi="仿宋" w:eastAsia="仿宋" w:cs="仿宋"/>
          <w:sz w:val="28"/>
          <w:szCs w:val="28"/>
          <w:highlight w:val="none"/>
          <w:lang w:eastAsia="zh-CN"/>
        </w:rPr>
        <w:t>和培训，费用已包含在</w:t>
      </w:r>
      <w:r>
        <w:rPr>
          <w:rFonts w:hint="eastAsia" w:ascii="仿宋" w:hAnsi="仿宋" w:eastAsia="仿宋" w:cs="仿宋"/>
          <w:sz w:val="28"/>
          <w:szCs w:val="28"/>
          <w:highlight w:val="none"/>
          <w:lang w:val="en-US" w:eastAsia="zh-CN"/>
        </w:rPr>
        <w:t>合同单价</w:t>
      </w:r>
      <w:r>
        <w:rPr>
          <w:rFonts w:hint="eastAsia" w:ascii="仿宋" w:hAnsi="仿宋" w:eastAsia="仿宋" w:cs="仿宋"/>
          <w:sz w:val="28"/>
          <w:szCs w:val="28"/>
          <w:highlight w:val="none"/>
          <w:lang w:eastAsia="zh-CN"/>
        </w:rPr>
        <w:t>中，不另计费。</w:t>
      </w:r>
    </w:p>
    <w:p w14:paraId="1E2049F3">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6.6</w:t>
      </w:r>
      <w:r>
        <w:rPr>
          <w:rFonts w:hint="eastAsia" w:ascii="仿宋" w:hAnsi="仿宋" w:eastAsia="仿宋" w:cs="仿宋"/>
          <w:sz w:val="28"/>
          <w:szCs w:val="28"/>
          <w:highlight w:val="none"/>
        </w:rPr>
        <w:t>质保期</w:t>
      </w:r>
      <w:r>
        <w:rPr>
          <w:rFonts w:hint="eastAsia" w:ascii="仿宋" w:hAnsi="仿宋" w:eastAsia="仿宋" w:cs="仿宋"/>
          <w:sz w:val="28"/>
          <w:szCs w:val="28"/>
          <w:highlight w:val="none"/>
          <w:lang w:val="en-US" w:eastAsia="zh-CN"/>
        </w:rPr>
        <w:t>届满后第</w:t>
      </w:r>
      <w:r>
        <w:rPr>
          <w:rFonts w:hint="eastAsia" w:ascii="仿宋" w:hAnsi="仿宋" w:eastAsia="仿宋" w:cs="仿宋"/>
          <w:sz w:val="28"/>
          <w:szCs w:val="28"/>
          <w:highlight w:val="none"/>
        </w:rPr>
        <w:t>一周内，甲乙双方对产品进行全面检查。</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自费负责对检查中发现的问题予以及时处理和解决。</w:t>
      </w:r>
    </w:p>
    <w:p w14:paraId="6DFE7F52">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
          <w:bCs/>
          <w:sz w:val="28"/>
          <w:szCs w:val="28"/>
          <w:highlight w:val="none"/>
          <w:lang w:val="en-US" w:eastAsia="zh-CN"/>
        </w:rPr>
      </w:pPr>
      <w:bookmarkStart w:id="35" w:name="_Toc28932"/>
      <w:bookmarkStart w:id="36" w:name="_Toc31251"/>
      <w:bookmarkStart w:id="37" w:name="_Toc23822"/>
      <w:r>
        <w:rPr>
          <w:rFonts w:hint="eastAsia" w:ascii="仿宋" w:hAnsi="仿宋" w:eastAsia="仿宋" w:cs="仿宋"/>
          <w:b/>
          <w:bCs/>
          <w:sz w:val="28"/>
          <w:szCs w:val="28"/>
          <w:highlight w:val="none"/>
          <w:lang w:val="en-US" w:eastAsia="zh-CN"/>
        </w:rPr>
        <w:t>第七章、双方责任</w:t>
      </w:r>
      <w:bookmarkEnd w:id="35"/>
      <w:bookmarkEnd w:id="36"/>
      <w:bookmarkEnd w:id="37"/>
    </w:p>
    <w:p w14:paraId="17F7F983">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7.1</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为</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提供的</w:t>
      </w:r>
      <w:r>
        <w:rPr>
          <w:rFonts w:hint="eastAsia" w:ascii="仿宋" w:hAnsi="仿宋" w:eastAsia="仿宋" w:cs="仿宋"/>
          <w:sz w:val="28"/>
          <w:szCs w:val="28"/>
          <w:highlight w:val="none"/>
          <w:lang w:val="en-US" w:eastAsia="zh-CN"/>
        </w:rPr>
        <w:t>接收产品</w:t>
      </w:r>
      <w:r>
        <w:rPr>
          <w:rFonts w:hint="eastAsia" w:ascii="仿宋" w:hAnsi="仿宋" w:eastAsia="仿宋" w:cs="仿宋"/>
          <w:sz w:val="28"/>
          <w:szCs w:val="28"/>
          <w:highlight w:val="none"/>
        </w:rPr>
        <w:t>条件</w:t>
      </w:r>
      <w:r>
        <w:rPr>
          <w:rFonts w:hint="eastAsia" w:ascii="仿宋" w:hAnsi="仿宋" w:eastAsia="仿宋" w:cs="仿宋"/>
          <w:sz w:val="28"/>
          <w:szCs w:val="28"/>
          <w:highlight w:val="none"/>
          <w:lang w:val="en-US" w:eastAsia="zh-CN"/>
        </w:rPr>
        <w:t>为</w:t>
      </w:r>
      <w:r>
        <w:rPr>
          <w:rFonts w:hint="eastAsia" w:ascii="仿宋" w:hAnsi="仿宋" w:eastAsia="仿宋" w:cs="仿宋"/>
          <w:sz w:val="28"/>
          <w:szCs w:val="28"/>
          <w:highlight w:val="none"/>
        </w:rPr>
        <w:t>：施工现场</w:t>
      </w:r>
      <w:r>
        <w:rPr>
          <w:rFonts w:hint="eastAsia" w:ascii="仿宋" w:hAnsi="仿宋" w:eastAsia="仿宋" w:cs="仿宋"/>
          <w:sz w:val="28"/>
          <w:szCs w:val="28"/>
          <w:highlight w:val="none"/>
          <w:lang w:val="en-US" w:eastAsia="zh-CN"/>
        </w:rPr>
        <w:t>内</w:t>
      </w:r>
      <w:r>
        <w:rPr>
          <w:rFonts w:hint="eastAsia" w:ascii="仿宋" w:hAnsi="仿宋" w:eastAsia="仿宋" w:cs="仿宋"/>
          <w:sz w:val="28"/>
          <w:szCs w:val="28"/>
          <w:highlight w:val="none"/>
        </w:rPr>
        <w:t>道路畅通，</w:t>
      </w:r>
      <w:r>
        <w:rPr>
          <w:rFonts w:hint="eastAsia" w:ascii="仿宋" w:hAnsi="仿宋" w:eastAsia="仿宋" w:cs="仿宋"/>
          <w:sz w:val="28"/>
          <w:szCs w:val="28"/>
          <w:highlight w:val="none"/>
          <w:lang w:val="en-US" w:eastAsia="zh-CN"/>
        </w:rPr>
        <w:t>施工现场内有</w:t>
      </w:r>
      <w:r>
        <w:rPr>
          <w:rFonts w:hint="eastAsia" w:ascii="仿宋" w:hAnsi="仿宋" w:eastAsia="仿宋" w:cs="仿宋"/>
          <w:sz w:val="28"/>
          <w:szCs w:val="28"/>
          <w:highlight w:val="none"/>
        </w:rPr>
        <w:t>临时</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清洁车辆场地、照明、用水设施</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施工现场内</w:t>
      </w:r>
      <w:r>
        <w:rPr>
          <w:rFonts w:hint="eastAsia" w:ascii="仿宋" w:hAnsi="仿宋" w:eastAsia="仿宋" w:cs="仿宋"/>
          <w:sz w:val="28"/>
          <w:szCs w:val="28"/>
          <w:highlight w:val="none"/>
        </w:rPr>
        <w:t>设立</w:t>
      </w:r>
      <w:r>
        <w:rPr>
          <w:rFonts w:hint="eastAsia" w:ascii="仿宋" w:hAnsi="仿宋" w:eastAsia="仿宋" w:cs="仿宋"/>
          <w:sz w:val="28"/>
          <w:szCs w:val="28"/>
          <w:highlight w:val="none"/>
          <w:lang w:val="en-US" w:eastAsia="zh-CN"/>
        </w:rPr>
        <w:t>相关</w:t>
      </w:r>
      <w:r>
        <w:rPr>
          <w:rFonts w:hint="eastAsia" w:ascii="仿宋" w:hAnsi="仿宋" w:eastAsia="仿宋" w:cs="仿宋"/>
          <w:sz w:val="28"/>
          <w:szCs w:val="28"/>
          <w:highlight w:val="none"/>
        </w:rPr>
        <w:t>标志，施工现场</w:t>
      </w:r>
      <w:r>
        <w:rPr>
          <w:rFonts w:hint="eastAsia" w:ascii="仿宋" w:hAnsi="仿宋" w:eastAsia="仿宋" w:cs="仿宋"/>
          <w:sz w:val="28"/>
          <w:szCs w:val="28"/>
          <w:highlight w:val="none"/>
          <w:lang w:val="en-US" w:eastAsia="zh-CN"/>
        </w:rPr>
        <w:t>内</w:t>
      </w:r>
      <w:r>
        <w:rPr>
          <w:rFonts w:hint="eastAsia" w:ascii="仿宋" w:hAnsi="仿宋" w:eastAsia="仿宋" w:cs="仿宋"/>
          <w:sz w:val="28"/>
          <w:szCs w:val="28"/>
          <w:highlight w:val="none"/>
        </w:rPr>
        <w:t>开设安全通道并设专人指挥</w:t>
      </w:r>
      <w:r>
        <w:rPr>
          <w:rFonts w:hint="eastAsia" w:ascii="仿宋" w:hAnsi="仿宋" w:eastAsia="仿宋" w:cs="仿宋"/>
          <w:sz w:val="28"/>
          <w:szCs w:val="28"/>
          <w:highlight w:val="none"/>
          <w:lang w:val="en-US" w:eastAsia="zh-CN"/>
        </w:rPr>
        <w:t>搅</w:t>
      </w:r>
      <w:r>
        <w:rPr>
          <w:rFonts w:hint="eastAsia" w:ascii="仿宋" w:hAnsi="仿宋" w:eastAsia="仿宋" w:cs="仿宋"/>
          <w:sz w:val="28"/>
          <w:szCs w:val="28"/>
          <w:highlight w:val="none"/>
        </w:rPr>
        <w:t>拌车进出及卸料。</w:t>
      </w:r>
    </w:p>
    <w:p w14:paraId="61D50160">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7.2甲方不得对产品违规加水或加入其他掺合料，否则造成质量问题及损失由甲方自行负责。</w:t>
      </w:r>
    </w:p>
    <w:p w14:paraId="69F7BB08">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7.3合同履行过程中，乙方人员进入甲方施工现场期间必须自备安全防护用品，并服从甲方管理。乙方必须为其人员购买社会保险及人身意外伤害保险，一切安全事故和交通事故均由乙方自行承担。因乙方人员违反施工现场规定，导致甲方被建设单位、监理或建设行政相关部门处罚的一切费用均由乙方承担，并且甲方有权计收壹万元/次的违约金。乙方履行合同、作业期间发生的安全事故由乙方自行解决并承担全部费用，甲方不承担任何义务及责任。如乙方原因导致人员伤亡、财产受损（包括甲方、乙方、第三方的人员、财产），由乙方承担全部责任，如因此导致甲方被追究责任的，甲方有权向乙方追偿，乙方应赔偿甲方的全部损失。</w:t>
      </w:r>
    </w:p>
    <w:p w14:paraId="01EBF36C">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7.4</w:t>
      </w:r>
      <w:r>
        <w:rPr>
          <w:rFonts w:hint="default" w:ascii="仿宋" w:hAnsi="仿宋" w:eastAsia="仿宋" w:cs="仿宋"/>
          <w:sz w:val="28"/>
          <w:szCs w:val="28"/>
          <w:highlight w:val="none"/>
          <w:lang w:val="en-US" w:eastAsia="zh-CN"/>
        </w:rPr>
        <w:t>乙方在服务过程中的个人防护用品(如安全帽、手套等)由乙方自理，费用已包含在合同单价中。乙方人员须自觉穿戴好防护用品，因乙方防护不当造成事故的由乙方自行承担全部责任和费用。</w:t>
      </w:r>
    </w:p>
    <w:p w14:paraId="70D0440C">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7.4.1</w:t>
      </w:r>
      <w:r>
        <w:rPr>
          <w:rFonts w:hint="default" w:ascii="仿宋" w:hAnsi="仿宋" w:eastAsia="仿宋" w:cs="仿宋"/>
          <w:sz w:val="28"/>
          <w:szCs w:val="28"/>
          <w:highlight w:val="none"/>
          <w:lang w:val="en-US" w:eastAsia="zh-CN"/>
        </w:rPr>
        <w:t>劳保用品配置标准具体实施及费用收取标准、办法：</w:t>
      </w:r>
    </w:p>
    <w:p w14:paraId="1B718625">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7.4</w:t>
      </w:r>
      <w:r>
        <w:rPr>
          <w:rFonts w:hint="default" w:ascii="仿宋" w:hAnsi="仿宋" w:eastAsia="仿宋" w:cs="仿宋"/>
          <w:sz w:val="28"/>
          <w:szCs w:val="28"/>
          <w:highlight w:val="none"/>
          <w:lang w:val="en-US" w:eastAsia="zh-CN"/>
        </w:rPr>
        <w:t>.1本工程配置黄色的安全帽、荧光黄色的反光背心，款式按甲方颁布的《劳保用品配置标准及司旗款式》（V2022）制度执行。</w:t>
      </w:r>
    </w:p>
    <w:p w14:paraId="47F7843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7.4</w:t>
      </w:r>
      <w:r>
        <w:rPr>
          <w:rFonts w:hint="default" w:ascii="仿宋" w:hAnsi="仿宋" w:eastAsia="仿宋" w:cs="仿宋"/>
          <w:sz w:val="28"/>
          <w:szCs w:val="28"/>
          <w:highlight w:val="none"/>
          <w:lang w:val="en-US" w:eastAsia="zh-CN"/>
        </w:rPr>
        <w:t>.2甲方提供安全帽20元/顶、反光背心15元/件，按乙方实际领取数量的对应金额在结算时进行扣除。</w:t>
      </w:r>
    </w:p>
    <w:p w14:paraId="349D400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7.5乙方须有本项目所在地政府主管部门认可的相应专业资质和承担本合同义务、责任所需的经济实力并须提供相关资质资料给甲方。如因乙方资质等问题导致甲方被相关部门处罚的，因此产生的全部损失及费用由乙方承担。合同有效期内，乙方须确保自身持续具备履行合同义务的合法资质资格（尤其须符合政府主管部门的要求），否则甲方有权：①自乙方不具备合法资质、资格之日起，乙方向甲方支付违约金人民币伍佰元/天，直至乙方恢复相关资质、资格；②甲方单方解除合同并收回所有已付款项。</w:t>
      </w:r>
    </w:p>
    <w:p w14:paraId="0582FE08">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7.6</w:t>
      </w:r>
      <w:r>
        <w:rPr>
          <w:rFonts w:hint="default" w:ascii="仿宋" w:hAnsi="仿宋" w:eastAsia="仿宋" w:cs="仿宋"/>
          <w:sz w:val="28"/>
          <w:szCs w:val="28"/>
          <w:highlight w:val="none"/>
          <w:lang w:val="en-US" w:eastAsia="zh-CN"/>
        </w:rPr>
        <w:t>乙方延迟开工或不能按合同约定时间准时安排设备到工地服务时，每台设备每逾期一小时向甲方支付违约金人民币贰</w:t>
      </w:r>
      <w:r>
        <w:rPr>
          <w:rFonts w:hint="eastAsia" w:ascii="仿宋" w:hAnsi="仿宋" w:eastAsia="仿宋" w:cs="仿宋"/>
          <w:sz w:val="28"/>
          <w:szCs w:val="28"/>
          <w:highlight w:val="none"/>
          <w:lang w:val="en-US" w:eastAsia="zh-CN"/>
        </w:rPr>
        <w:t>仟</w:t>
      </w:r>
      <w:r>
        <w:rPr>
          <w:rFonts w:hint="default" w:ascii="仿宋" w:hAnsi="仿宋" w:eastAsia="仿宋" w:cs="仿宋"/>
          <w:sz w:val="28"/>
          <w:szCs w:val="28"/>
          <w:highlight w:val="none"/>
          <w:lang w:val="en-US" w:eastAsia="zh-CN"/>
        </w:rPr>
        <w:t>元，逾期四小时以上的甲方有权向第三方租赁设备及人员完成本项目混凝土泵送工作，同时甲方有权单方解除本合同，乙方还需支付违约金贰万元并按甲方要求准时退场，每延迟一个日历天退场，乙方向甲方另行支付违约金人民币伍仟元整，甲方的损失(包括但不限于因逾期而使得甲方需对建设单位承担的违约责任损失赔偿责任等)由乙方赔偿。</w:t>
      </w:r>
    </w:p>
    <w:p w14:paraId="6073F3B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7.7乙方产品出现质量问题的，除按本合同约定承担更换、维修、加固的费用外，每出现一次，乙方再向甲方支付金额等于合同暂定总价的10%违约金，且甲方有权退货、解除合同，因此导致的全部责任和经济损失由乙方承担。因产品问题造成的人身、财产损害赔偿责任或刑事、行政责任等均由乙方承担。</w:t>
      </w:r>
    </w:p>
    <w:p w14:paraId="3F4C2732">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7.8乙方履约过程中如有弄虚作假等欺骗行为，属乙方违约，每次向甲方另行支付至少金额等于合同暂定总价30%的违约金。</w:t>
      </w:r>
      <w:r>
        <w:rPr>
          <w:rFonts w:hint="eastAsia" w:ascii="仿宋" w:hAnsi="仿宋" w:eastAsia="仿宋" w:cs="仿宋"/>
          <w:sz w:val="28"/>
          <w:szCs w:val="28"/>
          <w:highlight w:val="none"/>
          <w:lang w:val="en-US" w:eastAsia="zh-CN"/>
        </w:rPr>
        <w:tab/>
      </w:r>
      <w:r>
        <w:rPr>
          <w:rFonts w:hint="eastAsia" w:ascii="仿宋" w:hAnsi="仿宋" w:eastAsia="仿宋" w:cs="仿宋"/>
          <w:sz w:val="28"/>
          <w:szCs w:val="28"/>
          <w:highlight w:val="none"/>
          <w:lang w:val="en-US" w:eastAsia="zh-CN"/>
        </w:rPr>
        <w:tab/>
      </w:r>
    </w:p>
    <w:p w14:paraId="45F06E4B">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7.9合同履行期间，乙方必须服从甲方正常工作安排，否则属乙方违约，甲方有权对乙方进行处罚。</w:t>
      </w:r>
      <w:r>
        <w:rPr>
          <w:rFonts w:hint="eastAsia" w:ascii="仿宋" w:hAnsi="仿宋" w:eastAsia="仿宋" w:cs="仿宋"/>
          <w:sz w:val="28"/>
          <w:szCs w:val="28"/>
          <w:highlight w:val="none"/>
          <w:lang w:val="en-US" w:eastAsia="zh-CN"/>
        </w:rPr>
        <w:tab/>
      </w:r>
      <w:r>
        <w:rPr>
          <w:rFonts w:hint="eastAsia" w:ascii="仿宋" w:hAnsi="仿宋" w:eastAsia="仿宋" w:cs="仿宋"/>
          <w:sz w:val="28"/>
          <w:szCs w:val="28"/>
          <w:highlight w:val="none"/>
          <w:lang w:val="en-US" w:eastAsia="zh-CN"/>
        </w:rPr>
        <w:tab/>
      </w:r>
    </w:p>
    <w:p w14:paraId="5B49B62C">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7.10乙方若发生本合同约定的责任或义务任意一条的行为均属违约，乙方除按相应条款承担包括但不限于以上所述的违约责任外，甲方可随时单方解除合同，同时乙方赔偿甲方因此遭受的损失。</w:t>
      </w:r>
    </w:p>
    <w:p w14:paraId="79B1F47C">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7.11乙方违反本合同约定给甲方造成损失的，除按本合同约定承担违约责任外，甲方有权直接从应付合同款中直接扣除乙方应承担的违约金、罚款等费用，如应付合同款及乙方支付的违约金、罚款不足补偿甲方损失，乙方在甲方通知之日起七个日历天内补齐，且甲方向乙方追偿责任所产生的律师费、诉讼费、鉴定费、财产保全担保费由乙方全额承担。</w:t>
      </w:r>
    </w:p>
    <w:p w14:paraId="68D2DFA7">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7.12乙方应支付的赔偿及违约金，甲方有权从应付未付款中直接扣除，未付的合同款不足以支付违约金的，由乙方在甲方规定期限内另行支付给甲方。</w:t>
      </w:r>
    </w:p>
    <w:p w14:paraId="2C154FCB">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7.13基于本项目的特殊性，乙方已充分了解其供货责任并自愿承担相应风险，合同所约定的违约金标准经双方友好协商确定，乙方同意不得对违约金标准提出任何主张或抗辩。</w:t>
      </w:r>
    </w:p>
    <w:p w14:paraId="23DDB3A5">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7.14本合同履行过程中，因乙方原因造成产品质量、安全文明等无法满足甲方及规范要求的，乙方须提供不属于其责任的证明并得到甲方的书面认可，否则乙方违约并承担5000元以上/次的违约金，全部责任、费用和损失由乙方承担。</w:t>
      </w:r>
    </w:p>
    <w:p w14:paraId="59F613F0">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7.15合同履行期间，因乙方原因导致政府主管部门、建设单位及其他单位对甲方进行处罚扣款的，甲方则以该处罚金额为基数，处罚乙方两倍以上的违约金。</w:t>
      </w:r>
    </w:p>
    <w:p w14:paraId="12CA60D6">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7.16乙方未及时发放工人工资或及时支付货款，导致影响甲方或本项目的，甲方有权对乙方进行处罚，每发生一次劳资纠纷或货款纠纷事件，乙方向甲方另行支付违约金叁万元。若因乙方拖欠工人工资或货款，导致媒体曝光或政府部门介入的，乙方另向甲方支付违约金不少于拾万元/次。</w:t>
      </w:r>
    </w:p>
    <w:p w14:paraId="13970E07">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7.17因乙方原因导致甲方被起诉的，乙方除赔偿甲方损失外，甲方每被起诉一次，乙方向甲方支付五万元违约金；若因此导致甲方账号被冻结，乙方另按冻结资金总额的日千分之一向甲方支付利息；因出现此情形属乙方自身管理不当，乙方自愿承担甲方遭受的所有损失，并根据账号被冻结次数，每次额外向甲方支付伍万元违约金。</w:t>
      </w:r>
    </w:p>
    <w:p w14:paraId="1CD49977">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7.18乙方原因导致甲方或本项目被相关部门处罚、停工、扣分的，甲方有权就：被停工的计收乙方违约金伍万元/次、被扣分的计收违约金壹万元/分及贰万元/次，因此产生的全部损失及费用由乙方赔偿甲方。</w:t>
      </w:r>
    </w:p>
    <w:p w14:paraId="6363D936">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7.19乙方原因造成工程质量达不到本合同约定的质量标准或出现影响使用功能和工程结构安全，即使通过技术整改措施仍然无法达到设计要求等永久质量问题的，无论是否在质保期内，乙方须无条件返工至合格为止，并赔偿甲方因此遭受的一切损失。若该永久质量问题无法满足设计及合同约定质量标准，但甲方和本项目建设单位接受现状质量的，乙方仍须承担违约责任，自愿接受不合格部位造价20%以上的违约金处理，同时处以5000元以上/次的罚款。</w:t>
      </w:r>
    </w:p>
    <w:p w14:paraId="01A03366">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7.20甲方对乙方向乙方人员发放报酬的情况有知情权，乙方工人工资金额由乙方提供书面文件给甲方项目部及甲方工程部核实确定，甲方有权知晓乙方本项目工作人员的工资分发制度和实施情况，对不合理、违规的分发甲方有权制止及干预。乙方应及时支付工人工资及材料款，如乙方欠款导致甲方被追索或被处罚，甲方有权自应付乙方的款项中扣款代付，但此举不视为甲方同意对乙方债务承担责任。乙方对甲方代付行为及金额无异议，如应付给乙方的合同款不足代付导致甲方需另行垫付费用，乙方在甲方发出书面通知起3个日历天内还清甲方垫付款并自甲方垫付之日起按年利率 15%的标准支付利息给甲方，其他相应处罚按本合同相关条款执行。</w:t>
      </w:r>
    </w:p>
    <w:p w14:paraId="72321627">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7.21对乙方不按合同约定时间向甲方申报其工人工资资料等行为，甲方有权对乙方收取违约金，每逾期一天的违约金不少于伍佰元/人(按乙方在本项目现场工作人员数量计)。</w:t>
      </w:r>
    </w:p>
    <w:p w14:paraId="33D2710A">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7.22如乙方的服务不能满足甲方或本项目进度要求，甲方有权单方安排第三方单独或与乙方共同完成本项目混凝土的泵送工作。</w:t>
      </w:r>
    </w:p>
    <w:p w14:paraId="25BDDAA9">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7.23</w:t>
      </w:r>
      <w:r>
        <w:rPr>
          <w:rFonts w:hint="default" w:ascii="仿宋" w:hAnsi="仿宋" w:eastAsia="仿宋" w:cs="仿宋"/>
          <w:sz w:val="28"/>
          <w:szCs w:val="28"/>
          <w:highlight w:val="none"/>
          <w:lang w:val="en-US" w:eastAsia="zh-CN"/>
        </w:rPr>
        <w:t>乙方人员须接受甲方及工地管理人员的合理指挥，主动与施工单位做好配合。乙方须严格遵守甲方项目规章制度及工地安全生产要求，按照本项目安全施工规范进行作业。乙方在施工作业期间对设备和乙方人员的安全负全责，并保证设备周围人员的安全，操作员须严格按照设备操作规程操作不得违规，否则由此引发的一切安全事故及全部费用均由乙方负责。</w:t>
      </w:r>
    </w:p>
    <w:p w14:paraId="319F538B">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7.24</w:t>
      </w:r>
      <w:r>
        <w:rPr>
          <w:rFonts w:hint="default" w:ascii="仿宋" w:hAnsi="仿宋" w:eastAsia="仿宋" w:cs="仿宋"/>
          <w:sz w:val="28"/>
          <w:szCs w:val="28"/>
          <w:highlight w:val="none"/>
          <w:lang w:val="en-US" w:eastAsia="zh-CN"/>
        </w:rPr>
        <w:t>乙方设备应外观整洁、技术性能良好、运转正常，满足施工需要，设备零配件必须符合使用要求。乙方须对设备定期检查排除安全隐患以保证施工安全性。设备须为乙方自有的合法设备。</w:t>
      </w:r>
    </w:p>
    <w:p w14:paraId="27D933B3">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7.25</w:t>
      </w:r>
      <w:r>
        <w:rPr>
          <w:rFonts w:hint="default" w:ascii="仿宋" w:hAnsi="仿宋" w:eastAsia="仿宋" w:cs="仿宋"/>
          <w:sz w:val="28"/>
          <w:szCs w:val="28"/>
          <w:highlight w:val="none"/>
          <w:lang w:val="en-US" w:eastAsia="zh-CN"/>
        </w:rPr>
        <w:t>乙方设备每次在任意一个工作面发生的故障(包括因动力不足堵管或输送管质量引起的爆管)不得超过2次，否则须按甲方要求无条件更换合格设备接替工作。因乙方处理不当造成的甲方损失由乙方全额赔偿甲方，赔偿包括但不限于混凝土费、洗管费、混凝土车误工费、人工费、泵车停机损失费。</w:t>
      </w:r>
    </w:p>
    <w:p w14:paraId="2C59F334">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7.26</w:t>
      </w:r>
      <w:r>
        <w:rPr>
          <w:rFonts w:hint="default" w:ascii="仿宋" w:hAnsi="仿宋" w:eastAsia="仿宋" w:cs="仿宋"/>
          <w:sz w:val="28"/>
          <w:szCs w:val="28"/>
          <w:highlight w:val="none"/>
          <w:lang w:val="en-US" w:eastAsia="zh-CN"/>
        </w:rPr>
        <w:t>因乙方原因操作失误导致泵送设备堵管的，由此造成的相关损失及一切责任概由乙方自行承担。乙方设备在本项目内外发生的交通事故、机械故障、工伤等，经政府主管部门认定责任后，由责任方承担一切损失和责任。</w:t>
      </w:r>
    </w:p>
    <w:p w14:paraId="79EF545E">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7.27</w:t>
      </w:r>
      <w:r>
        <w:rPr>
          <w:rFonts w:hint="default" w:ascii="仿宋" w:hAnsi="仿宋" w:eastAsia="仿宋" w:cs="仿宋"/>
          <w:sz w:val="28"/>
          <w:szCs w:val="28"/>
          <w:highlight w:val="none"/>
          <w:lang w:val="en-US" w:eastAsia="zh-CN"/>
        </w:rPr>
        <w:t>乙方设备故障或人为原因导致砼不能连续施工，造成混凝土报废的，由乙方承担全部责任。凡乙方发生怠工、配合消极的，乙方向甲方赔偿违约金 500-1000 元/次且甲方有权单方解除合同。</w:t>
      </w:r>
    </w:p>
    <w:p w14:paraId="3E338E6A">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7.28</w:t>
      </w:r>
      <w:r>
        <w:rPr>
          <w:rFonts w:hint="default" w:ascii="仿宋" w:hAnsi="仿宋" w:eastAsia="仿宋" w:cs="仿宋"/>
          <w:sz w:val="28"/>
          <w:szCs w:val="28"/>
          <w:highlight w:val="none"/>
          <w:lang w:val="en-US" w:eastAsia="zh-CN"/>
        </w:rPr>
        <w:t>乙方操作员在设备工作过程中必须按照《混凝土输送泵的安全操作规程》操作和使用设备，否则出现的工作失误由乙方承担一切损失。</w:t>
      </w:r>
    </w:p>
    <w:p w14:paraId="6498E75B">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7.29</w:t>
      </w:r>
      <w:r>
        <w:rPr>
          <w:rFonts w:hint="default" w:ascii="仿宋" w:hAnsi="仿宋" w:eastAsia="仿宋" w:cs="仿宋"/>
          <w:sz w:val="28"/>
          <w:szCs w:val="28"/>
          <w:highlight w:val="none"/>
          <w:lang w:val="en-US" w:eastAsia="zh-CN"/>
        </w:rPr>
        <w:t>本合同执行期内，若乙方发生2次不能及时提供设备的情况，则甲方有权单方解除合同，且一切损失由乙方自行承担。</w:t>
      </w:r>
    </w:p>
    <w:p w14:paraId="00816BDC">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7.30</w:t>
      </w:r>
      <w:r>
        <w:rPr>
          <w:rFonts w:hint="default" w:ascii="仿宋" w:hAnsi="仿宋" w:eastAsia="仿宋" w:cs="仿宋"/>
          <w:sz w:val="28"/>
          <w:szCs w:val="28"/>
          <w:highlight w:val="none"/>
          <w:lang w:val="en-US" w:eastAsia="zh-CN"/>
        </w:rPr>
        <w:t>乙方必须为其设备及人员购买社会保险及人身意外伤害保险，有关费用已包含在本合同价格中，甲方无需另行支付费用给乙方。因各种原因导致乙方需要延长保险期所需增加的保险费由乙方自行承担，其费用已包含在本合同约定价格内，凡在合同履行期间由乙方原因导致的一切安全及质量事故，属乙方责任，所有损失及费用由乙方承担。</w:t>
      </w:r>
    </w:p>
    <w:p w14:paraId="5FA30C00">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7.31</w:t>
      </w:r>
      <w:r>
        <w:rPr>
          <w:rFonts w:hint="default" w:ascii="仿宋" w:hAnsi="仿宋" w:eastAsia="仿宋" w:cs="仿宋"/>
          <w:sz w:val="28"/>
          <w:szCs w:val="28"/>
          <w:highlight w:val="none"/>
          <w:lang w:val="en-US" w:eastAsia="zh-CN"/>
        </w:rPr>
        <w:t>无论乙方有无按照本合同约定办理相关保险事宜，乙方人员或因乙方原因导致在本项目范围内发生的伤亡事故，均由乙方承担责任和费用。</w:t>
      </w:r>
    </w:p>
    <w:p w14:paraId="0EB6F757">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7.32</w:t>
      </w:r>
      <w:r>
        <w:rPr>
          <w:rFonts w:hint="default" w:ascii="仿宋" w:hAnsi="仿宋" w:eastAsia="仿宋" w:cs="仿宋"/>
          <w:sz w:val="28"/>
          <w:szCs w:val="28"/>
          <w:highlight w:val="none"/>
          <w:lang w:val="en-US" w:eastAsia="zh-CN"/>
        </w:rPr>
        <w:t>乙方用于本项目的所有机械设备必须符合现行国家及本项目当地的相关规定，同时按甲方《分包单位材料管理制度》执行。</w:t>
      </w:r>
    </w:p>
    <w:p w14:paraId="09C8A3B8">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7.33</w:t>
      </w:r>
      <w:r>
        <w:rPr>
          <w:rFonts w:hint="default" w:ascii="仿宋" w:hAnsi="仿宋" w:eastAsia="仿宋" w:cs="仿宋"/>
          <w:sz w:val="28"/>
          <w:szCs w:val="28"/>
          <w:highlight w:val="none"/>
          <w:lang w:val="en-US" w:eastAsia="zh-CN"/>
        </w:rPr>
        <w:t>乙方必须对操作员等乙方人员进行安全教育，操作员必须持证上岗并坚守岗位，特殊情况需离开工地的，须经甲方项目部批准后方能离开。</w:t>
      </w:r>
    </w:p>
    <w:p w14:paraId="00BE9713">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7.34</w:t>
      </w:r>
      <w:r>
        <w:rPr>
          <w:rFonts w:hint="default" w:ascii="仿宋" w:hAnsi="仿宋" w:eastAsia="仿宋" w:cs="仿宋"/>
          <w:sz w:val="28"/>
          <w:szCs w:val="28"/>
          <w:highlight w:val="none"/>
          <w:lang w:val="en-US" w:eastAsia="zh-CN"/>
        </w:rPr>
        <w:t>乙方人员进场时须提供本项目所在地三甲医院出具的体检健康证明，否则甲方有权将无证人员驱逐出本项目。无论乙方是否提供该证明乙方人员须身体健康，无妨碍从事工作的疾病和生理缺陷，符合进场及该工种的操作要求。因乙方人员自身疾病或生理缺陷等原因导致的伤亡均由乙方自行承担全责，甲方无需承担责任及赔偿任何费用</w:t>
      </w:r>
      <w:r>
        <w:rPr>
          <w:rFonts w:hint="eastAsia" w:ascii="仿宋" w:hAnsi="仿宋" w:eastAsia="仿宋" w:cs="仿宋"/>
          <w:sz w:val="28"/>
          <w:szCs w:val="28"/>
          <w:highlight w:val="none"/>
          <w:lang w:val="en-US" w:eastAsia="zh-CN"/>
        </w:rPr>
        <w:t>。</w:t>
      </w:r>
    </w:p>
    <w:p w14:paraId="60D1C13D">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7.35</w:t>
      </w:r>
      <w:r>
        <w:rPr>
          <w:rFonts w:hint="default" w:ascii="仿宋" w:hAnsi="仿宋" w:eastAsia="仿宋" w:cs="仿宋"/>
          <w:sz w:val="28"/>
          <w:szCs w:val="28"/>
          <w:highlight w:val="none"/>
          <w:lang w:val="en-US" w:eastAsia="zh-CN"/>
        </w:rPr>
        <w:t>乙方须如实主动申报及发放工人工资，甲方有权核对，如发现乙方弄虚作假，甲方暂停支付乙方合同款。</w:t>
      </w:r>
    </w:p>
    <w:p w14:paraId="76D98532">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7.36</w:t>
      </w:r>
      <w:r>
        <w:rPr>
          <w:rFonts w:hint="default" w:ascii="仿宋" w:hAnsi="仿宋" w:eastAsia="仿宋" w:cs="仿宋"/>
          <w:sz w:val="28"/>
          <w:szCs w:val="28"/>
          <w:highlight w:val="none"/>
          <w:lang w:val="en-US" w:eastAsia="zh-CN"/>
        </w:rPr>
        <w:t>乙方人员(包括乙方家属、朋友等人员)在本项目地点发生的所有安全事故均与甲方无关，甲方不承担任何责任和费用，一切责任和费用由乙方承担。</w:t>
      </w:r>
    </w:p>
    <w:p w14:paraId="7C64D2F4">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7.37</w:t>
      </w:r>
      <w:r>
        <w:rPr>
          <w:rFonts w:hint="default" w:ascii="仿宋" w:hAnsi="仿宋" w:eastAsia="仿宋" w:cs="仿宋"/>
          <w:sz w:val="28"/>
          <w:szCs w:val="28"/>
          <w:highlight w:val="none"/>
          <w:lang w:val="en-US" w:eastAsia="zh-CN"/>
        </w:rPr>
        <w:t>本合同履行过程中，乙方设备的维护、保养及年检等由乙方自行负责，须按政府主管部门的要求及规定对设备进行年检，相关费用已含于本合同单价中。乙方设备在租赁期间因年检过期、无牌、无证驾驶、环境污染等行为遭到包括交通、环保等政府主管部门的处罚均由乙方自行负责。</w:t>
      </w:r>
    </w:p>
    <w:p w14:paraId="2E128ED4">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7.38</w:t>
      </w:r>
      <w:r>
        <w:rPr>
          <w:rFonts w:hint="default" w:ascii="仿宋" w:hAnsi="仿宋" w:eastAsia="仿宋" w:cs="仿宋"/>
          <w:sz w:val="28"/>
          <w:szCs w:val="28"/>
          <w:highlight w:val="none"/>
          <w:lang w:val="en-US" w:eastAsia="zh-CN"/>
        </w:rPr>
        <w:t>合同有效期内，乙方须确保自身持续具备履行合同义务的合法资质资格(尤其须符合政府主管部门的要求)，否则甲方有权:自乙方不具备合法资质、资格之日起，乙方每日向甲方支付违约金人民币伍佰元，直至乙方恢复相关资质、资格;②甲方单方解除合同并收回所有已付款项。</w:t>
      </w:r>
    </w:p>
    <w:p w14:paraId="6752CC9A">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7.39</w:t>
      </w:r>
      <w:r>
        <w:rPr>
          <w:rFonts w:hint="default" w:ascii="仿宋" w:hAnsi="仿宋" w:eastAsia="仿宋" w:cs="仿宋"/>
          <w:sz w:val="28"/>
          <w:szCs w:val="28"/>
          <w:highlight w:val="none"/>
          <w:lang w:val="en-US" w:eastAsia="zh-CN"/>
        </w:rPr>
        <w:t>乙方进入本项目现场的工作人员年龄必须在18至55周岁之间(政府部门有更严格要求的，从其要求)。乙方及其人员的社会保险费、人身意外伤害保险费及乙方对本项目成果承担质量保修工作的有关费用等已包含在本合同价格中，甲方无需另行支付费用给乙方。</w:t>
      </w:r>
    </w:p>
    <w:p w14:paraId="2CE77387">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7.40</w:t>
      </w:r>
      <w:r>
        <w:rPr>
          <w:rFonts w:hint="default" w:ascii="仿宋" w:hAnsi="仿宋" w:eastAsia="仿宋" w:cs="仿宋"/>
          <w:sz w:val="28"/>
          <w:szCs w:val="28"/>
          <w:highlight w:val="none"/>
          <w:lang w:val="en-US" w:eastAsia="zh-CN"/>
        </w:rPr>
        <w:t>乙方泵送过程中，负责本工程工作面上所用材料、机具、垃圾的清理，做到工完场清，并自行负责所有建筑垃圾、生活垃圾的处置。如乙方未能自行处置，必须于每道工序验收前把工作面有关的建筑垃圾、生活垃圾等清理到甲方指定位置，由甲方统一就该部分垃圾处理费(含外运及机械台班费等)按责、按量进行分摊后，由乙方及相关分包单位承担，并以书面形式确认，在结算时予以扣除。结算书须包含甲方项目部按照垃圾产生的责任单位进行数量和全部费用的分摊表，该表须甲方施工员、项目副经理、项目经理签认，否则甲方有权不予办理结算且不违约。</w:t>
      </w:r>
    </w:p>
    <w:p w14:paraId="645ABC1E">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7.41</w:t>
      </w:r>
      <w:r>
        <w:rPr>
          <w:rFonts w:hint="default" w:ascii="仿宋" w:hAnsi="仿宋" w:eastAsia="仿宋" w:cs="仿宋"/>
          <w:sz w:val="28"/>
          <w:szCs w:val="28"/>
          <w:highlight w:val="none"/>
          <w:lang w:val="en-US" w:eastAsia="zh-CN"/>
        </w:rPr>
        <w:t>乙方每天施工过程中须做到工完场清，乙方造成的垃圾由乙方负责清理外运至甲方指定地点，相关费用已含于合同单价中，甲方无需另行计费给乙方。</w:t>
      </w:r>
    </w:p>
    <w:p w14:paraId="03ABBEAB">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7.42</w:t>
      </w:r>
      <w:r>
        <w:rPr>
          <w:rFonts w:hint="default" w:ascii="仿宋" w:hAnsi="仿宋" w:eastAsia="仿宋" w:cs="仿宋"/>
          <w:sz w:val="28"/>
          <w:szCs w:val="28"/>
          <w:highlight w:val="none"/>
          <w:lang w:val="en-US" w:eastAsia="zh-CN"/>
        </w:rPr>
        <w:t>甲方应对乙方进场的施工人员进行安全教育。</w:t>
      </w:r>
    </w:p>
    <w:p w14:paraId="2EB5C618">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7.43</w:t>
      </w:r>
      <w:r>
        <w:rPr>
          <w:rFonts w:hint="default" w:ascii="仿宋" w:hAnsi="仿宋" w:eastAsia="仿宋" w:cs="仿宋"/>
          <w:sz w:val="28"/>
          <w:szCs w:val="28"/>
          <w:highlight w:val="none"/>
          <w:lang w:val="en-US" w:eastAsia="zh-CN"/>
        </w:rPr>
        <w:t>甲方不得违反《建设工程安全生产管理条例》(有更新版本则按最新版本执行)的规定要求乙方违章施工。因甲方指挥失误导致的安全事故由甲方承担相应责任和费用。</w:t>
      </w:r>
    </w:p>
    <w:p w14:paraId="69299512">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7.44</w:t>
      </w:r>
      <w:r>
        <w:rPr>
          <w:rFonts w:hint="default" w:ascii="仿宋" w:hAnsi="仿宋" w:eastAsia="仿宋" w:cs="仿宋"/>
          <w:sz w:val="28"/>
          <w:szCs w:val="28"/>
          <w:highlight w:val="none"/>
          <w:lang w:val="en-US" w:eastAsia="zh-CN"/>
        </w:rPr>
        <w:t>乙方须严格遵守《建设工程安全生产管理条例》(有更新版本则按最新版本执行)及有关文件安全管理规定，组织安排工人施工，消除安全患。乙方保证甲方不承担任何因乙方原因导致的人身伤亡或财产损失或赔偿责任，保障甲方不承担任何因乙方及其人员引起的诉讼、控告、索赔责任及发生的相关费用，否则甲方的全部损失由乙方赔偿。</w:t>
      </w:r>
    </w:p>
    <w:p w14:paraId="739AB6B2">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7.45</w:t>
      </w:r>
      <w:r>
        <w:rPr>
          <w:rFonts w:hint="default" w:ascii="仿宋" w:hAnsi="仿宋" w:eastAsia="仿宋" w:cs="仿宋"/>
          <w:sz w:val="28"/>
          <w:szCs w:val="28"/>
          <w:highlight w:val="none"/>
          <w:lang w:val="en-US" w:eastAsia="zh-CN"/>
        </w:rPr>
        <w:t>如本项目因乙方原因出现损失、损害或损坏，乙方须立即修复、补救及更换或维修任何受破坏或损坏之部位，同时按甲方要求清理及弃置任何残骸。</w:t>
      </w:r>
    </w:p>
    <w:p w14:paraId="4A5A2C22">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7.46</w:t>
      </w:r>
      <w:r>
        <w:rPr>
          <w:rFonts w:hint="default" w:ascii="仿宋" w:hAnsi="仿宋" w:eastAsia="仿宋" w:cs="仿宋"/>
          <w:sz w:val="28"/>
          <w:szCs w:val="28"/>
          <w:highlight w:val="none"/>
          <w:lang w:val="en-US" w:eastAsia="zh-CN"/>
        </w:rPr>
        <w:t>乙方须对本项目涉及的乙方人员购买人身意外伤害险等保险，保额不低于死亡赔偿人民币150万元/人及伤害赔偿人民币15万元/人,相关费用已含于本合同约定的合同价中甲方无需另行支付给乙方。</w:t>
      </w:r>
    </w:p>
    <w:p w14:paraId="399EEF75">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7.47本合同所述的执行标准如互相矛盾，或与本合同未写入的其他强制性规范、标准有矛盾时，乙方按要求标准高的执行。</w:t>
      </w:r>
    </w:p>
    <w:p w14:paraId="5DCA5ACE">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sz w:val="28"/>
          <w:szCs w:val="28"/>
          <w:highlight w:val="none"/>
        </w:rPr>
      </w:pPr>
      <w:bookmarkStart w:id="38" w:name="_Toc15930"/>
      <w:bookmarkStart w:id="39" w:name="_Toc3195"/>
      <w:bookmarkStart w:id="40" w:name="_Toc28370"/>
      <w:bookmarkStart w:id="41" w:name="_Toc29740"/>
      <w:bookmarkStart w:id="42" w:name="_Toc6546"/>
      <w:r>
        <w:rPr>
          <w:rFonts w:hint="eastAsia" w:ascii="仿宋" w:hAnsi="仿宋" w:eastAsia="仿宋" w:cs="仿宋"/>
          <w:b/>
          <w:bCs/>
          <w:sz w:val="28"/>
          <w:szCs w:val="28"/>
          <w:highlight w:val="none"/>
          <w:lang w:eastAsia="zh-CN"/>
        </w:rPr>
        <w:t>第八章、廉洁条款</w:t>
      </w:r>
      <w:bookmarkEnd w:id="38"/>
      <w:bookmarkEnd w:id="39"/>
      <w:bookmarkEnd w:id="40"/>
      <w:bookmarkEnd w:id="41"/>
      <w:bookmarkEnd w:id="42"/>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p>
    <w:p w14:paraId="0F58E429">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8.1</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在与</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合作期间（包括本合同</w:t>
      </w:r>
      <w:r>
        <w:rPr>
          <w:rFonts w:hint="eastAsia" w:ascii="仿宋" w:hAnsi="仿宋" w:eastAsia="仿宋" w:cs="仿宋"/>
          <w:sz w:val="28"/>
          <w:szCs w:val="28"/>
          <w:highlight w:val="none"/>
          <w:lang w:val="en-US" w:eastAsia="zh-CN"/>
        </w:rPr>
        <w:t>招采、</w:t>
      </w:r>
      <w:r>
        <w:rPr>
          <w:rFonts w:hint="eastAsia" w:ascii="仿宋" w:hAnsi="仿宋" w:eastAsia="仿宋" w:cs="仿宋"/>
          <w:sz w:val="28"/>
          <w:szCs w:val="28"/>
          <w:highlight w:val="none"/>
        </w:rPr>
        <w:t>签约、履约期间），不得向</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职员提供请吃、送礼、旅游、色情服务、行贿、回扣或其他好处，如有</w:t>
      </w:r>
    </w:p>
    <w:p w14:paraId="0EB9104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违反，</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每次向</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支付人民币十万元作为违约金（</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可从任意一笔合同款中扣款），造成</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经济或其他损失的，</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全额赔偿</w:t>
      </w:r>
      <w:r>
        <w:rPr>
          <w:rFonts w:hint="eastAsia" w:ascii="仿宋" w:hAnsi="仿宋" w:eastAsia="仿宋" w:cs="仿宋"/>
          <w:sz w:val="28"/>
          <w:szCs w:val="28"/>
          <w:highlight w:val="none"/>
          <w:lang w:eastAsia="zh-CN"/>
        </w:rPr>
        <w:t>，且甲方有权单方解除本合同。</w:t>
      </w:r>
    </w:p>
    <w:p w14:paraId="59DB302D">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8.2甲乙</w:t>
      </w:r>
      <w:r>
        <w:rPr>
          <w:rFonts w:hint="eastAsia" w:ascii="仿宋" w:hAnsi="仿宋" w:eastAsia="仿宋" w:cs="仿宋"/>
          <w:sz w:val="28"/>
          <w:szCs w:val="28"/>
          <w:highlight w:val="none"/>
        </w:rPr>
        <w:t>双方管理人员有权拒绝执行合同以外的违法要求。</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发现</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向</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人员或</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委托的其他人员行贿或输送不正当利益的，</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有权对</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进行处罚并单方解除合同，对所发生的工程量/工作量不予结算及不支付费用</w:t>
      </w:r>
      <w:r>
        <w:rPr>
          <w:rFonts w:hint="eastAsia" w:ascii="仿宋" w:hAnsi="仿宋" w:eastAsia="仿宋" w:cs="仿宋"/>
          <w:sz w:val="28"/>
          <w:szCs w:val="28"/>
          <w:highlight w:val="none"/>
          <w:lang w:eastAsia="zh-CN"/>
        </w:rPr>
        <w:t>。</w:t>
      </w:r>
    </w:p>
    <w:p w14:paraId="02660E24">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8.3如甲方发现乙方可能存在违反廉洁条款的行为时，甲方有权暂扣违约金/争议材料款/处罚款等对应等额的材料款，直至调查完毕后根据调查结果再作处理，甲方暂不付款的行为不视为甲方违约。</w:t>
      </w:r>
    </w:p>
    <w:p w14:paraId="2086D5C8">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
          <w:bCs/>
          <w:sz w:val="28"/>
          <w:szCs w:val="28"/>
          <w:highlight w:val="none"/>
          <w:lang w:val="en-US" w:eastAsia="zh-CN"/>
        </w:rPr>
      </w:pPr>
      <w:bookmarkStart w:id="43" w:name="_Toc2216"/>
      <w:bookmarkStart w:id="44" w:name="_Toc15438"/>
      <w:bookmarkStart w:id="45" w:name="_Toc15812"/>
      <w:r>
        <w:rPr>
          <w:rFonts w:hint="eastAsia" w:ascii="仿宋" w:hAnsi="仿宋" w:eastAsia="仿宋" w:cs="仿宋"/>
          <w:b/>
          <w:bCs/>
          <w:sz w:val="28"/>
          <w:szCs w:val="28"/>
          <w:highlight w:val="none"/>
          <w:lang w:val="en-US" w:eastAsia="zh-CN"/>
        </w:rPr>
        <w:t>第九章、其他</w:t>
      </w:r>
      <w:bookmarkEnd w:id="43"/>
      <w:bookmarkEnd w:id="44"/>
      <w:bookmarkEnd w:id="45"/>
    </w:p>
    <w:p w14:paraId="316D0333">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9.1合同价款及合同条款已考虑各种疾病影响，乙方不以疫情为由要求甲方对合同价款、结算办法及货期等合同条款进行调整，防疫措施的一切费用由乙方承担。</w:t>
      </w:r>
    </w:p>
    <w:p w14:paraId="702FF93F">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9.2乙方人员在本合同履行期间所发生的所有安全事故，均由乙方承担所发生的全部费用及损失，对甲方造成损失的则由乙方赔偿甲方损失。</w:t>
      </w:r>
    </w:p>
    <w:p w14:paraId="0CE398B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9.3甲、乙双方对产品质量有争议的，由产品使用地点的、国家规定的质量检测机构鉴定，所需费用及因此造成的损失由责任方承担。如双方均有责任，由双方根据各自责任分别承担。不可抗力的情形按国家相应规定执行。</w:t>
      </w:r>
    </w:p>
    <w:p w14:paraId="09B6F2E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9.4甲方因参与本合同履行而发出、或与乙方达成合意所形成的一切相关文件，均须同时具备甲方公章及法定代表人（或授权代表人）签名，否则均不对甲方产生约束力，除非事后获得甲方另行追认。</w:t>
      </w:r>
    </w:p>
    <w:p w14:paraId="043132C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9.5本合同各条款相互矛盾、表达含糊的，按最有利于甲方的条款执行。</w:t>
      </w:r>
    </w:p>
    <w:p w14:paraId="3F67BBA7">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9.6专利技术及特殊工艺 </w:t>
      </w:r>
    </w:p>
    <w:p w14:paraId="6F157AE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9.6.1乙方须保障甲方在使用其提供的产品、服务不受到第三方关于侵权的指控。如果出现此类情况，由乙方与第三方交涉并承担一切费用和责任，如造成甲方损失的，乙方向甲方赔偿。 </w:t>
      </w:r>
    </w:p>
    <w:p w14:paraId="104766CC">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9.6.2乙方擅自使用他人专利技术，侵犯他人专利权的，乙方依法承担相应责任。</w:t>
      </w:r>
    </w:p>
    <w:p w14:paraId="33ED5D56">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9.7本合同履行过程中，乙方如进行企业名称变更，须提前5个日历天书面报告甲方并随附工商登记主管部门核发的相应证明文件，否则甲方有权中止合同付款义务，直至乙方就该变更事宜提交有效证明文件并配合甲方完成对乙方主体身份的核验，其过程所耽误的付款时间属乙方责任，其损失由乙方全部承担。本合同履行过程中，如乙方自身主体被工商登记主管部门注销，甲方有权不履行合同付款义务且属乙方责任，一切损失由乙方承担，甲方无须承担任何违约责任和费用。</w:t>
      </w:r>
    </w:p>
    <w:p w14:paraId="20B5016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9.8签订本合同后，乙方只是取得产品供应资格且向甲方确定了可接受的交易条件，并不意味着双方的成交，能否向甲方销售产品以甲方发出的书面通知为准。甲方随时有权另向第三方交易。在甲方未向乙方发出具体的订货通知之前，乙方无权以本合同为由要求甲方进行交易。</w:t>
      </w:r>
    </w:p>
    <w:p w14:paraId="1241A4EC">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9.9本合同未尽事宜或需变更的，甲乙双方另行签订补充协议进行明确。与本合同相关的争议，双方友好协商解决，协商不成则提交甲方所在地人民法</w:t>
      </w:r>
    </w:p>
    <w:p w14:paraId="1A784C0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院以诉讼方式解决。法院送达的文书以合同签章处所列地址为有效地址，以邮寄方式送达的，通过邮政特快专递寄出第三日视为送达。</w:t>
      </w:r>
    </w:p>
    <w:p w14:paraId="439BB67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9.10甲方编制的《商品混凝土、砂浆验收管理制度》为本合同不可分割的组成部分，与合同正文具有同等效力，乙方须照章供应。此类文件及本合同附件表格格式以施工当期甲方提供的最新版为准，最终解释权归甲方所有。</w:t>
      </w:r>
    </w:p>
    <w:p w14:paraId="1A8450D9">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9.11本合同执行期间，甲方制度文件如有更新，按甲方最新版要求执行，最终解释权归甲方所有。</w:t>
      </w:r>
    </w:p>
    <w:p w14:paraId="0443B45D">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9.12以下文件均为合同有效组成部分，各文件互相解释，互为说明。当前后合同文件、资料等出现不一致或矛盾时，以下排列顺序为合同文件的优先解</w:t>
      </w:r>
    </w:p>
    <w:p w14:paraId="139D103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释顺序；同一类文件以最新（近）时间为优先：</w:t>
      </w:r>
    </w:p>
    <w:p w14:paraId="2C0ECBAB">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① 合同履行过程中，双方法人代表或授权人签字并加盖公章的补充协议；</w:t>
      </w:r>
    </w:p>
    <w:p w14:paraId="652ED24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② 本合同书（含附件）；</w:t>
      </w:r>
    </w:p>
    <w:p w14:paraId="18595B52">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③ 经甲方确认的方案及相关设计变更；</w:t>
      </w:r>
    </w:p>
    <w:p w14:paraId="6E9C0C3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④ 本合同招采文件（含相关答疑、补充通知等）；</w:t>
      </w:r>
    </w:p>
    <w:p w14:paraId="34BEC068">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⑤ 乙方发出的、经甲方确认的本合同投标报价文件及相关澄清文件；</w:t>
      </w:r>
    </w:p>
    <w:p w14:paraId="13B44A8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⑥ 本项目所在地现行法律、法规、标准、规范及政府主管部门的强制性要求。</w:t>
      </w:r>
    </w:p>
    <w:p w14:paraId="763DB8BF">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9.13本合同正文为清洁打印文本，如双方对此合同有任何修改及补充均应另行签订补充协议。合同正文中任何非打印的文字或者图形，除非经双方确认同意，否则不产生约束力。</w:t>
      </w:r>
    </w:p>
    <w:p w14:paraId="080DECA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9.14甲乙双方均确认已经审阅并理解本合同的条款，且已经就条款相关的任何疑问得到满意的解释，并确认本合同的条款为双方本着诚信互利的原则友好协商一致的结果，不属于任何一方的格式条款。</w:t>
      </w:r>
    </w:p>
    <w:p w14:paraId="61289588">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9.15本合同一式二份，甲乙双方各执一份，均具同等效力。</w:t>
      </w:r>
    </w:p>
    <w:p w14:paraId="7681923D">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9.16本合同自甲乙双方签字、加盖公章（或合同章）之日起生效，双方履行完合同义务、责任之日起终止。</w:t>
      </w:r>
    </w:p>
    <w:p w14:paraId="0E753E90">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b/>
          <w:bCs/>
          <w:sz w:val="28"/>
          <w:szCs w:val="28"/>
          <w:highlight w:val="none"/>
          <w:lang w:eastAsia="zh-CN"/>
        </w:rPr>
        <w:t>以下无正文</w:t>
      </w:r>
      <w:r>
        <w:rPr>
          <w:rFonts w:hint="eastAsia" w:ascii="仿宋" w:hAnsi="仿宋" w:eastAsia="仿宋" w:cs="仿宋"/>
          <w:sz w:val="28"/>
          <w:szCs w:val="28"/>
          <w:highlight w:val="none"/>
          <w:lang w:eastAsia="zh-CN"/>
        </w:rPr>
        <w:t>）</w:t>
      </w:r>
    </w:p>
    <w:p w14:paraId="3A0E00B9">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0"/>
        <w:rPr>
          <w:rFonts w:hint="eastAsia" w:ascii="仿宋" w:hAnsi="仿宋" w:eastAsia="仿宋" w:cs="仿宋"/>
          <w:kern w:val="2"/>
          <w:sz w:val="28"/>
          <w:szCs w:val="28"/>
          <w:highlight w:val="none"/>
          <w:lang w:val="en-US" w:eastAsia="zh-CN" w:bidi="ar-SA"/>
        </w:rPr>
      </w:pPr>
      <w:bookmarkStart w:id="46" w:name="_Toc16084"/>
      <w:bookmarkStart w:id="47" w:name="_Toc22179"/>
      <w:bookmarkStart w:id="48" w:name="_Toc21875"/>
      <w:bookmarkStart w:id="49" w:name="_Toc21822"/>
      <w:r>
        <w:rPr>
          <w:rFonts w:hint="eastAsia" w:ascii="仿宋" w:hAnsi="仿宋" w:eastAsia="仿宋" w:cs="仿宋"/>
          <w:kern w:val="2"/>
          <w:sz w:val="28"/>
          <w:szCs w:val="28"/>
          <w:highlight w:val="none"/>
          <w:lang w:val="en-US" w:eastAsia="zh-CN" w:bidi="ar-SA"/>
        </w:rPr>
        <w:t>附件一：《甲方项目章》格式；</w:t>
      </w:r>
      <w:bookmarkEnd w:id="46"/>
      <w:bookmarkEnd w:id="47"/>
    </w:p>
    <w:p w14:paraId="0A7C0B52">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0"/>
        <w:rPr>
          <w:rFonts w:hint="eastAsia" w:ascii="仿宋" w:hAnsi="仿宋" w:eastAsia="仿宋" w:cs="仿宋"/>
          <w:kern w:val="2"/>
          <w:sz w:val="28"/>
          <w:szCs w:val="28"/>
          <w:highlight w:val="none"/>
          <w:lang w:val="en-US" w:eastAsia="zh-CN" w:bidi="ar-SA"/>
        </w:rPr>
      </w:pPr>
      <w:bookmarkStart w:id="50" w:name="_Toc11622"/>
      <w:bookmarkStart w:id="51" w:name="_Toc23821"/>
      <w:r>
        <w:rPr>
          <w:rFonts w:hint="eastAsia" w:ascii="仿宋" w:hAnsi="仿宋" w:eastAsia="仿宋" w:cs="仿宋"/>
          <w:kern w:val="2"/>
          <w:sz w:val="28"/>
          <w:szCs w:val="28"/>
          <w:highlight w:val="none"/>
          <w:lang w:val="en-US" w:eastAsia="zh-CN" w:bidi="ar-SA"/>
        </w:rPr>
        <w:t>附件二：《延迟付款声明函》格式</w:t>
      </w:r>
      <w:bookmarkEnd w:id="48"/>
      <w:bookmarkEnd w:id="49"/>
      <w:r>
        <w:rPr>
          <w:rFonts w:hint="eastAsia" w:ascii="仿宋" w:hAnsi="仿宋" w:eastAsia="仿宋" w:cs="仿宋"/>
          <w:kern w:val="2"/>
          <w:sz w:val="28"/>
          <w:szCs w:val="28"/>
          <w:highlight w:val="none"/>
          <w:lang w:val="en-US" w:eastAsia="zh-CN" w:bidi="ar-SA"/>
        </w:rPr>
        <w:t>；</w:t>
      </w:r>
      <w:bookmarkEnd w:id="50"/>
      <w:bookmarkEnd w:id="51"/>
    </w:p>
    <w:p w14:paraId="201B152B">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0"/>
        <w:rPr>
          <w:rFonts w:hint="eastAsia" w:ascii="仿宋" w:hAnsi="仿宋" w:eastAsia="仿宋" w:cs="仿宋"/>
          <w:kern w:val="2"/>
          <w:sz w:val="28"/>
          <w:szCs w:val="28"/>
          <w:highlight w:val="none"/>
          <w:lang w:val="en-US" w:eastAsia="zh-CN" w:bidi="ar-SA"/>
        </w:rPr>
      </w:pPr>
      <w:bookmarkStart w:id="52" w:name="_Toc31961"/>
      <w:bookmarkStart w:id="53" w:name="_Toc3654"/>
      <w:bookmarkStart w:id="54" w:name="_Toc18716"/>
      <w:bookmarkStart w:id="55" w:name="_Toc846"/>
      <w:r>
        <w:rPr>
          <w:rFonts w:hint="eastAsia" w:ascii="仿宋" w:hAnsi="仿宋" w:eastAsia="仿宋" w:cs="仿宋"/>
          <w:kern w:val="2"/>
          <w:sz w:val="28"/>
          <w:szCs w:val="28"/>
          <w:highlight w:val="none"/>
          <w:lang w:val="en-US" w:eastAsia="zh-CN" w:bidi="ar-SA"/>
        </w:rPr>
        <w:t>附件三：《材料款申报确认表》格式；</w:t>
      </w:r>
      <w:bookmarkEnd w:id="52"/>
      <w:bookmarkEnd w:id="53"/>
      <w:r>
        <w:rPr>
          <w:rFonts w:hint="eastAsia" w:ascii="仿宋" w:hAnsi="仿宋" w:eastAsia="仿宋" w:cs="仿宋"/>
          <w:kern w:val="2"/>
          <w:sz w:val="28"/>
          <w:szCs w:val="28"/>
          <w:highlight w:val="none"/>
          <w:lang w:val="en-US" w:eastAsia="zh-CN" w:bidi="ar-SA"/>
        </w:rPr>
        <w:t xml:space="preserve">      </w:t>
      </w:r>
    </w:p>
    <w:p w14:paraId="6AC9919A">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0"/>
        <w:rPr>
          <w:rFonts w:hint="eastAsia" w:ascii="仿宋" w:hAnsi="仿宋" w:eastAsia="仿宋" w:cs="仿宋"/>
          <w:kern w:val="2"/>
          <w:sz w:val="28"/>
          <w:szCs w:val="28"/>
          <w:highlight w:val="none"/>
          <w:lang w:val="en-US" w:eastAsia="zh-CN" w:bidi="ar-SA"/>
        </w:rPr>
      </w:pPr>
      <w:bookmarkStart w:id="56" w:name="_Toc30943"/>
      <w:bookmarkStart w:id="57" w:name="_Toc20988"/>
      <w:r>
        <w:rPr>
          <w:rFonts w:hint="eastAsia" w:ascii="仿宋" w:hAnsi="仿宋" w:eastAsia="仿宋" w:cs="仿宋"/>
          <w:kern w:val="2"/>
          <w:sz w:val="28"/>
          <w:szCs w:val="28"/>
          <w:highlight w:val="none"/>
          <w:lang w:val="en-US" w:eastAsia="zh-CN" w:bidi="ar-SA"/>
        </w:rPr>
        <w:t>附件四：《付款台账汇总表》格式</w:t>
      </w:r>
      <w:bookmarkEnd w:id="54"/>
      <w:bookmarkEnd w:id="55"/>
      <w:bookmarkStart w:id="58" w:name="_Toc10096"/>
      <w:bookmarkStart w:id="59" w:name="_Toc19217"/>
      <w:r>
        <w:rPr>
          <w:rFonts w:hint="eastAsia" w:ascii="仿宋" w:hAnsi="仿宋" w:eastAsia="仿宋" w:cs="仿宋"/>
          <w:kern w:val="2"/>
          <w:sz w:val="28"/>
          <w:szCs w:val="28"/>
          <w:highlight w:val="none"/>
          <w:lang w:val="en-US" w:eastAsia="zh-CN" w:bidi="ar-SA"/>
        </w:rPr>
        <w:t>；</w:t>
      </w:r>
      <w:bookmarkEnd w:id="56"/>
      <w:bookmarkEnd w:id="57"/>
    </w:p>
    <w:p w14:paraId="42730E1F">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0"/>
        <w:rPr>
          <w:rFonts w:hint="eastAsia" w:ascii="仿宋" w:hAnsi="仿宋" w:eastAsia="仿宋" w:cs="仿宋"/>
          <w:kern w:val="2"/>
          <w:sz w:val="28"/>
          <w:szCs w:val="28"/>
          <w:highlight w:val="none"/>
          <w:lang w:val="en-US" w:eastAsia="zh-CN" w:bidi="ar-SA"/>
        </w:rPr>
      </w:pPr>
      <w:bookmarkStart w:id="60" w:name="_Toc2349"/>
      <w:bookmarkStart w:id="61" w:name="_Toc6998"/>
      <w:r>
        <w:rPr>
          <w:rFonts w:hint="eastAsia" w:ascii="仿宋" w:hAnsi="仿宋" w:eastAsia="仿宋" w:cs="仿宋"/>
          <w:kern w:val="2"/>
          <w:sz w:val="28"/>
          <w:szCs w:val="28"/>
          <w:highlight w:val="none"/>
          <w:lang w:val="en-US" w:eastAsia="zh-CN" w:bidi="ar-SA"/>
        </w:rPr>
        <w:t>附件五：《结清承诺书》格式</w:t>
      </w:r>
      <w:bookmarkEnd w:id="58"/>
      <w:bookmarkEnd w:id="59"/>
      <w:r>
        <w:rPr>
          <w:rFonts w:hint="eastAsia" w:ascii="仿宋" w:hAnsi="仿宋" w:eastAsia="仿宋" w:cs="仿宋"/>
          <w:kern w:val="2"/>
          <w:sz w:val="28"/>
          <w:szCs w:val="28"/>
          <w:highlight w:val="none"/>
          <w:lang w:val="en-US" w:eastAsia="zh-CN" w:bidi="ar-SA"/>
        </w:rPr>
        <w:t>；</w:t>
      </w:r>
      <w:bookmarkEnd w:id="60"/>
      <w:bookmarkEnd w:id="61"/>
    </w:p>
    <w:p w14:paraId="11658B85">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0"/>
        <w:rPr>
          <w:rFonts w:hint="eastAsia" w:ascii="仿宋" w:hAnsi="仿宋" w:eastAsia="仿宋" w:cs="仿宋"/>
          <w:kern w:val="2"/>
          <w:sz w:val="28"/>
          <w:szCs w:val="28"/>
          <w:highlight w:val="none"/>
          <w:lang w:val="en-US" w:eastAsia="zh-CN" w:bidi="ar-SA"/>
        </w:rPr>
      </w:pPr>
      <w:bookmarkStart w:id="62" w:name="_Toc12121"/>
      <w:bookmarkStart w:id="63" w:name="_Toc829"/>
      <w:r>
        <w:rPr>
          <w:rFonts w:hint="eastAsia" w:ascii="仿宋" w:hAnsi="仿宋" w:eastAsia="仿宋" w:cs="仿宋"/>
          <w:kern w:val="2"/>
          <w:sz w:val="28"/>
          <w:szCs w:val="28"/>
          <w:highlight w:val="none"/>
          <w:lang w:val="en-US" w:eastAsia="zh-CN" w:bidi="ar-SA"/>
        </w:rPr>
        <w:t>附件六：《关于混凝土材料、结构的抗裂措施等说明》格式；</w:t>
      </w:r>
      <w:bookmarkEnd w:id="62"/>
      <w:bookmarkEnd w:id="63"/>
    </w:p>
    <w:p w14:paraId="1E073EE5">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0"/>
        <w:rPr>
          <w:rFonts w:hint="eastAsia" w:ascii="仿宋" w:hAnsi="仿宋" w:eastAsia="仿宋" w:cs="仿宋"/>
          <w:kern w:val="2"/>
          <w:sz w:val="28"/>
          <w:szCs w:val="28"/>
          <w:highlight w:val="none"/>
          <w:lang w:val="en-US" w:eastAsia="zh-CN" w:bidi="ar-SA"/>
        </w:rPr>
      </w:pPr>
      <w:bookmarkStart w:id="64" w:name="_Toc11222"/>
      <w:bookmarkStart w:id="65" w:name="_Toc23179"/>
      <w:r>
        <w:rPr>
          <w:rFonts w:hint="eastAsia" w:ascii="仿宋" w:hAnsi="仿宋" w:eastAsia="仿宋" w:cs="仿宋"/>
          <w:kern w:val="2"/>
          <w:sz w:val="28"/>
          <w:szCs w:val="28"/>
          <w:highlight w:val="none"/>
          <w:lang w:val="en-US" w:eastAsia="zh-CN" w:bidi="ar-SA"/>
        </w:rPr>
        <w:t>附件七：《供应商月度对账单》格式；</w:t>
      </w:r>
      <w:bookmarkEnd w:id="64"/>
      <w:bookmarkEnd w:id="65"/>
    </w:p>
    <w:p w14:paraId="73DB4D09">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0"/>
        <w:rPr>
          <w:rFonts w:hint="eastAsia" w:ascii="仿宋" w:hAnsi="仿宋" w:eastAsia="仿宋" w:cs="仿宋"/>
          <w:kern w:val="2"/>
          <w:sz w:val="28"/>
          <w:szCs w:val="28"/>
          <w:highlight w:val="none"/>
          <w:lang w:val="en-US" w:eastAsia="zh-CN" w:bidi="ar-SA"/>
        </w:rPr>
      </w:pPr>
      <w:bookmarkStart w:id="66" w:name="_Toc22264"/>
      <w:bookmarkStart w:id="67" w:name="_Toc19612"/>
      <w:r>
        <w:rPr>
          <w:rFonts w:hint="eastAsia" w:ascii="仿宋" w:hAnsi="仿宋" w:eastAsia="仿宋" w:cs="仿宋"/>
          <w:kern w:val="2"/>
          <w:sz w:val="28"/>
          <w:szCs w:val="28"/>
          <w:highlight w:val="none"/>
          <w:lang w:val="en-US" w:eastAsia="zh-CN" w:bidi="ar-SA"/>
        </w:rPr>
        <w:t>附件八：《物料申购单》格式；</w:t>
      </w:r>
      <w:bookmarkEnd w:id="66"/>
      <w:bookmarkEnd w:id="67"/>
    </w:p>
    <w:p w14:paraId="54B08D5B">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0"/>
        <w:rPr>
          <w:rFonts w:hint="eastAsia" w:ascii="仿宋" w:hAnsi="仿宋" w:eastAsia="仿宋" w:cs="仿宋"/>
          <w:kern w:val="2"/>
          <w:sz w:val="28"/>
          <w:szCs w:val="28"/>
          <w:highlight w:val="none"/>
          <w:lang w:val="en-US" w:eastAsia="zh-CN" w:bidi="ar-SA"/>
        </w:rPr>
      </w:pPr>
      <w:bookmarkStart w:id="68" w:name="_Toc3219"/>
      <w:bookmarkStart w:id="69" w:name="_Toc15821"/>
      <w:r>
        <w:rPr>
          <w:rFonts w:hint="eastAsia" w:ascii="仿宋" w:hAnsi="仿宋" w:eastAsia="仿宋" w:cs="仿宋"/>
          <w:kern w:val="2"/>
          <w:sz w:val="28"/>
          <w:szCs w:val="28"/>
          <w:highlight w:val="none"/>
          <w:lang w:val="en-US" w:eastAsia="zh-CN" w:bidi="ar-SA"/>
        </w:rPr>
        <w:t>附件九：《报价清单》。</w:t>
      </w:r>
      <w:bookmarkEnd w:id="68"/>
      <w:bookmarkEnd w:id="69"/>
    </w:p>
    <w:p w14:paraId="723E4A88">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 xml:space="preserve">甲方(盖章):东莞市中泰建安工程有限公司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乙方(盖章): </w:t>
      </w:r>
      <w:r>
        <w:rPr>
          <w:rFonts w:hint="eastAsia" w:ascii="仿宋" w:hAnsi="仿宋" w:eastAsia="仿宋" w:cs="仿宋"/>
          <w:b/>
          <w:bCs/>
          <w:color w:val="auto"/>
          <w:sz w:val="24"/>
          <w:szCs w:val="24"/>
          <w:highlight w:val="none"/>
          <w:lang w:val="en-US" w:eastAsia="zh-CN"/>
        </w:rPr>
        <w:t xml:space="preserve"> </w:t>
      </w:r>
    </w:p>
    <w:p w14:paraId="0ABC8551">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lang w:val="en-US" w:eastAsia="zh-CN"/>
        </w:rPr>
      </w:pPr>
    </w:p>
    <w:p w14:paraId="3A5AC506">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签约代表:                                签约代表:</w:t>
      </w:r>
    </w:p>
    <w:p w14:paraId="50667006">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p>
    <w:p w14:paraId="51BBE5EE">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纳税号：91441900732168546R               纳税号：</w:t>
      </w:r>
      <w:r>
        <w:rPr>
          <w:rFonts w:hint="eastAsia" w:ascii="仿宋" w:hAnsi="仿宋" w:eastAsia="仿宋" w:cs="仿宋"/>
          <w:b/>
          <w:bCs/>
          <w:color w:val="auto"/>
          <w:sz w:val="24"/>
          <w:szCs w:val="24"/>
          <w:highlight w:val="none"/>
          <w:lang w:val="en-US" w:eastAsia="zh-CN"/>
        </w:rPr>
        <w:t xml:space="preserve"> </w:t>
      </w:r>
    </w:p>
    <w:p w14:paraId="7EA82D6F">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 xml:space="preserve">账  号：548000013639239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账  号：</w:t>
      </w:r>
      <w:r>
        <w:rPr>
          <w:rFonts w:hint="eastAsia" w:ascii="仿宋" w:hAnsi="仿宋" w:eastAsia="仿宋" w:cs="仿宋"/>
          <w:b/>
          <w:bCs/>
          <w:color w:val="auto"/>
          <w:sz w:val="24"/>
          <w:szCs w:val="24"/>
          <w:highlight w:val="none"/>
          <w:lang w:val="en-US" w:eastAsia="zh-CN"/>
        </w:rPr>
        <w:t xml:space="preserve"> </w:t>
      </w:r>
    </w:p>
    <w:p w14:paraId="7227CEED">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开户行：东莞银行股份有限公司元美支行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开户行：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w:t>
      </w:r>
    </w:p>
    <w:p w14:paraId="5E301A36">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 xml:space="preserve">地 址：广东省东莞市南城街道鸿福路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地址：</w:t>
      </w:r>
      <w:r>
        <w:rPr>
          <w:rFonts w:hint="eastAsia" w:ascii="仿宋" w:hAnsi="仿宋" w:eastAsia="仿宋" w:cs="仿宋"/>
          <w:b/>
          <w:bCs/>
          <w:color w:val="auto"/>
          <w:sz w:val="24"/>
          <w:szCs w:val="24"/>
          <w:highlight w:val="none"/>
          <w:lang w:val="en-US" w:eastAsia="zh-CN"/>
        </w:rPr>
        <w:t xml:space="preserve"> </w:t>
      </w:r>
    </w:p>
    <w:p w14:paraId="762A0F9B">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106号1栋1712室01                                  </w:t>
      </w:r>
    </w:p>
    <w:p w14:paraId="7677182D">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 xml:space="preserve">电  话：0769-22311322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电  话:</w:t>
      </w:r>
      <w:r>
        <w:rPr>
          <w:rFonts w:hint="eastAsia" w:ascii="仿宋" w:hAnsi="仿宋" w:eastAsia="仿宋" w:cs="仿宋"/>
          <w:b/>
          <w:bCs/>
          <w:color w:val="auto"/>
          <w:sz w:val="24"/>
          <w:szCs w:val="24"/>
          <w:highlight w:val="none"/>
          <w:lang w:val="en-US" w:eastAsia="zh-CN"/>
        </w:rPr>
        <w:t xml:space="preserve"> </w:t>
      </w:r>
    </w:p>
    <w:p w14:paraId="03A57F24">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lang w:val="en-US" w:eastAsia="zh-CN"/>
        </w:rPr>
      </w:pPr>
    </w:p>
    <w:p w14:paraId="20D7612B">
      <w:pPr>
        <w:spacing w:line="240" w:lineRule="auto"/>
        <w:rPr>
          <w:rFonts w:hint="eastAsia" w:ascii="仿宋" w:hAnsi="仿宋" w:eastAsia="仿宋" w:cs="仿宋"/>
          <w:b/>
          <w:bCs/>
          <w:color w:val="auto"/>
          <w:sz w:val="44"/>
          <w:szCs w:val="44"/>
          <w:highlight w:val="none"/>
          <w:lang w:val="en-US" w:eastAsia="zh-CN"/>
        </w:rPr>
      </w:pPr>
      <w:r>
        <w:rPr>
          <w:rFonts w:hint="eastAsia" w:ascii="仿宋" w:hAnsi="仿宋" w:eastAsia="仿宋" w:cs="仿宋"/>
          <w:sz w:val="24"/>
          <w:szCs w:val="24"/>
          <w:highlight w:val="none"/>
          <w:lang w:eastAsia="zh-CN"/>
        </w:rPr>
        <w:t>【甲方人员如有营私舞弊、吃拿卡要等损害乙方合法权益的行为，乙方可拨打投诉专线 4000968086或发邮件至投诉邮箱:zhglzx@nanfeng.cn，也可至广东省东莞市南城街道鸿福路 106 号南峰中心 12楼内控中心办公室面诉。】</w:t>
      </w:r>
      <w:bookmarkStart w:id="70" w:name="_Toc19000"/>
      <w:bookmarkStart w:id="71" w:name="_Toc11233"/>
    </w:p>
    <w:p w14:paraId="094F23A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outlineLvl w:val="0"/>
        <w:rPr>
          <w:rFonts w:hint="eastAsia" w:ascii="仿宋" w:hAnsi="仿宋" w:eastAsia="仿宋" w:cs="仿宋"/>
          <w:b/>
          <w:bCs/>
          <w:color w:val="auto"/>
          <w:sz w:val="44"/>
          <w:szCs w:val="44"/>
          <w:highlight w:val="none"/>
          <w:lang w:val="en-US" w:eastAsia="zh-CN"/>
        </w:rPr>
      </w:pPr>
      <w:bookmarkStart w:id="72" w:name="_Toc17953"/>
      <w:bookmarkStart w:id="73" w:name="_Toc15436"/>
    </w:p>
    <w:p w14:paraId="6F1DD59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outlineLvl w:val="0"/>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附件一</w:t>
      </w:r>
      <w:bookmarkEnd w:id="72"/>
      <w:bookmarkEnd w:id="73"/>
    </w:p>
    <w:p w14:paraId="18DA374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3A5A6C5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6B8C420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451E31D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58D33AB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416AC1A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default" w:ascii="仿宋" w:hAnsi="仿宋" w:eastAsia="仿宋" w:cs="仿宋"/>
          <w:b/>
          <w:bCs/>
          <w:color w:val="auto"/>
          <w:sz w:val="30"/>
          <w:highlight w:val="none"/>
          <w:lang w:val="en-US" w:eastAsia="zh-CN"/>
        </w:rPr>
      </w:pPr>
      <w:bookmarkStart w:id="74" w:name="_Toc22046"/>
      <w:bookmarkStart w:id="75" w:name="_Toc2040"/>
      <w:r>
        <w:rPr>
          <w:rFonts w:hint="eastAsia" w:ascii="仿宋" w:hAnsi="仿宋" w:eastAsia="仿宋" w:cs="仿宋"/>
          <w:b/>
          <w:bCs/>
          <w:color w:val="auto"/>
          <w:sz w:val="30"/>
          <w:highlight w:val="none"/>
          <w:lang w:val="en-US" w:eastAsia="zh-CN"/>
        </w:rPr>
        <w:t>甲方项目章</w:t>
      </w:r>
      <w:bookmarkEnd w:id="70"/>
      <w:bookmarkEnd w:id="71"/>
      <w:r>
        <w:rPr>
          <w:rFonts w:hint="eastAsia" w:ascii="仿宋" w:hAnsi="仿宋" w:eastAsia="仿宋" w:cs="仿宋"/>
          <w:b/>
          <w:bCs/>
          <w:color w:val="auto"/>
          <w:sz w:val="30"/>
          <w:highlight w:val="none"/>
          <w:lang w:val="en-US" w:eastAsia="zh-CN"/>
        </w:rPr>
        <w:t>样式</w:t>
      </w:r>
      <w:bookmarkEnd w:id="74"/>
      <w:bookmarkEnd w:id="75"/>
    </w:p>
    <w:p w14:paraId="35C230F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0F2121E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bookmarkStart w:id="76" w:name="_Toc28448"/>
      <w:bookmarkStart w:id="77" w:name="_Toc13609"/>
      <w:r>
        <w:rPr>
          <w:rFonts w:hint="eastAsia" w:ascii="仿宋" w:hAnsi="仿宋" w:eastAsia="仿宋" w:cs="仿宋"/>
          <w:b/>
          <w:bCs/>
          <w:color w:val="auto"/>
          <w:sz w:val="40"/>
          <w:szCs w:val="36"/>
          <w:highlight w:val="none"/>
          <w:lang w:val="en-US" w:eastAsia="zh-CN"/>
        </w:rPr>
        <w:drawing>
          <wp:inline distT="0" distB="0" distL="114300" distR="114300">
            <wp:extent cx="4476750" cy="3238500"/>
            <wp:effectExtent l="0" t="0" r="3810" b="7620"/>
            <wp:docPr id="4" name="图片 4" descr="1719802889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19802889972"/>
                    <pic:cNvPicPr>
                      <a:picLocks noChangeAspect="1"/>
                    </pic:cNvPicPr>
                  </pic:nvPicPr>
                  <pic:blipFill>
                    <a:blip r:embed="rId8"/>
                    <a:stretch>
                      <a:fillRect/>
                    </a:stretch>
                  </pic:blipFill>
                  <pic:spPr>
                    <a:xfrm>
                      <a:off x="0" y="0"/>
                      <a:ext cx="4476750" cy="3238500"/>
                    </a:xfrm>
                    <a:prstGeom prst="rect">
                      <a:avLst/>
                    </a:prstGeom>
                  </pic:spPr>
                </pic:pic>
              </a:graphicData>
            </a:graphic>
          </wp:inline>
        </w:drawing>
      </w:r>
      <w:bookmarkEnd w:id="76"/>
      <w:bookmarkEnd w:id="77"/>
    </w:p>
    <w:p w14:paraId="0B5F44F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1BB6F88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762275C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1D8F32C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078E64E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47AB891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06C7D0E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4C48FF5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61DFF3E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323FC48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7D7A243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358CF15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52742DF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38853C0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7806917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4112002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30"/>
          <w:highlight w:val="none"/>
          <w:lang w:val="en-US" w:eastAsia="zh-CN"/>
        </w:rPr>
      </w:pPr>
      <w:r>
        <w:rPr>
          <w:rFonts w:hint="eastAsia" w:ascii="仿宋" w:hAnsi="仿宋" w:eastAsia="仿宋" w:cs="仿宋"/>
          <w:b/>
          <w:bCs/>
          <w:color w:val="auto"/>
          <w:sz w:val="44"/>
          <w:szCs w:val="40"/>
          <w:highlight w:val="none"/>
          <w:lang w:val="en-US" w:eastAsia="zh-CN"/>
        </w:rPr>
        <w:t>附件二</w:t>
      </w:r>
    </w:p>
    <w:p w14:paraId="2C3162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44"/>
          <w:szCs w:val="44"/>
          <w:highlight w:val="none"/>
          <w:lang w:val="en-US" w:eastAsia="zh-CN"/>
        </w:rPr>
      </w:pPr>
    </w:p>
    <w:p w14:paraId="51BAE6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延迟付款声明函</w:t>
      </w:r>
    </w:p>
    <w:p w14:paraId="49211D0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30"/>
          <w:szCs w:val="30"/>
          <w:highlight w:val="none"/>
          <w:lang w:val="en-US" w:eastAsia="zh-CN"/>
        </w:rPr>
      </w:pPr>
    </w:p>
    <w:p w14:paraId="5E0842B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致东莞市中泰建安工程有限公司：</w:t>
      </w:r>
    </w:p>
    <w:p w14:paraId="77B450D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u w:val="single"/>
          <w:lang w:val="en-US" w:eastAsia="zh-CN"/>
        </w:rPr>
        <w:t>对  年  月  日至  年  月  日送至贵司           项目/工程名称的     材料/设备（材料签收单单号：          ，货款金额：￥       元）</w:t>
      </w:r>
      <w:r>
        <w:rPr>
          <w:rFonts w:hint="eastAsia" w:ascii="仿宋" w:hAnsi="仿宋" w:eastAsia="仿宋" w:cs="仿宋"/>
          <w:sz w:val="30"/>
          <w:szCs w:val="30"/>
          <w:highlight w:val="none"/>
          <w:u w:val="none"/>
          <w:lang w:val="en-US" w:eastAsia="zh-CN"/>
        </w:rPr>
        <w:t>，因</w:t>
      </w: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u w:val="none"/>
          <w:lang w:val="en-US" w:eastAsia="zh-CN"/>
        </w:rPr>
        <w:t>原因导致无法</w:t>
      </w:r>
      <w:r>
        <w:rPr>
          <w:rFonts w:hint="eastAsia" w:ascii="仿宋" w:hAnsi="仿宋" w:eastAsia="仿宋" w:cs="仿宋"/>
          <w:sz w:val="30"/>
          <w:szCs w:val="30"/>
          <w:highlight w:val="none"/>
          <w:lang w:val="en-US" w:eastAsia="zh-CN"/>
        </w:rPr>
        <w:t>按照贵我双方合同约定的时限与贵司完成对账并确定相应金额,属我司责任，与贵司无关。我司自愿接受按照合同约定延期支付该款项，我司承担因此导致的所有责任和损失。</w:t>
      </w:r>
    </w:p>
    <w:p w14:paraId="6F4ACF1A">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highlight w:val="none"/>
          <w:lang w:val="en-US" w:eastAsia="zh-CN"/>
        </w:rPr>
      </w:pPr>
      <w:r>
        <w:rPr>
          <w:rFonts w:hint="eastAsia" w:ascii="仿宋" w:hAnsi="仿宋" w:eastAsia="仿宋" w:cs="仿宋"/>
          <w:sz w:val="30"/>
          <w:szCs w:val="30"/>
          <w:highlight w:val="none"/>
          <w:lang w:val="en-US" w:eastAsia="zh-CN"/>
        </w:rPr>
        <w:t>特此声明。</w:t>
      </w:r>
    </w:p>
    <w:p w14:paraId="4446F8A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highlight w:val="none"/>
          <w:lang w:val="en-US" w:eastAsia="zh-CN"/>
        </w:rPr>
      </w:pPr>
    </w:p>
    <w:p w14:paraId="5F51634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highlight w:val="none"/>
          <w:lang w:val="en-US" w:eastAsia="zh-CN"/>
        </w:rPr>
      </w:pPr>
    </w:p>
    <w:p w14:paraId="66A8F13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highlight w:val="none"/>
          <w:lang w:val="en-US" w:eastAsia="zh-CN"/>
        </w:rPr>
      </w:pPr>
    </w:p>
    <w:p w14:paraId="0BFA4884">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声明单位：</w:t>
      </w:r>
    </w:p>
    <w:p w14:paraId="2BCFD4C1">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负责人：</w:t>
      </w:r>
    </w:p>
    <w:p w14:paraId="765E5D87">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right"/>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                 （加盖公章及法定代表人或授权代表）     </w:t>
      </w:r>
    </w:p>
    <w:p w14:paraId="4978CF32">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                  年   月   日</w:t>
      </w:r>
    </w:p>
    <w:p w14:paraId="5E6DE05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1A8997F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2F03C44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592570F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4CADCB3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120C66B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303F537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7B70732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6A0A7A8B">
      <w:pPr>
        <w:keepNext/>
        <w:keepLines/>
        <w:widowControl w:val="0"/>
        <w:spacing w:before="120"/>
        <w:jc w:val="right"/>
        <w:outlineLvl w:val="0"/>
        <w:rPr>
          <w:rFonts w:hint="eastAsia" w:ascii="仿宋" w:hAnsi="仿宋" w:eastAsia="仿宋" w:cs="仿宋"/>
          <w:highlight w:val="none"/>
        </w:rPr>
      </w:pPr>
      <w:bookmarkStart w:id="78" w:name="_Toc86334254"/>
      <w:bookmarkStart w:id="79" w:name="_Toc18596"/>
      <w:bookmarkStart w:id="80" w:name="_Toc2838"/>
      <w:bookmarkStart w:id="81" w:name="_Toc25054"/>
      <w:bookmarkStart w:id="82" w:name="_Toc3377"/>
      <w:r>
        <w:rPr>
          <w:rFonts w:hint="eastAsia" w:ascii="仿宋" w:hAnsi="仿宋" w:eastAsia="仿宋" w:cs="仿宋"/>
          <w:b/>
          <w:bCs/>
          <w:kern w:val="2"/>
          <w:sz w:val="44"/>
          <w:szCs w:val="48"/>
          <w:highlight w:val="none"/>
          <w:lang w:val="en-US" w:eastAsia="zh-CN" w:bidi="ar-SA"/>
        </w:rPr>
        <w:t>附件三</w:t>
      </w:r>
      <w:bookmarkEnd w:id="78"/>
      <w:bookmarkEnd w:id="79"/>
      <w:bookmarkEnd w:id="80"/>
      <w:bookmarkEnd w:id="81"/>
      <w:bookmarkEnd w:id="82"/>
    </w:p>
    <w:p w14:paraId="441D78DD">
      <w:pPr>
        <w:tabs>
          <w:tab w:val="left" w:pos="720"/>
        </w:tabs>
        <w:adjustRightInd w:val="0"/>
        <w:snapToGrid w:val="0"/>
        <w:spacing w:line="360" w:lineRule="auto"/>
        <w:ind w:left="482" w:hanging="663" w:hangingChars="150"/>
        <w:jc w:val="center"/>
        <w:rPr>
          <w:rFonts w:hint="eastAsia" w:ascii="仿宋" w:hAnsi="仿宋" w:eastAsia="仿宋" w:cs="仿宋"/>
          <w:b/>
          <w:bCs w:val="0"/>
          <w:sz w:val="44"/>
          <w:szCs w:val="44"/>
          <w:highlight w:val="none"/>
        </w:rPr>
      </w:pPr>
      <w:r>
        <w:rPr>
          <w:rFonts w:hint="eastAsia" w:ascii="仿宋" w:hAnsi="仿宋" w:eastAsia="仿宋" w:cs="仿宋"/>
          <w:b/>
          <w:bCs w:val="0"/>
          <w:sz w:val="44"/>
          <w:szCs w:val="44"/>
          <w:highlight w:val="none"/>
        </w:rPr>
        <w:t>材料款申报确认表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3402"/>
        <w:gridCol w:w="1276"/>
        <w:gridCol w:w="3423"/>
      </w:tblGrid>
      <w:tr w14:paraId="74F2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6" w:type="dxa"/>
            <w:noWrap w:val="0"/>
            <w:vAlign w:val="top"/>
          </w:tcPr>
          <w:p w14:paraId="355E4F35">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工程名称</w:t>
            </w:r>
          </w:p>
        </w:tc>
        <w:tc>
          <w:tcPr>
            <w:tcW w:w="3402" w:type="dxa"/>
            <w:noWrap w:val="0"/>
            <w:vAlign w:val="top"/>
          </w:tcPr>
          <w:p w14:paraId="2431987D">
            <w:pPr>
              <w:tabs>
                <w:tab w:val="left" w:pos="720"/>
              </w:tabs>
              <w:adjustRightInd w:val="0"/>
              <w:snapToGrid w:val="0"/>
              <w:spacing w:line="360" w:lineRule="auto"/>
              <w:jc w:val="left"/>
              <w:rPr>
                <w:rFonts w:hint="eastAsia" w:ascii="仿宋" w:hAnsi="仿宋" w:eastAsia="仿宋" w:cs="仿宋"/>
                <w:b w:val="0"/>
                <w:bCs/>
                <w:sz w:val="24"/>
                <w:highlight w:val="none"/>
              </w:rPr>
            </w:pPr>
          </w:p>
        </w:tc>
        <w:tc>
          <w:tcPr>
            <w:tcW w:w="1276" w:type="dxa"/>
            <w:noWrap w:val="0"/>
            <w:vAlign w:val="top"/>
          </w:tcPr>
          <w:p w14:paraId="797B1376">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合同名称</w:t>
            </w:r>
          </w:p>
        </w:tc>
        <w:tc>
          <w:tcPr>
            <w:tcW w:w="3423" w:type="dxa"/>
            <w:noWrap w:val="0"/>
            <w:vAlign w:val="top"/>
          </w:tcPr>
          <w:p w14:paraId="2620EBC8">
            <w:pPr>
              <w:tabs>
                <w:tab w:val="left" w:pos="720"/>
              </w:tabs>
              <w:adjustRightInd w:val="0"/>
              <w:snapToGrid w:val="0"/>
              <w:spacing w:line="360" w:lineRule="auto"/>
              <w:jc w:val="left"/>
              <w:rPr>
                <w:rFonts w:hint="eastAsia" w:ascii="仿宋" w:hAnsi="仿宋" w:eastAsia="仿宋" w:cs="仿宋"/>
                <w:b w:val="0"/>
                <w:bCs/>
                <w:sz w:val="24"/>
                <w:highlight w:val="none"/>
              </w:rPr>
            </w:pPr>
          </w:p>
        </w:tc>
      </w:tr>
      <w:tr w14:paraId="43B4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noWrap w:val="0"/>
            <w:vAlign w:val="top"/>
          </w:tcPr>
          <w:p w14:paraId="5D95C332">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供货单位</w:t>
            </w:r>
          </w:p>
        </w:tc>
        <w:tc>
          <w:tcPr>
            <w:tcW w:w="3402" w:type="dxa"/>
            <w:noWrap w:val="0"/>
            <w:vAlign w:val="top"/>
          </w:tcPr>
          <w:p w14:paraId="1D83B99A">
            <w:pPr>
              <w:tabs>
                <w:tab w:val="left" w:pos="720"/>
              </w:tabs>
              <w:adjustRightInd w:val="0"/>
              <w:snapToGrid w:val="0"/>
              <w:spacing w:line="360" w:lineRule="auto"/>
              <w:jc w:val="left"/>
              <w:rPr>
                <w:rFonts w:hint="eastAsia" w:ascii="仿宋" w:hAnsi="仿宋" w:eastAsia="仿宋" w:cs="仿宋"/>
                <w:b w:val="0"/>
                <w:bCs/>
                <w:sz w:val="24"/>
                <w:highlight w:val="none"/>
              </w:rPr>
            </w:pPr>
          </w:p>
        </w:tc>
        <w:tc>
          <w:tcPr>
            <w:tcW w:w="1276" w:type="dxa"/>
            <w:noWrap w:val="0"/>
            <w:vAlign w:val="top"/>
          </w:tcPr>
          <w:p w14:paraId="1A852479">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合同编号</w:t>
            </w:r>
          </w:p>
        </w:tc>
        <w:tc>
          <w:tcPr>
            <w:tcW w:w="3423" w:type="dxa"/>
            <w:noWrap w:val="0"/>
            <w:vAlign w:val="top"/>
          </w:tcPr>
          <w:p w14:paraId="7DE2B2D0">
            <w:pPr>
              <w:tabs>
                <w:tab w:val="left" w:pos="720"/>
              </w:tabs>
              <w:adjustRightInd w:val="0"/>
              <w:snapToGrid w:val="0"/>
              <w:spacing w:line="360" w:lineRule="auto"/>
              <w:jc w:val="left"/>
              <w:rPr>
                <w:rFonts w:hint="eastAsia" w:ascii="仿宋" w:hAnsi="仿宋" w:eastAsia="仿宋" w:cs="仿宋"/>
                <w:b w:val="0"/>
                <w:bCs/>
                <w:sz w:val="24"/>
                <w:highlight w:val="none"/>
              </w:rPr>
            </w:pPr>
          </w:p>
        </w:tc>
      </w:tr>
      <w:tr w14:paraId="65D2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jc w:val="center"/>
        </w:trPr>
        <w:tc>
          <w:tcPr>
            <w:tcW w:w="9377" w:type="dxa"/>
            <w:gridSpan w:val="4"/>
            <w:noWrap w:val="0"/>
            <w:vAlign w:val="top"/>
          </w:tcPr>
          <w:p w14:paraId="3B0F7E3A">
            <w:pPr>
              <w:tabs>
                <w:tab w:val="left" w:pos="720"/>
              </w:tabs>
              <w:adjustRightInd w:val="0"/>
              <w:snapToGrid w:val="0"/>
              <w:spacing w:line="360" w:lineRule="auto"/>
              <w:ind w:firstLine="120" w:firstLineChars="50"/>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材料申报内容：</w:t>
            </w:r>
          </w:p>
          <w:p w14:paraId="1CEB047C">
            <w:pPr>
              <w:tabs>
                <w:tab w:val="left" w:pos="720"/>
              </w:tabs>
              <w:adjustRightInd w:val="0"/>
              <w:snapToGrid w:val="0"/>
              <w:spacing w:line="360" w:lineRule="auto"/>
              <w:jc w:val="left"/>
              <w:rPr>
                <w:rFonts w:hint="eastAsia" w:ascii="仿宋" w:hAnsi="仿宋" w:eastAsia="仿宋" w:cs="仿宋"/>
                <w:b w:val="0"/>
                <w:bCs/>
                <w:sz w:val="24"/>
                <w:highlight w:val="none"/>
              </w:rPr>
            </w:pPr>
          </w:p>
          <w:p w14:paraId="2B35554E">
            <w:pPr>
              <w:tabs>
                <w:tab w:val="left" w:pos="720"/>
              </w:tabs>
              <w:adjustRightInd w:val="0"/>
              <w:snapToGrid w:val="0"/>
              <w:spacing w:line="360" w:lineRule="auto"/>
              <w:jc w:val="left"/>
              <w:rPr>
                <w:rFonts w:hint="eastAsia" w:ascii="仿宋" w:hAnsi="仿宋" w:eastAsia="仿宋" w:cs="仿宋"/>
                <w:b w:val="0"/>
                <w:bCs/>
                <w:sz w:val="24"/>
                <w:highlight w:val="none"/>
              </w:rPr>
            </w:pPr>
          </w:p>
          <w:p w14:paraId="1E6EB071">
            <w:pPr>
              <w:tabs>
                <w:tab w:val="left" w:pos="720"/>
              </w:tabs>
              <w:adjustRightInd w:val="0"/>
              <w:snapToGrid w:val="0"/>
              <w:spacing w:line="360" w:lineRule="auto"/>
              <w:jc w:val="left"/>
              <w:rPr>
                <w:rFonts w:hint="eastAsia" w:ascii="仿宋" w:hAnsi="仿宋" w:eastAsia="仿宋" w:cs="仿宋"/>
                <w:b w:val="0"/>
                <w:bCs/>
                <w:sz w:val="24"/>
                <w:highlight w:val="none"/>
              </w:rPr>
            </w:pPr>
          </w:p>
          <w:p w14:paraId="10FC5FB7">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供货单位（章）：</w:t>
            </w:r>
          </w:p>
          <w:p w14:paraId="6E9096BA">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供货单位负责人：</w:t>
            </w:r>
          </w:p>
        </w:tc>
      </w:tr>
      <w:tr w14:paraId="2060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377" w:type="dxa"/>
            <w:gridSpan w:val="4"/>
            <w:noWrap w:val="0"/>
            <w:vAlign w:val="top"/>
          </w:tcPr>
          <w:p w14:paraId="6F2F52CD">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仓管员①/经办人审核意见：</w:t>
            </w:r>
          </w:p>
          <w:p w14:paraId="24D0B41B">
            <w:pPr>
              <w:tabs>
                <w:tab w:val="left" w:pos="720"/>
              </w:tabs>
              <w:adjustRightInd w:val="0"/>
              <w:snapToGrid w:val="0"/>
              <w:spacing w:line="360" w:lineRule="auto"/>
              <w:ind w:left="5421" w:hanging="5400" w:hangingChars="2250"/>
              <w:jc w:val="left"/>
              <w:rPr>
                <w:rFonts w:hint="eastAsia" w:ascii="仿宋" w:hAnsi="仿宋" w:eastAsia="仿宋" w:cs="仿宋"/>
                <w:b w:val="0"/>
                <w:bCs/>
                <w:sz w:val="24"/>
                <w:highlight w:val="none"/>
              </w:rPr>
            </w:pPr>
          </w:p>
          <w:p w14:paraId="0F04E9CF">
            <w:pPr>
              <w:tabs>
                <w:tab w:val="left" w:pos="720"/>
              </w:tabs>
              <w:adjustRightInd w:val="0"/>
              <w:snapToGrid w:val="0"/>
              <w:spacing w:line="360" w:lineRule="auto"/>
              <w:ind w:left="5421" w:hanging="5400" w:hangingChars="2250"/>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签名及日期：</w:t>
            </w:r>
          </w:p>
        </w:tc>
      </w:tr>
      <w:tr w14:paraId="7024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9377" w:type="dxa"/>
            <w:gridSpan w:val="4"/>
            <w:noWrap w:val="0"/>
            <w:vAlign w:val="top"/>
          </w:tcPr>
          <w:p w14:paraId="08F61C55">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仓管员②审核意见：</w:t>
            </w:r>
          </w:p>
          <w:p w14:paraId="52D89CFC">
            <w:pPr>
              <w:tabs>
                <w:tab w:val="left" w:pos="720"/>
              </w:tabs>
              <w:adjustRightInd w:val="0"/>
              <w:snapToGrid w:val="0"/>
              <w:spacing w:line="360" w:lineRule="auto"/>
              <w:jc w:val="left"/>
              <w:rPr>
                <w:rFonts w:hint="eastAsia" w:ascii="仿宋" w:hAnsi="仿宋" w:eastAsia="仿宋" w:cs="仿宋"/>
                <w:b w:val="0"/>
                <w:bCs/>
                <w:sz w:val="24"/>
                <w:highlight w:val="none"/>
              </w:rPr>
            </w:pPr>
          </w:p>
          <w:p w14:paraId="339DBF86">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签名及日期： </w:t>
            </w:r>
          </w:p>
        </w:tc>
      </w:tr>
      <w:tr w14:paraId="14EE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9377" w:type="dxa"/>
            <w:gridSpan w:val="4"/>
            <w:noWrap w:val="0"/>
            <w:vAlign w:val="top"/>
          </w:tcPr>
          <w:p w14:paraId="69CCDD98">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项目成本管理员审核意见：</w:t>
            </w:r>
          </w:p>
          <w:p w14:paraId="4B5E82AB">
            <w:pPr>
              <w:tabs>
                <w:tab w:val="left" w:pos="720"/>
              </w:tabs>
              <w:adjustRightInd w:val="0"/>
              <w:snapToGrid w:val="0"/>
              <w:spacing w:line="360" w:lineRule="auto"/>
              <w:jc w:val="left"/>
              <w:rPr>
                <w:rFonts w:hint="eastAsia" w:ascii="仿宋" w:hAnsi="仿宋" w:eastAsia="仿宋" w:cs="仿宋"/>
                <w:b w:val="0"/>
                <w:bCs/>
                <w:sz w:val="24"/>
                <w:highlight w:val="none"/>
              </w:rPr>
            </w:pPr>
          </w:p>
          <w:p w14:paraId="1847B12F">
            <w:pPr>
              <w:tabs>
                <w:tab w:val="left" w:pos="720"/>
              </w:tabs>
              <w:adjustRightInd w:val="0"/>
              <w:snapToGrid w:val="0"/>
              <w:spacing w:line="360" w:lineRule="auto"/>
              <w:jc w:val="left"/>
              <w:rPr>
                <w:rFonts w:hint="eastAsia" w:ascii="仿宋" w:hAnsi="仿宋" w:eastAsia="仿宋" w:cs="仿宋"/>
                <w:b w:val="0"/>
                <w:bCs/>
                <w:sz w:val="24"/>
                <w:highlight w:val="none"/>
              </w:rPr>
            </w:pPr>
          </w:p>
          <w:p w14:paraId="33975E23">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签名及日期：</w:t>
            </w:r>
          </w:p>
        </w:tc>
      </w:tr>
      <w:tr w14:paraId="1D34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9377" w:type="dxa"/>
            <w:gridSpan w:val="4"/>
            <w:noWrap w:val="0"/>
            <w:vAlign w:val="top"/>
          </w:tcPr>
          <w:p w14:paraId="2DDC0F6A">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项目经理审核意见：</w:t>
            </w:r>
          </w:p>
          <w:p w14:paraId="48FF6051">
            <w:pPr>
              <w:tabs>
                <w:tab w:val="left" w:pos="720"/>
              </w:tabs>
              <w:adjustRightInd w:val="0"/>
              <w:snapToGrid w:val="0"/>
              <w:spacing w:line="360" w:lineRule="auto"/>
              <w:jc w:val="left"/>
              <w:rPr>
                <w:rFonts w:hint="eastAsia" w:ascii="仿宋" w:hAnsi="仿宋" w:eastAsia="仿宋" w:cs="仿宋"/>
                <w:b w:val="0"/>
                <w:bCs/>
                <w:sz w:val="24"/>
                <w:highlight w:val="none"/>
              </w:rPr>
            </w:pPr>
          </w:p>
          <w:p w14:paraId="0474827F">
            <w:pPr>
              <w:tabs>
                <w:tab w:val="left" w:pos="720"/>
              </w:tabs>
              <w:adjustRightInd w:val="0"/>
              <w:snapToGrid w:val="0"/>
              <w:spacing w:line="360" w:lineRule="auto"/>
              <w:jc w:val="left"/>
              <w:rPr>
                <w:rFonts w:hint="eastAsia" w:ascii="仿宋" w:hAnsi="仿宋" w:eastAsia="仿宋" w:cs="仿宋"/>
                <w:b w:val="0"/>
                <w:bCs/>
                <w:sz w:val="24"/>
                <w:highlight w:val="none"/>
              </w:rPr>
            </w:pPr>
          </w:p>
          <w:p w14:paraId="590EE5EE">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签名及日期：</w:t>
            </w:r>
          </w:p>
        </w:tc>
      </w:tr>
    </w:tbl>
    <w:p w14:paraId="0B541C17">
      <w:pPr>
        <w:tabs>
          <w:tab w:val="left" w:pos="720"/>
        </w:tabs>
        <w:adjustRightInd w:val="0"/>
        <w:snapToGrid w:val="0"/>
        <w:spacing w:line="360" w:lineRule="auto"/>
        <w:ind w:left="-630" w:leftChars="-300" w:right="-630" w:rightChars="-300" w:firstLine="540" w:firstLineChars="300"/>
        <w:jc w:val="left"/>
        <w:rPr>
          <w:rFonts w:hint="eastAsia" w:ascii="仿宋" w:hAnsi="仿宋" w:eastAsia="仿宋" w:cs="仿宋"/>
          <w:b w:val="0"/>
          <w:bCs/>
          <w:sz w:val="18"/>
          <w:szCs w:val="18"/>
          <w:highlight w:val="none"/>
        </w:rPr>
      </w:pPr>
      <w:r>
        <w:rPr>
          <w:rFonts w:hint="eastAsia" w:ascii="仿宋" w:hAnsi="仿宋" w:eastAsia="仿宋" w:cs="仿宋"/>
          <w:b w:val="0"/>
          <w:bCs/>
          <w:sz w:val="18"/>
          <w:szCs w:val="18"/>
          <w:highlight w:val="none"/>
        </w:rPr>
        <w:t>填表要求：1、此表由</w:t>
      </w:r>
      <w:r>
        <w:rPr>
          <w:rFonts w:hint="eastAsia" w:ascii="仿宋" w:hAnsi="仿宋" w:eastAsia="仿宋" w:cs="仿宋"/>
          <w:b w:val="0"/>
          <w:bCs/>
          <w:sz w:val="18"/>
          <w:szCs w:val="18"/>
          <w:highlight w:val="none"/>
          <w:lang w:val="en-US" w:eastAsia="zh-CN"/>
        </w:rPr>
        <w:t>供货单位</w:t>
      </w:r>
      <w:r>
        <w:rPr>
          <w:rFonts w:hint="eastAsia" w:ascii="仿宋" w:hAnsi="仿宋" w:eastAsia="仿宋" w:cs="仿宋"/>
          <w:b w:val="0"/>
          <w:bCs/>
          <w:sz w:val="18"/>
          <w:szCs w:val="18"/>
          <w:highlight w:val="none"/>
        </w:rPr>
        <w:t>发起，如实填写，不允许涂改，如有涂改或虚报，此表无效。</w:t>
      </w:r>
    </w:p>
    <w:p w14:paraId="4B6AB271">
      <w:pPr>
        <w:numPr>
          <w:ilvl w:val="0"/>
          <w:numId w:val="1"/>
        </w:numPr>
        <w:tabs>
          <w:tab w:val="left" w:pos="720"/>
        </w:tabs>
        <w:adjustRightInd w:val="0"/>
        <w:snapToGrid w:val="0"/>
        <w:spacing w:line="360" w:lineRule="auto"/>
        <w:ind w:left="-315" w:leftChars="-150" w:right="-630" w:rightChars="-300" w:firstLine="1170" w:firstLineChars="650"/>
        <w:jc w:val="left"/>
        <w:rPr>
          <w:rFonts w:hint="eastAsia" w:ascii="仿宋" w:hAnsi="仿宋" w:eastAsia="仿宋" w:cs="仿宋"/>
          <w:b w:val="0"/>
          <w:bCs/>
          <w:sz w:val="18"/>
          <w:szCs w:val="18"/>
          <w:highlight w:val="none"/>
        </w:rPr>
      </w:pPr>
      <w:r>
        <w:rPr>
          <w:rFonts w:hint="eastAsia" w:ascii="仿宋" w:hAnsi="仿宋" w:eastAsia="仿宋" w:cs="仿宋"/>
          <w:b w:val="0"/>
          <w:bCs/>
          <w:sz w:val="18"/>
          <w:szCs w:val="18"/>
          <w:highlight w:val="none"/>
        </w:rPr>
        <w:t>此确认表作为</w:t>
      </w:r>
      <w:r>
        <w:rPr>
          <w:rFonts w:hint="eastAsia" w:ascii="仿宋" w:hAnsi="仿宋" w:eastAsia="仿宋" w:cs="仿宋"/>
          <w:b w:val="0"/>
          <w:bCs/>
          <w:sz w:val="18"/>
          <w:szCs w:val="18"/>
          <w:highlight w:val="none"/>
          <w:lang w:val="en-US" w:eastAsia="zh-CN"/>
        </w:rPr>
        <w:t>供货单位</w:t>
      </w:r>
      <w:r>
        <w:rPr>
          <w:rFonts w:hint="eastAsia" w:ascii="仿宋" w:hAnsi="仿宋" w:eastAsia="仿宋" w:cs="仿宋"/>
          <w:b w:val="0"/>
          <w:bCs/>
          <w:sz w:val="18"/>
          <w:szCs w:val="18"/>
          <w:highlight w:val="none"/>
        </w:rPr>
        <w:t>向</w:t>
      </w:r>
      <w:r>
        <w:rPr>
          <w:rFonts w:hint="eastAsia" w:ascii="仿宋" w:hAnsi="仿宋" w:eastAsia="仿宋" w:cs="仿宋"/>
          <w:b w:val="0"/>
          <w:bCs/>
          <w:sz w:val="18"/>
          <w:szCs w:val="18"/>
          <w:highlight w:val="none"/>
          <w:lang w:val="en-US" w:eastAsia="zh-CN"/>
        </w:rPr>
        <w:t>中泰建安</w:t>
      </w:r>
      <w:r>
        <w:rPr>
          <w:rFonts w:hint="eastAsia" w:ascii="仿宋" w:hAnsi="仿宋" w:eastAsia="仿宋" w:cs="仿宋"/>
          <w:b w:val="0"/>
          <w:bCs/>
          <w:sz w:val="18"/>
          <w:szCs w:val="18"/>
          <w:highlight w:val="none"/>
        </w:rPr>
        <w:t>司申报款项支付审批单的附件。</w:t>
      </w:r>
    </w:p>
    <w:p w14:paraId="179EFE51">
      <w:pPr>
        <w:keepNext w:val="0"/>
        <w:keepLines w:val="0"/>
        <w:widowControl/>
        <w:suppressLineNumbers w:val="0"/>
        <w:jc w:val="both"/>
        <w:textAlignment w:val="center"/>
        <w:rPr>
          <w:rFonts w:hint="eastAsia" w:ascii="仿宋" w:hAnsi="仿宋" w:eastAsia="仿宋" w:cs="仿宋"/>
          <w:b/>
          <w:bCs/>
          <w:i w:val="0"/>
          <w:iCs w:val="0"/>
          <w:color w:val="000000"/>
          <w:kern w:val="0"/>
          <w:sz w:val="44"/>
          <w:szCs w:val="44"/>
          <w:highlight w:val="none"/>
          <w:u w:val="none"/>
          <w:lang w:val="en-US" w:eastAsia="zh-CN" w:bidi="ar"/>
        </w:rPr>
      </w:pPr>
    </w:p>
    <w:p w14:paraId="11495FD2">
      <w:pPr>
        <w:keepNext w:val="0"/>
        <w:keepLines w:val="0"/>
        <w:widowControl/>
        <w:suppressLineNumbers w:val="0"/>
        <w:jc w:val="right"/>
        <w:textAlignment w:val="center"/>
        <w:rPr>
          <w:rFonts w:hint="eastAsia" w:ascii="仿宋" w:hAnsi="仿宋" w:eastAsia="仿宋" w:cs="仿宋"/>
          <w:b/>
          <w:bCs/>
          <w:i w:val="0"/>
          <w:iCs w:val="0"/>
          <w:color w:val="000000"/>
          <w:kern w:val="0"/>
          <w:sz w:val="44"/>
          <w:szCs w:val="44"/>
          <w:highlight w:val="none"/>
          <w:u w:val="none"/>
          <w:lang w:val="en-US" w:eastAsia="zh-CN" w:bidi="ar"/>
        </w:rPr>
      </w:pPr>
    </w:p>
    <w:p w14:paraId="55BC3EDF">
      <w:pPr>
        <w:keepNext w:val="0"/>
        <w:keepLines w:val="0"/>
        <w:widowControl/>
        <w:suppressLineNumbers w:val="0"/>
        <w:jc w:val="both"/>
        <w:textAlignment w:val="center"/>
        <w:rPr>
          <w:rFonts w:hint="eastAsia" w:ascii="仿宋" w:hAnsi="仿宋" w:eastAsia="仿宋" w:cs="仿宋"/>
          <w:b/>
          <w:bCs/>
          <w:i w:val="0"/>
          <w:iCs w:val="0"/>
          <w:color w:val="000000"/>
          <w:kern w:val="0"/>
          <w:sz w:val="44"/>
          <w:szCs w:val="44"/>
          <w:highlight w:val="none"/>
          <w:u w:val="none"/>
          <w:lang w:val="en-US" w:eastAsia="zh-CN" w:bidi="ar"/>
        </w:rPr>
      </w:pPr>
    </w:p>
    <w:p w14:paraId="0F07F2F8">
      <w:pPr>
        <w:keepNext w:val="0"/>
        <w:keepLines w:val="0"/>
        <w:widowControl/>
        <w:suppressLineNumbers w:val="0"/>
        <w:jc w:val="right"/>
        <w:textAlignment w:val="center"/>
        <w:rPr>
          <w:rFonts w:hint="eastAsia" w:ascii="仿宋" w:hAnsi="仿宋" w:eastAsia="仿宋" w:cs="仿宋"/>
          <w:b/>
          <w:bCs/>
          <w:i w:val="0"/>
          <w:iCs w:val="0"/>
          <w:color w:val="000000"/>
          <w:kern w:val="0"/>
          <w:sz w:val="44"/>
          <w:szCs w:val="44"/>
          <w:highlight w:val="none"/>
          <w:u w:val="none"/>
          <w:lang w:val="en-US" w:eastAsia="zh-CN" w:bidi="ar"/>
        </w:rPr>
      </w:pPr>
      <w:r>
        <w:rPr>
          <w:rFonts w:hint="eastAsia" w:ascii="仿宋" w:hAnsi="仿宋" w:eastAsia="仿宋" w:cs="仿宋"/>
          <w:b/>
          <w:bCs/>
          <w:i w:val="0"/>
          <w:iCs w:val="0"/>
          <w:color w:val="000000"/>
          <w:kern w:val="0"/>
          <w:sz w:val="44"/>
          <w:szCs w:val="44"/>
          <w:highlight w:val="none"/>
          <w:u w:val="none"/>
          <w:lang w:val="en-US" w:eastAsia="zh-CN" w:bidi="ar"/>
        </w:rPr>
        <w:t>附件四</w:t>
      </w:r>
    </w:p>
    <w:p w14:paraId="6C0D8BF8">
      <w:pPr>
        <w:widowControl w:val="0"/>
        <w:numPr>
          <w:ilvl w:val="0"/>
          <w:numId w:val="0"/>
        </w:numPr>
        <w:tabs>
          <w:tab w:val="left" w:pos="720"/>
        </w:tabs>
        <w:adjustRightInd w:val="0"/>
        <w:snapToGrid w:val="0"/>
        <w:spacing w:line="360" w:lineRule="auto"/>
        <w:ind w:right="-630" w:rightChars="-300"/>
        <w:jc w:val="left"/>
        <w:rPr>
          <w:rFonts w:hint="eastAsia" w:ascii="仿宋" w:hAnsi="仿宋" w:eastAsia="仿宋" w:cs="仿宋"/>
          <w:b w:val="0"/>
          <w:bCs/>
          <w:sz w:val="18"/>
          <w:szCs w:val="18"/>
          <w:highlight w:val="none"/>
        </w:rPr>
      </w:pPr>
    </w:p>
    <w:tbl>
      <w:tblPr>
        <w:tblStyle w:val="9"/>
        <w:tblW w:w="479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4"/>
        <w:gridCol w:w="1348"/>
        <w:gridCol w:w="1015"/>
        <w:gridCol w:w="1015"/>
        <w:gridCol w:w="1422"/>
        <w:gridCol w:w="1298"/>
        <w:gridCol w:w="1054"/>
        <w:gridCol w:w="1134"/>
      </w:tblGrid>
      <w:tr w14:paraId="473DD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nil"/>
              <w:left w:val="nil"/>
              <w:bottom w:val="nil"/>
              <w:right w:val="nil"/>
            </w:tcBorders>
            <w:noWrap/>
            <w:vAlign w:val="center"/>
          </w:tcPr>
          <w:p w14:paraId="5B8F4DAB">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44"/>
                <w:szCs w:val="44"/>
                <w:highlight w:val="none"/>
                <w:u w:val="none"/>
                <w:lang w:val="en-US" w:eastAsia="zh-CN" w:bidi="ar"/>
              </w:rPr>
              <w:t>款项支付台账</w:t>
            </w:r>
          </w:p>
        </w:tc>
      </w:tr>
      <w:tr w14:paraId="0D819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6661896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项目名称：</w:t>
            </w:r>
          </w:p>
        </w:tc>
      </w:tr>
      <w:tr w14:paraId="5C40C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2BCFBAE6">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合同名称：</w:t>
            </w:r>
          </w:p>
        </w:tc>
      </w:tr>
      <w:tr w14:paraId="744BC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1B715D6D">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付款公司名称：东莞市中泰建安工程有限公司</w:t>
            </w:r>
          </w:p>
        </w:tc>
      </w:tr>
      <w:tr w14:paraId="7A011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4CA6B2D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7EB9665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收/付款日期（年/月）</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3DEB0FD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发票代码</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1C7DC23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发票号码</w:t>
            </w: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79F45AD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当期应付金额</w:t>
            </w:r>
          </w:p>
        </w:tc>
        <w:tc>
          <w:tcPr>
            <w:tcW w:w="716" w:type="pct"/>
            <w:tcBorders>
              <w:top w:val="single" w:color="000000" w:sz="4" w:space="0"/>
              <w:left w:val="single" w:color="000000" w:sz="4" w:space="0"/>
              <w:bottom w:val="single" w:color="000000" w:sz="4" w:space="0"/>
              <w:right w:val="single" w:color="000000" w:sz="4" w:space="0"/>
            </w:tcBorders>
            <w:noWrap/>
            <w:vAlign w:val="center"/>
          </w:tcPr>
          <w:p w14:paraId="7932B59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已付金额</w:t>
            </w: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57E02B5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未付金额</w:t>
            </w: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787240C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付款内容</w:t>
            </w:r>
          </w:p>
        </w:tc>
      </w:tr>
      <w:tr w14:paraId="057BB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0B10122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43" w:type="pct"/>
            <w:tcBorders>
              <w:top w:val="single" w:color="000000" w:sz="4" w:space="0"/>
              <w:left w:val="single" w:color="000000" w:sz="4" w:space="0"/>
              <w:bottom w:val="single" w:color="000000" w:sz="4" w:space="0"/>
              <w:right w:val="single" w:color="000000" w:sz="4" w:space="0"/>
            </w:tcBorders>
            <w:noWrap/>
            <w:vAlign w:val="center"/>
          </w:tcPr>
          <w:p w14:paraId="23FF5DF0">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4C0C0F90">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2DE76286">
            <w:pPr>
              <w:jc w:val="center"/>
              <w:rPr>
                <w:rFonts w:hint="eastAsia" w:ascii="仿宋" w:hAnsi="仿宋" w:eastAsia="仿宋" w:cs="仿宋"/>
                <w:i w:val="0"/>
                <w:iCs w:val="0"/>
                <w:color w:val="000000"/>
                <w:sz w:val="22"/>
                <w:szCs w:val="22"/>
                <w:highlight w:val="none"/>
                <w:u w:val="none"/>
              </w:rPr>
            </w:pP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0F2515C3">
            <w:pPr>
              <w:jc w:val="center"/>
              <w:rPr>
                <w:rFonts w:hint="eastAsia" w:ascii="仿宋" w:hAnsi="仿宋" w:eastAsia="仿宋" w:cs="仿宋"/>
                <w:i w:val="0"/>
                <w:iCs w:val="0"/>
                <w:color w:val="000000"/>
                <w:sz w:val="22"/>
                <w:szCs w:val="22"/>
                <w:highlight w:val="none"/>
                <w:u w:val="none"/>
              </w:rPr>
            </w:pPr>
          </w:p>
        </w:tc>
        <w:tc>
          <w:tcPr>
            <w:tcW w:w="716" w:type="pct"/>
            <w:tcBorders>
              <w:top w:val="single" w:color="000000" w:sz="4" w:space="0"/>
              <w:left w:val="single" w:color="000000" w:sz="4" w:space="0"/>
              <w:bottom w:val="single" w:color="000000" w:sz="4" w:space="0"/>
              <w:right w:val="single" w:color="000000" w:sz="4" w:space="0"/>
            </w:tcBorders>
            <w:noWrap/>
            <w:vAlign w:val="center"/>
          </w:tcPr>
          <w:p w14:paraId="2903E336">
            <w:pPr>
              <w:jc w:val="center"/>
              <w:rPr>
                <w:rFonts w:hint="eastAsia" w:ascii="仿宋" w:hAnsi="仿宋" w:eastAsia="仿宋" w:cs="仿宋"/>
                <w:i w:val="0"/>
                <w:iCs w:val="0"/>
                <w:color w:val="000000"/>
                <w:sz w:val="22"/>
                <w:szCs w:val="22"/>
                <w:highlight w:val="none"/>
                <w:u w:val="none"/>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19AB7E57">
            <w:pPr>
              <w:jc w:val="center"/>
              <w:rPr>
                <w:rFonts w:hint="eastAsia" w:ascii="仿宋" w:hAnsi="仿宋" w:eastAsia="仿宋" w:cs="仿宋"/>
                <w:i w:val="0"/>
                <w:iCs w:val="0"/>
                <w:color w:val="000000"/>
                <w:sz w:val="22"/>
                <w:szCs w:val="22"/>
                <w:highlight w:val="none"/>
                <w:u w:val="none"/>
              </w:rPr>
            </w:pP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47629A2E">
            <w:pPr>
              <w:jc w:val="center"/>
              <w:rPr>
                <w:rFonts w:hint="eastAsia" w:ascii="仿宋" w:hAnsi="仿宋" w:eastAsia="仿宋" w:cs="仿宋"/>
                <w:i w:val="0"/>
                <w:iCs w:val="0"/>
                <w:color w:val="000000"/>
                <w:sz w:val="22"/>
                <w:szCs w:val="22"/>
                <w:highlight w:val="none"/>
                <w:u w:val="none"/>
              </w:rPr>
            </w:pPr>
          </w:p>
        </w:tc>
      </w:tr>
      <w:tr w14:paraId="6153E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2CB75F6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743" w:type="pct"/>
            <w:tcBorders>
              <w:top w:val="single" w:color="000000" w:sz="4" w:space="0"/>
              <w:left w:val="single" w:color="000000" w:sz="4" w:space="0"/>
              <w:bottom w:val="single" w:color="000000" w:sz="4" w:space="0"/>
              <w:right w:val="single" w:color="000000" w:sz="4" w:space="0"/>
            </w:tcBorders>
            <w:noWrap/>
            <w:vAlign w:val="center"/>
          </w:tcPr>
          <w:p w14:paraId="49ED80C4">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2BE03F4F">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152599CD">
            <w:pPr>
              <w:jc w:val="center"/>
              <w:rPr>
                <w:rFonts w:hint="eastAsia" w:ascii="仿宋" w:hAnsi="仿宋" w:eastAsia="仿宋" w:cs="仿宋"/>
                <w:i w:val="0"/>
                <w:iCs w:val="0"/>
                <w:color w:val="000000"/>
                <w:sz w:val="22"/>
                <w:szCs w:val="22"/>
                <w:highlight w:val="none"/>
                <w:u w:val="none"/>
              </w:rPr>
            </w:pP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48ADBA7F">
            <w:pPr>
              <w:jc w:val="center"/>
              <w:rPr>
                <w:rFonts w:hint="eastAsia" w:ascii="仿宋" w:hAnsi="仿宋" w:eastAsia="仿宋" w:cs="仿宋"/>
                <w:i w:val="0"/>
                <w:iCs w:val="0"/>
                <w:color w:val="000000"/>
                <w:sz w:val="22"/>
                <w:szCs w:val="22"/>
                <w:highlight w:val="none"/>
                <w:u w:val="none"/>
              </w:rPr>
            </w:pPr>
          </w:p>
        </w:tc>
        <w:tc>
          <w:tcPr>
            <w:tcW w:w="716" w:type="pct"/>
            <w:tcBorders>
              <w:top w:val="single" w:color="000000" w:sz="4" w:space="0"/>
              <w:left w:val="single" w:color="000000" w:sz="4" w:space="0"/>
              <w:bottom w:val="single" w:color="000000" w:sz="4" w:space="0"/>
              <w:right w:val="single" w:color="000000" w:sz="4" w:space="0"/>
            </w:tcBorders>
            <w:noWrap/>
            <w:vAlign w:val="center"/>
          </w:tcPr>
          <w:p w14:paraId="134E3A0D">
            <w:pPr>
              <w:jc w:val="center"/>
              <w:rPr>
                <w:rFonts w:hint="eastAsia" w:ascii="仿宋" w:hAnsi="仿宋" w:eastAsia="仿宋" w:cs="仿宋"/>
                <w:i w:val="0"/>
                <w:iCs w:val="0"/>
                <w:color w:val="000000"/>
                <w:sz w:val="22"/>
                <w:szCs w:val="22"/>
                <w:highlight w:val="none"/>
                <w:u w:val="none"/>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51987A62">
            <w:pPr>
              <w:jc w:val="center"/>
              <w:rPr>
                <w:rFonts w:hint="eastAsia" w:ascii="仿宋" w:hAnsi="仿宋" w:eastAsia="仿宋" w:cs="仿宋"/>
                <w:i w:val="0"/>
                <w:iCs w:val="0"/>
                <w:color w:val="000000"/>
                <w:sz w:val="22"/>
                <w:szCs w:val="22"/>
                <w:highlight w:val="none"/>
                <w:u w:val="none"/>
              </w:rPr>
            </w:pP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583A49F2">
            <w:pPr>
              <w:jc w:val="center"/>
              <w:rPr>
                <w:rFonts w:hint="eastAsia" w:ascii="仿宋" w:hAnsi="仿宋" w:eastAsia="仿宋" w:cs="仿宋"/>
                <w:i w:val="0"/>
                <w:iCs w:val="0"/>
                <w:color w:val="000000"/>
                <w:sz w:val="22"/>
                <w:szCs w:val="22"/>
                <w:highlight w:val="none"/>
                <w:u w:val="none"/>
              </w:rPr>
            </w:pPr>
          </w:p>
        </w:tc>
      </w:tr>
      <w:tr w14:paraId="1FCFB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13FEEBA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743" w:type="pct"/>
            <w:tcBorders>
              <w:top w:val="single" w:color="000000" w:sz="4" w:space="0"/>
              <w:left w:val="single" w:color="000000" w:sz="4" w:space="0"/>
              <w:bottom w:val="single" w:color="000000" w:sz="4" w:space="0"/>
              <w:right w:val="single" w:color="000000" w:sz="4" w:space="0"/>
            </w:tcBorders>
            <w:noWrap/>
            <w:vAlign w:val="center"/>
          </w:tcPr>
          <w:p w14:paraId="40B9B502">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07C848D3">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05993D8F">
            <w:pPr>
              <w:jc w:val="center"/>
              <w:rPr>
                <w:rFonts w:hint="eastAsia" w:ascii="仿宋" w:hAnsi="仿宋" w:eastAsia="仿宋" w:cs="仿宋"/>
                <w:i w:val="0"/>
                <w:iCs w:val="0"/>
                <w:color w:val="000000"/>
                <w:sz w:val="22"/>
                <w:szCs w:val="22"/>
                <w:highlight w:val="none"/>
                <w:u w:val="none"/>
              </w:rPr>
            </w:pP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4855D2E1">
            <w:pPr>
              <w:jc w:val="center"/>
              <w:rPr>
                <w:rFonts w:hint="eastAsia" w:ascii="仿宋" w:hAnsi="仿宋" w:eastAsia="仿宋" w:cs="仿宋"/>
                <w:i w:val="0"/>
                <w:iCs w:val="0"/>
                <w:color w:val="000000"/>
                <w:sz w:val="22"/>
                <w:szCs w:val="22"/>
                <w:highlight w:val="none"/>
                <w:u w:val="none"/>
              </w:rPr>
            </w:pPr>
          </w:p>
        </w:tc>
        <w:tc>
          <w:tcPr>
            <w:tcW w:w="716" w:type="pct"/>
            <w:tcBorders>
              <w:top w:val="single" w:color="000000" w:sz="4" w:space="0"/>
              <w:left w:val="single" w:color="000000" w:sz="4" w:space="0"/>
              <w:bottom w:val="single" w:color="000000" w:sz="4" w:space="0"/>
              <w:right w:val="single" w:color="000000" w:sz="4" w:space="0"/>
            </w:tcBorders>
            <w:noWrap/>
            <w:vAlign w:val="center"/>
          </w:tcPr>
          <w:p w14:paraId="3FEB9F73">
            <w:pPr>
              <w:jc w:val="center"/>
              <w:rPr>
                <w:rFonts w:hint="eastAsia" w:ascii="仿宋" w:hAnsi="仿宋" w:eastAsia="仿宋" w:cs="仿宋"/>
                <w:i w:val="0"/>
                <w:iCs w:val="0"/>
                <w:color w:val="000000"/>
                <w:sz w:val="22"/>
                <w:szCs w:val="22"/>
                <w:highlight w:val="none"/>
                <w:u w:val="none"/>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415AC585">
            <w:pPr>
              <w:jc w:val="center"/>
              <w:rPr>
                <w:rFonts w:hint="eastAsia" w:ascii="仿宋" w:hAnsi="仿宋" w:eastAsia="仿宋" w:cs="仿宋"/>
                <w:i w:val="0"/>
                <w:iCs w:val="0"/>
                <w:color w:val="000000"/>
                <w:sz w:val="22"/>
                <w:szCs w:val="22"/>
                <w:highlight w:val="none"/>
                <w:u w:val="none"/>
              </w:rPr>
            </w:pP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553E9EDB">
            <w:pPr>
              <w:jc w:val="center"/>
              <w:rPr>
                <w:rFonts w:hint="eastAsia" w:ascii="仿宋" w:hAnsi="仿宋" w:eastAsia="仿宋" w:cs="仿宋"/>
                <w:i w:val="0"/>
                <w:iCs w:val="0"/>
                <w:color w:val="000000"/>
                <w:sz w:val="22"/>
                <w:szCs w:val="22"/>
                <w:highlight w:val="none"/>
                <w:u w:val="none"/>
              </w:rPr>
            </w:pPr>
          </w:p>
        </w:tc>
      </w:tr>
      <w:tr w14:paraId="66B98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74571E0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743" w:type="pct"/>
            <w:tcBorders>
              <w:top w:val="single" w:color="000000" w:sz="4" w:space="0"/>
              <w:left w:val="single" w:color="000000" w:sz="4" w:space="0"/>
              <w:bottom w:val="single" w:color="000000" w:sz="4" w:space="0"/>
              <w:right w:val="single" w:color="000000" w:sz="4" w:space="0"/>
            </w:tcBorders>
            <w:noWrap/>
            <w:vAlign w:val="center"/>
          </w:tcPr>
          <w:p w14:paraId="48C861CF">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78E0763F">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77E46B2A">
            <w:pPr>
              <w:jc w:val="center"/>
              <w:rPr>
                <w:rFonts w:hint="eastAsia" w:ascii="仿宋" w:hAnsi="仿宋" w:eastAsia="仿宋" w:cs="仿宋"/>
                <w:i w:val="0"/>
                <w:iCs w:val="0"/>
                <w:color w:val="000000"/>
                <w:sz w:val="22"/>
                <w:szCs w:val="22"/>
                <w:highlight w:val="none"/>
                <w:u w:val="none"/>
              </w:rPr>
            </w:pP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0CB79023">
            <w:pPr>
              <w:jc w:val="center"/>
              <w:rPr>
                <w:rFonts w:hint="eastAsia" w:ascii="仿宋" w:hAnsi="仿宋" w:eastAsia="仿宋" w:cs="仿宋"/>
                <w:i w:val="0"/>
                <w:iCs w:val="0"/>
                <w:color w:val="000000"/>
                <w:sz w:val="22"/>
                <w:szCs w:val="22"/>
                <w:highlight w:val="none"/>
                <w:u w:val="none"/>
              </w:rPr>
            </w:pPr>
          </w:p>
        </w:tc>
        <w:tc>
          <w:tcPr>
            <w:tcW w:w="716" w:type="pct"/>
            <w:tcBorders>
              <w:top w:val="single" w:color="000000" w:sz="4" w:space="0"/>
              <w:left w:val="single" w:color="000000" w:sz="4" w:space="0"/>
              <w:bottom w:val="single" w:color="000000" w:sz="4" w:space="0"/>
              <w:right w:val="single" w:color="000000" w:sz="4" w:space="0"/>
            </w:tcBorders>
            <w:noWrap/>
            <w:vAlign w:val="center"/>
          </w:tcPr>
          <w:p w14:paraId="6DE92216">
            <w:pPr>
              <w:jc w:val="center"/>
              <w:rPr>
                <w:rFonts w:hint="eastAsia" w:ascii="仿宋" w:hAnsi="仿宋" w:eastAsia="仿宋" w:cs="仿宋"/>
                <w:i w:val="0"/>
                <w:iCs w:val="0"/>
                <w:color w:val="000000"/>
                <w:sz w:val="22"/>
                <w:szCs w:val="22"/>
                <w:highlight w:val="none"/>
                <w:u w:val="none"/>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3F48594B">
            <w:pPr>
              <w:jc w:val="center"/>
              <w:rPr>
                <w:rFonts w:hint="eastAsia" w:ascii="仿宋" w:hAnsi="仿宋" w:eastAsia="仿宋" w:cs="仿宋"/>
                <w:i w:val="0"/>
                <w:iCs w:val="0"/>
                <w:color w:val="000000"/>
                <w:sz w:val="22"/>
                <w:szCs w:val="22"/>
                <w:highlight w:val="none"/>
                <w:u w:val="none"/>
              </w:rPr>
            </w:pP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22A83B00">
            <w:pPr>
              <w:jc w:val="center"/>
              <w:rPr>
                <w:rFonts w:hint="eastAsia" w:ascii="仿宋" w:hAnsi="仿宋" w:eastAsia="仿宋" w:cs="仿宋"/>
                <w:i w:val="0"/>
                <w:iCs w:val="0"/>
                <w:color w:val="000000"/>
                <w:sz w:val="22"/>
                <w:szCs w:val="22"/>
                <w:highlight w:val="none"/>
                <w:u w:val="none"/>
              </w:rPr>
            </w:pPr>
          </w:p>
        </w:tc>
      </w:tr>
      <w:tr w14:paraId="10DB4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522125B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743" w:type="pct"/>
            <w:tcBorders>
              <w:top w:val="single" w:color="000000" w:sz="4" w:space="0"/>
              <w:left w:val="single" w:color="000000" w:sz="4" w:space="0"/>
              <w:bottom w:val="single" w:color="000000" w:sz="4" w:space="0"/>
              <w:right w:val="single" w:color="000000" w:sz="4" w:space="0"/>
            </w:tcBorders>
            <w:noWrap/>
            <w:vAlign w:val="center"/>
          </w:tcPr>
          <w:p w14:paraId="7FFF9B21">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532A099F">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16CB4F17">
            <w:pPr>
              <w:jc w:val="center"/>
              <w:rPr>
                <w:rFonts w:hint="eastAsia" w:ascii="仿宋" w:hAnsi="仿宋" w:eastAsia="仿宋" w:cs="仿宋"/>
                <w:i w:val="0"/>
                <w:iCs w:val="0"/>
                <w:color w:val="000000"/>
                <w:sz w:val="22"/>
                <w:szCs w:val="22"/>
                <w:highlight w:val="none"/>
                <w:u w:val="none"/>
              </w:rPr>
            </w:pP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6CC3F7F8">
            <w:pPr>
              <w:jc w:val="center"/>
              <w:rPr>
                <w:rFonts w:hint="eastAsia" w:ascii="仿宋" w:hAnsi="仿宋" w:eastAsia="仿宋" w:cs="仿宋"/>
                <w:i w:val="0"/>
                <w:iCs w:val="0"/>
                <w:color w:val="000000"/>
                <w:sz w:val="22"/>
                <w:szCs w:val="22"/>
                <w:highlight w:val="none"/>
                <w:u w:val="none"/>
              </w:rPr>
            </w:pPr>
          </w:p>
        </w:tc>
        <w:tc>
          <w:tcPr>
            <w:tcW w:w="716" w:type="pct"/>
            <w:tcBorders>
              <w:top w:val="single" w:color="000000" w:sz="4" w:space="0"/>
              <w:left w:val="single" w:color="000000" w:sz="4" w:space="0"/>
              <w:bottom w:val="single" w:color="000000" w:sz="4" w:space="0"/>
              <w:right w:val="single" w:color="000000" w:sz="4" w:space="0"/>
            </w:tcBorders>
            <w:noWrap/>
            <w:vAlign w:val="center"/>
          </w:tcPr>
          <w:p w14:paraId="24FB7578">
            <w:pPr>
              <w:jc w:val="center"/>
              <w:rPr>
                <w:rFonts w:hint="eastAsia" w:ascii="仿宋" w:hAnsi="仿宋" w:eastAsia="仿宋" w:cs="仿宋"/>
                <w:i w:val="0"/>
                <w:iCs w:val="0"/>
                <w:color w:val="000000"/>
                <w:sz w:val="22"/>
                <w:szCs w:val="22"/>
                <w:highlight w:val="none"/>
                <w:u w:val="none"/>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3B88480E">
            <w:pPr>
              <w:jc w:val="center"/>
              <w:rPr>
                <w:rFonts w:hint="eastAsia" w:ascii="仿宋" w:hAnsi="仿宋" w:eastAsia="仿宋" w:cs="仿宋"/>
                <w:i w:val="0"/>
                <w:iCs w:val="0"/>
                <w:color w:val="000000"/>
                <w:sz w:val="22"/>
                <w:szCs w:val="22"/>
                <w:highlight w:val="none"/>
                <w:u w:val="none"/>
              </w:rPr>
            </w:pP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22029E7F">
            <w:pPr>
              <w:jc w:val="center"/>
              <w:rPr>
                <w:rFonts w:hint="eastAsia" w:ascii="仿宋" w:hAnsi="仿宋" w:eastAsia="仿宋" w:cs="仿宋"/>
                <w:i w:val="0"/>
                <w:iCs w:val="0"/>
                <w:color w:val="000000"/>
                <w:sz w:val="22"/>
                <w:szCs w:val="22"/>
                <w:highlight w:val="none"/>
                <w:u w:val="none"/>
              </w:rPr>
            </w:pPr>
          </w:p>
        </w:tc>
      </w:tr>
      <w:tr w14:paraId="300C5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1CD32F7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743" w:type="pct"/>
            <w:tcBorders>
              <w:top w:val="single" w:color="000000" w:sz="4" w:space="0"/>
              <w:left w:val="single" w:color="000000" w:sz="4" w:space="0"/>
              <w:bottom w:val="single" w:color="000000" w:sz="4" w:space="0"/>
              <w:right w:val="single" w:color="000000" w:sz="4" w:space="0"/>
            </w:tcBorders>
            <w:noWrap/>
            <w:vAlign w:val="center"/>
          </w:tcPr>
          <w:p w14:paraId="36C99A38">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4AC0D111">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23AAE3C7">
            <w:pPr>
              <w:jc w:val="center"/>
              <w:rPr>
                <w:rFonts w:hint="eastAsia" w:ascii="仿宋" w:hAnsi="仿宋" w:eastAsia="仿宋" w:cs="仿宋"/>
                <w:i w:val="0"/>
                <w:iCs w:val="0"/>
                <w:color w:val="000000"/>
                <w:sz w:val="22"/>
                <w:szCs w:val="22"/>
                <w:highlight w:val="none"/>
                <w:u w:val="none"/>
              </w:rPr>
            </w:pP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510B3486">
            <w:pPr>
              <w:jc w:val="center"/>
              <w:rPr>
                <w:rFonts w:hint="eastAsia" w:ascii="仿宋" w:hAnsi="仿宋" w:eastAsia="仿宋" w:cs="仿宋"/>
                <w:i w:val="0"/>
                <w:iCs w:val="0"/>
                <w:color w:val="000000"/>
                <w:sz w:val="22"/>
                <w:szCs w:val="22"/>
                <w:highlight w:val="none"/>
                <w:u w:val="none"/>
              </w:rPr>
            </w:pPr>
          </w:p>
        </w:tc>
        <w:tc>
          <w:tcPr>
            <w:tcW w:w="716" w:type="pct"/>
            <w:tcBorders>
              <w:top w:val="single" w:color="000000" w:sz="4" w:space="0"/>
              <w:left w:val="single" w:color="000000" w:sz="4" w:space="0"/>
              <w:bottom w:val="single" w:color="000000" w:sz="4" w:space="0"/>
              <w:right w:val="single" w:color="000000" w:sz="4" w:space="0"/>
            </w:tcBorders>
            <w:noWrap/>
            <w:vAlign w:val="center"/>
          </w:tcPr>
          <w:p w14:paraId="13117A34">
            <w:pPr>
              <w:jc w:val="center"/>
              <w:rPr>
                <w:rFonts w:hint="eastAsia" w:ascii="仿宋" w:hAnsi="仿宋" w:eastAsia="仿宋" w:cs="仿宋"/>
                <w:i w:val="0"/>
                <w:iCs w:val="0"/>
                <w:color w:val="000000"/>
                <w:sz w:val="22"/>
                <w:szCs w:val="22"/>
                <w:highlight w:val="none"/>
                <w:u w:val="none"/>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2CAB4A37">
            <w:pPr>
              <w:jc w:val="center"/>
              <w:rPr>
                <w:rFonts w:hint="eastAsia" w:ascii="仿宋" w:hAnsi="仿宋" w:eastAsia="仿宋" w:cs="仿宋"/>
                <w:i w:val="0"/>
                <w:iCs w:val="0"/>
                <w:color w:val="000000"/>
                <w:sz w:val="22"/>
                <w:szCs w:val="22"/>
                <w:highlight w:val="none"/>
                <w:u w:val="none"/>
              </w:rPr>
            </w:pP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0423C866">
            <w:pPr>
              <w:jc w:val="center"/>
              <w:rPr>
                <w:rFonts w:hint="eastAsia" w:ascii="仿宋" w:hAnsi="仿宋" w:eastAsia="仿宋" w:cs="仿宋"/>
                <w:i w:val="0"/>
                <w:iCs w:val="0"/>
                <w:color w:val="000000"/>
                <w:sz w:val="22"/>
                <w:szCs w:val="22"/>
                <w:highlight w:val="none"/>
                <w:u w:val="none"/>
              </w:rPr>
            </w:pPr>
          </w:p>
        </w:tc>
      </w:tr>
      <w:tr w14:paraId="42D75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71" w:type="pct"/>
            <w:gridSpan w:val="2"/>
            <w:tcBorders>
              <w:top w:val="nil"/>
              <w:left w:val="nil"/>
              <w:bottom w:val="nil"/>
              <w:right w:val="nil"/>
            </w:tcBorders>
            <w:noWrap/>
            <w:vAlign w:val="center"/>
          </w:tcPr>
          <w:p w14:paraId="4BE6E59C">
            <w:pPr>
              <w:jc w:val="left"/>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制表人：</w:t>
            </w:r>
          </w:p>
        </w:tc>
        <w:tc>
          <w:tcPr>
            <w:tcW w:w="560" w:type="pct"/>
            <w:tcBorders>
              <w:top w:val="nil"/>
              <w:left w:val="nil"/>
              <w:bottom w:val="nil"/>
              <w:right w:val="nil"/>
            </w:tcBorders>
            <w:noWrap/>
            <w:vAlign w:val="center"/>
          </w:tcPr>
          <w:p w14:paraId="499B1264">
            <w:pPr>
              <w:jc w:val="center"/>
              <w:rPr>
                <w:rFonts w:hint="eastAsia" w:ascii="仿宋" w:hAnsi="仿宋" w:eastAsia="仿宋" w:cs="仿宋"/>
                <w:i w:val="0"/>
                <w:iCs w:val="0"/>
                <w:color w:val="000000"/>
                <w:sz w:val="22"/>
                <w:szCs w:val="22"/>
                <w:highlight w:val="none"/>
                <w:u w:val="none"/>
              </w:rPr>
            </w:pPr>
          </w:p>
        </w:tc>
        <w:tc>
          <w:tcPr>
            <w:tcW w:w="560" w:type="pct"/>
            <w:tcBorders>
              <w:top w:val="nil"/>
              <w:left w:val="nil"/>
              <w:bottom w:val="nil"/>
              <w:right w:val="nil"/>
            </w:tcBorders>
            <w:noWrap/>
            <w:vAlign w:val="center"/>
          </w:tcPr>
          <w:p w14:paraId="349F5DA2">
            <w:pPr>
              <w:jc w:val="center"/>
              <w:rPr>
                <w:rFonts w:hint="eastAsia" w:ascii="仿宋" w:hAnsi="仿宋" w:eastAsia="仿宋" w:cs="仿宋"/>
                <w:i w:val="0"/>
                <w:iCs w:val="0"/>
                <w:color w:val="000000"/>
                <w:sz w:val="22"/>
                <w:szCs w:val="22"/>
                <w:highlight w:val="none"/>
                <w:u w:val="none"/>
              </w:rPr>
            </w:pPr>
          </w:p>
        </w:tc>
        <w:tc>
          <w:tcPr>
            <w:tcW w:w="785" w:type="pct"/>
            <w:tcBorders>
              <w:top w:val="nil"/>
              <w:left w:val="nil"/>
              <w:bottom w:val="nil"/>
              <w:right w:val="nil"/>
            </w:tcBorders>
            <w:noWrap/>
            <w:vAlign w:val="center"/>
          </w:tcPr>
          <w:p w14:paraId="7BAFCC00">
            <w:pPr>
              <w:jc w:val="center"/>
              <w:rPr>
                <w:rFonts w:hint="eastAsia" w:ascii="仿宋" w:hAnsi="仿宋" w:eastAsia="仿宋" w:cs="仿宋"/>
                <w:i w:val="0"/>
                <w:iCs w:val="0"/>
                <w:color w:val="000000"/>
                <w:sz w:val="22"/>
                <w:szCs w:val="22"/>
                <w:highlight w:val="none"/>
                <w:u w:val="none"/>
              </w:rPr>
            </w:pPr>
          </w:p>
        </w:tc>
        <w:tc>
          <w:tcPr>
            <w:tcW w:w="716" w:type="pct"/>
            <w:tcBorders>
              <w:top w:val="nil"/>
              <w:left w:val="nil"/>
              <w:bottom w:val="nil"/>
              <w:right w:val="nil"/>
            </w:tcBorders>
            <w:noWrap/>
            <w:vAlign w:val="center"/>
          </w:tcPr>
          <w:p w14:paraId="78DF8EAF">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制表日期：</w:t>
            </w:r>
          </w:p>
        </w:tc>
        <w:tc>
          <w:tcPr>
            <w:tcW w:w="581" w:type="pct"/>
            <w:tcBorders>
              <w:top w:val="nil"/>
              <w:left w:val="nil"/>
              <w:bottom w:val="nil"/>
              <w:right w:val="nil"/>
            </w:tcBorders>
            <w:noWrap/>
            <w:vAlign w:val="center"/>
          </w:tcPr>
          <w:p w14:paraId="3C039A62">
            <w:pPr>
              <w:jc w:val="left"/>
              <w:rPr>
                <w:rFonts w:hint="eastAsia" w:ascii="仿宋" w:hAnsi="仿宋" w:eastAsia="仿宋" w:cs="仿宋"/>
                <w:i w:val="0"/>
                <w:iCs w:val="0"/>
                <w:color w:val="000000"/>
                <w:sz w:val="22"/>
                <w:szCs w:val="22"/>
                <w:highlight w:val="none"/>
                <w:u w:val="none"/>
              </w:rPr>
            </w:pPr>
          </w:p>
        </w:tc>
        <w:tc>
          <w:tcPr>
            <w:tcW w:w="625" w:type="pct"/>
            <w:tcBorders>
              <w:top w:val="nil"/>
              <w:left w:val="nil"/>
              <w:bottom w:val="nil"/>
              <w:right w:val="nil"/>
            </w:tcBorders>
            <w:noWrap/>
            <w:vAlign w:val="center"/>
          </w:tcPr>
          <w:p w14:paraId="6653AF7F">
            <w:pPr>
              <w:jc w:val="center"/>
              <w:rPr>
                <w:rFonts w:hint="eastAsia" w:ascii="仿宋" w:hAnsi="仿宋" w:eastAsia="仿宋" w:cs="仿宋"/>
                <w:i w:val="0"/>
                <w:iCs w:val="0"/>
                <w:color w:val="000000"/>
                <w:sz w:val="22"/>
                <w:szCs w:val="22"/>
                <w:highlight w:val="none"/>
                <w:u w:val="none"/>
              </w:rPr>
            </w:pPr>
          </w:p>
        </w:tc>
      </w:tr>
      <w:tr w14:paraId="7F936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27" w:type="pct"/>
            <w:tcBorders>
              <w:top w:val="nil"/>
              <w:left w:val="nil"/>
              <w:bottom w:val="nil"/>
              <w:right w:val="nil"/>
            </w:tcBorders>
            <w:noWrap/>
            <w:vAlign w:val="bottom"/>
          </w:tcPr>
          <w:p w14:paraId="7C1AE1D7">
            <w:pPr>
              <w:rPr>
                <w:rFonts w:hint="eastAsia" w:ascii="仿宋" w:hAnsi="仿宋" w:eastAsia="仿宋" w:cs="仿宋"/>
                <w:i w:val="0"/>
                <w:iCs w:val="0"/>
                <w:color w:val="000000"/>
                <w:sz w:val="22"/>
                <w:szCs w:val="22"/>
                <w:highlight w:val="none"/>
                <w:u w:val="none"/>
              </w:rPr>
            </w:pPr>
          </w:p>
        </w:tc>
        <w:tc>
          <w:tcPr>
            <w:tcW w:w="743" w:type="pct"/>
            <w:tcBorders>
              <w:top w:val="nil"/>
              <w:left w:val="nil"/>
              <w:bottom w:val="nil"/>
              <w:right w:val="nil"/>
            </w:tcBorders>
            <w:noWrap/>
            <w:vAlign w:val="center"/>
          </w:tcPr>
          <w:p w14:paraId="39AFF235">
            <w:pPr>
              <w:jc w:val="center"/>
              <w:rPr>
                <w:rFonts w:hint="eastAsia" w:ascii="仿宋" w:hAnsi="仿宋" w:eastAsia="仿宋" w:cs="仿宋"/>
                <w:i w:val="0"/>
                <w:iCs w:val="0"/>
                <w:color w:val="000000"/>
                <w:sz w:val="22"/>
                <w:szCs w:val="22"/>
                <w:highlight w:val="none"/>
                <w:u w:val="none"/>
              </w:rPr>
            </w:pPr>
          </w:p>
        </w:tc>
        <w:tc>
          <w:tcPr>
            <w:tcW w:w="560" w:type="pct"/>
            <w:tcBorders>
              <w:top w:val="nil"/>
              <w:left w:val="nil"/>
              <w:bottom w:val="nil"/>
              <w:right w:val="nil"/>
            </w:tcBorders>
            <w:noWrap/>
            <w:vAlign w:val="center"/>
          </w:tcPr>
          <w:p w14:paraId="2004A52A">
            <w:pPr>
              <w:jc w:val="center"/>
              <w:rPr>
                <w:rFonts w:hint="eastAsia" w:ascii="仿宋" w:hAnsi="仿宋" w:eastAsia="仿宋" w:cs="仿宋"/>
                <w:i w:val="0"/>
                <w:iCs w:val="0"/>
                <w:color w:val="000000"/>
                <w:sz w:val="22"/>
                <w:szCs w:val="22"/>
                <w:highlight w:val="none"/>
                <w:u w:val="none"/>
              </w:rPr>
            </w:pPr>
          </w:p>
        </w:tc>
        <w:tc>
          <w:tcPr>
            <w:tcW w:w="560" w:type="pct"/>
            <w:tcBorders>
              <w:top w:val="nil"/>
              <w:left w:val="nil"/>
              <w:bottom w:val="nil"/>
              <w:right w:val="nil"/>
            </w:tcBorders>
            <w:noWrap/>
            <w:vAlign w:val="center"/>
          </w:tcPr>
          <w:p w14:paraId="0D984F77">
            <w:pPr>
              <w:jc w:val="center"/>
              <w:rPr>
                <w:rFonts w:hint="eastAsia" w:ascii="仿宋" w:hAnsi="仿宋" w:eastAsia="仿宋" w:cs="仿宋"/>
                <w:i w:val="0"/>
                <w:iCs w:val="0"/>
                <w:color w:val="000000"/>
                <w:sz w:val="22"/>
                <w:szCs w:val="22"/>
                <w:highlight w:val="none"/>
                <w:u w:val="none"/>
              </w:rPr>
            </w:pPr>
          </w:p>
        </w:tc>
        <w:tc>
          <w:tcPr>
            <w:tcW w:w="785" w:type="pct"/>
            <w:tcBorders>
              <w:top w:val="nil"/>
              <w:left w:val="nil"/>
              <w:bottom w:val="nil"/>
              <w:right w:val="nil"/>
            </w:tcBorders>
            <w:noWrap/>
            <w:vAlign w:val="center"/>
          </w:tcPr>
          <w:p w14:paraId="55C926EC">
            <w:pPr>
              <w:jc w:val="center"/>
              <w:rPr>
                <w:rFonts w:hint="eastAsia" w:ascii="仿宋" w:hAnsi="仿宋" w:eastAsia="仿宋" w:cs="仿宋"/>
                <w:i w:val="0"/>
                <w:iCs w:val="0"/>
                <w:color w:val="000000"/>
                <w:sz w:val="22"/>
                <w:szCs w:val="22"/>
                <w:highlight w:val="none"/>
                <w:u w:val="none"/>
              </w:rPr>
            </w:pPr>
          </w:p>
        </w:tc>
        <w:tc>
          <w:tcPr>
            <w:tcW w:w="716" w:type="pct"/>
            <w:tcBorders>
              <w:top w:val="nil"/>
              <w:left w:val="nil"/>
              <w:bottom w:val="nil"/>
              <w:right w:val="nil"/>
            </w:tcBorders>
            <w:noWrap/>
            <w:vAlign w:val="center"/>
          </w:tcPr>
          <w:p w14:paraId="467A6D0A">
            <w:pPr>
              <w:jc w:val="center"/>
              <w:rPr>
                <w:rFonts w:hint="eastAsia" w:ascii="仿宋" w:hAnsi="仿宋" w:eastAsia="仿宋" w:cs="仿宋"/>
                <w:i w:val="0"/>
                <w:iCs w:val="0"/>
                <w:color w:val="000000"/>
                <w:sz w:val="22"/>
                <w:szCs w:val="22"/>
                <w:highlight w:val="none"/>
                <w:u w:val="none"/>
              </w:rPr>
            </w:pPr>
          </w:p>
        </w:tc>
        <w:tc>
          <w:tcPr>
            <w:tcW w:w="581" w:type="pct"/>
            <w:tcBorders>
              <w:top w:val="nil"/>
              <w:left w:val="nil"/>
              <w:bottom w:val="nil"/>
              <w:right w:val="nil"/>
            </w:tcBorders>
            <w:noWrap/>
            <w:vAlign w:val="center"/>
          </w:tcPr>
          <w:p w14:paraId="51199ED2">
            <w:pPr>
              <w:jc w:val="center"/>
              <w:rPr>
                <w:rFonts w:hint="eastAsia" w:ascii="仿宋" w:hAnsi="仿宋" w:eastAsia="仿宋" w:cs="仿宋"/>
                <w:i w:val="0"/>
                <w:iCs w:val="0"/>
                <w:color w:val="000000"/>
                <w:sz w:val="22"/>
                <w:szCs w:val="22"/>
                <w:highlight w:val="none"/>
                <w:u w:val="none"/>
              </w:rPr>
            </w:pPr>
          </w:p>
        </w:tc>
        <w:tc>
          <w:tcPr>
            <w:tcW w:w="625" w:type="pct"/>
            <w:tcBorders>
              <w:top w:val="nil"/>
              <w:left w:val="nil"/>
              <w:bottom w:val="nil"/>
              <w:right w:val="nil"/>
            </w:tcBorders>
            <w:noWrap/>
            <w:vAlign w:val="center"/>
          </w:tcPr>
          <w:p w14:paraId="054D6B66">
            <w:pPr>
              <w:jc w:val="center"/>
              <w:rPr>
                <w:rFonts w:hint="eastAsia" w:ascii="仿宋" w:hAnsi="仿宋" w:eastAsia="仿宋" w:cs="仿宋"/>
                <w:i w:val="0"/>
                <w:iCs w:val="0"/>
                <w:color w:val="000000"/>
                <w:sz w:val="22"/>
                <w:szCs w:val="22"/>
                <w:highlight w:val="none"/>
                <w:u w:val="none"/>
              </w:rPr>
            </w:pPr>
          </w:p>
        </w:tc>
      </w:tr>
      <w:tr w14:paraId="28566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27" w:type="pct"/>
            <w:tcBorders>
              <w:top w:val="nil"/>
              <w:left w:val="nil"/>
              <w:bottom w:val="nil"/>
              <w:right w:val="nil"/>
            </w:tcBorders>
            <w:noWrap/>
            <w:vAlign w:val="bottom"/>
          </w:tcPr>
          <w:p w14:paraId="78BC9718">
            <w:pPr>
              <w:rPr>
                <w:rFonts w:hint="eastAsia" w:ascii="仿宋" w:hAnsi="仿宋" w:eastAsia="仿宋" w:cs="仿宋"/>
                <w:i w:val="0"/>
                <w:iCs w:val="0"/>
                <w:color w:val="000000"/>
                <w:sz w:val="22"/>
                <w:szCs w:val="22"/>
                <w:highlight w:val="none"/>
                <w:u w:val="none"/>
              </w:rPr>
            </w:pPr>
          </w:p>
        </w:tc>
        <w:tc>
          <w:tcPr>
            <w:tcW w:w="743" w:type="pct"/>
            <w:tcBorders>
              <w:top w:val="nil"/>
              <w:left w:val="nil"/>
              <w:bottom w:val="nil"/>
              <w:right w:val="nil"/>
            </w:tcBorders>
            <w:noWrap/>
            <w:vAlign w:val="center"/>
          </w:tcPr>
          <w:p w14:paraId="257AA88E">
            <w:pPr>
              <w:rPr>
                <w:rFonts w:hint="eastAsia" w:ascii="仿宋" w:hAnsi="仿宋" w:eastAsia="仿宋" w:cs="仿宋"/>
                <w:i w:val="0"/>
                <w:iCs w:val="0"/>
                <w:color w:val="000000"/>
                <w:sz w:val="22"/>
                <w:szCs w:val="22"/>
                <w:highlight w:val="none"/>
                <w:u w:val="none"/>
              </w:rPr>
            </w:pPr>
          </w:p>
        </w:tc>
        <w:tc>
          <w:tcPr>
            <w:tcW w:w="560" w:type="pct"/>
            <w:tcBorders>
              <w:top w:val="nil"/>
              <w:left w:val="nil"/>
              <w:bottom w:val="nil"/>
              <w:right w:val="nil"/>
            </w:tcBorders>
            <w:noWrap/>
            <w:vAlign w:val="center"/>
          </w:tcPr>
          <w:p w14:paraId="2F561B9C">
            <w:pPr>
              <w:rPr>
                <w:rFonts w:hint="eastAsia" w:ascii="仿宋" w:hAnsi="仿宋" w:eastAsia="仿宋" w:cs="仿宋"/>
                <w:i w:val="0"/>
                <w:iCs w:val="0"/>
                <w:color w:val="000000"/>
                <w:sz w:val="22"/>
                <w:szCs w:val="22"/>
                <w:highlight w:val="none"/>
                <w:u w:val="none"/>
              </w:rPr>
            </w:pPr>
          </w:p>
        </w:tc>
        <w:tc>
          <w:tcPr>
            <w:tcW w:w="2061" w:type="pct"/>
            <w:gridSpan w:val="3"/>
            <w:tcBorders>
              <w:top w:val="nil"/>
              <w:left w:val="nil"/>
              <w:bottom w:val="nil"/>
              <w:right w:val="nil"/>
            </w:tcBorders>
            <w:noWrap/>
            <w:vAlign w:val="center"/>
          </w:tcPr>
          <w:p w14:paraId="049304A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收款公司名称：（加盖公章）</w:t>
            </w:r>
          </w:p>
        </w:tc>
        <w:tc>
          <w:tcPr>
            <w:tcW w:w="581" w:type="pct"/>
            <w:tcBorders>
              <w:top w:val="nil"/>
              <w:left w:val="nil"/>
              <w:bottom w:val="nil"/>
              <w:right w:val="nil"/>
            </w:tcBorders>
            <w:noWrap/>
            <w:vAlign w:val="center"/>
          </w:tcPr>
          <w:p w14:paraId="7B51F2DB">
            <w:pPr>
              <w:rPr>
                <w:rFonts w:hint="eastAsia" w:ascii="仿宋" w:hAnsi="仿宋" w:eastAsia="仿宋" w:cs="仿宋"/>
                <w:i w:val="0"/>
                <w:iCs w:val="0"/>
                <w:color w:val="000000"/>
                <w:sz w:val="22"/>
                <w:szCs w:val="22"/>
                <w:highlight w:val="none"/>
                <w:u w:val="none"/>
              </w:rPr>
            </w:pPr>
          </w:p>
        </w:tc>
        <w:tc>
          <w:tcPr>
            <w:tcW w:w="625" w:type="pct"/>
            <w:tcBorders>
              <w:top w:val="nil"/>
              <w:left w:val="nil"/>
              <w:bottom w:val="nil"/>
              <w:right w:val="nil"/>
            </w:tcBorders>
            <w:noWrap/>
            <w:vAlign w:val="bottom"/>
          </w:tcPr>
          <w:p w14:paraId="381CEF94">
            <w:pPr>
              <w:rPr>
                <w:rFonts w:hint="eastAsia" w:ascii="仿宋" w:hAnsi="仿宋" w:eastAsia="仿宋" w:cs="仿宋"/>
                <w:i w:val="0"/>
                <w:iCs w:val="0"/>
                <w:color w:val="000000"/>
                <w:sz w:val="22"/>
                <w:szCs w:val="22"/>
                <w:highlight w:val="none"/>
                <w:u w:val="none"/>
              </w:rPr>
            </w:pPr>
          </w:p>
        </w:tc>
      </w:tr>
      <w:tr w14:paraId="03A95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27" w:type="pct"/>
            <w:tcBorders>
              <w:top w:val="nil"/>
              <w:left w:val="nil"/>
              <w:bottom w:val="nil"/>
              <w:right w:val="nil"/>
            </w:tcBorders>
            <w:noWrap/>
            <w:vAlign w:val="center"/>
          </w:tcPr>
          <w:p w14:paraId="0ABE98DF">
            <w:pPr>
              <w:jc w:val="center"/>
              <w:rPr>
                <w:rFonts w:hint="eastAsia" w:ascii="仿宋" w:hAnsi="仿宋" w:eastAsia="仿宋" w:cs="仿宋"/>
                <w:i w:val="0"/>
                <w:iCs w:val="0"/>
                <w:color w:val="000000"/>
                <w:sz w:val="22"/>
                <w:szCs w:val="22"/>
                <w:highlight w:val="none"/>
                <w:u w:val="none"/>
              </w:rPr>
            </w:pPr>
          </w:p>
        </w:tc>
        <w:tc>
          <w:tcPr>
            <w:tcW w:w="743" w:type="pct"/>
            <w:tcBorders>
              <w:top w:val="nil"/>
              <w:left w:val="nil"/>
              <w:bottom w:val="nil"/>
              <w:right w:val="nil"/>
            </w:tcBorders>
            <w:noWrap/>
            <w:vAlign w:val="center"/>
          </w:tcPr>
          <w:p w14:paraId="667675DE">
            <w:pPr>
              <w:jc w:val="center"/>
              <w:rPr>
                <w:rFonts w:hint="eastAsia" w:ascii="仿宋" w:hAnsi="仿宋" w:eastAsia="仿宋" w:cs="仿宋"/>
                <w:i w:val="0"/>
                <w:iCs w:val="0"/>
                <w:color w:val="000000"/>
                <w:sz w:val="22"/>
                <w:szCs w:val="22"/>
                <w:highlight w:val="none"/>
                <w:u w:val="none"/>
              </w:rPr>
            </w:pPr>
          </w:p>
        </w:tc>
        <w:tc>
          <w:tcPr>
            <w:tcW w:w="560" w:type="pct"/>
            <w:tcBorders>
              <w:top w:val="nil"/>
              <w:left w:val="nil"/>
              <w:bottom w:val="nil"/>
              <w:right w:val="nil"/>
            </w:tcBorders>
            <w:noWrap/>
            <w:vAlign w:val="center"/>
          </w:tcPr>
          <w:p w14:paraId="7D1DAA0F">
            <w:pPr>
              <w:jc w:val="center"/>
              <w:rPr>
                <w:rFonts w:hint="eastAsia" w:ascii="仿宋" w:hAnsi="仿宋" w:eastAsia="仿宋" w:cs="仿宋"/>
                <w:i w:val="0"/>
                <w:iCs w:val="0"/>
                <w:color w:val="000000"/>
                <w:sz w:val="22"/>
                <w:szCs w:val="22"/>
                <w:highlight w:val="none"/>
                <w:u w:val="none"/>
              </w:rPr>
            </w:pPr>
          </w:p>
        </w:tc>
        <w:tc>
          <w:tcPr>
            <w:tcW w:w="2061" w:type="pct"/>
            <w:gridSpan w:val="3"/>
            <w:tcBorders>
              <w:top w:val="nil"/>
              <w:left w:val="nil"/>
              <w:bottom w:val="nil"/>
              <w:right w:val="nil"/>
            </w:tcBorders>
            <w:noWrap/>
            <w:vAlign w:val="center"/>
          </w:tcPr>
          <w:p w14:paraId="654776D3">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收款公司负责人：（签名）</w:t>
            </w:r>
          </w:p>
        </w:tc>
        <w:tc>
          <w:tcPr>
            <w:tcW w:w="581" w:type="pct"/>
            <w:tcBorders>
              <w:top w:val="nil"/>
              <w:left w:val="nil"/>
              <w:bottom w:val="nil"/>
              <w:right w:val="nil"/>
            </w:tcBorders>
            <w:noWrap/>
            <w:vAlign w:val="center"/>
          </w:tcPr>
          <w:p w14:paraId="56B78054">
            <w:pPr>
              <w:jc w:val="left"/>
              <w:rPr>
                <w:rFonts w:hint="eastAsia" w:ascii="仿宋" w:hAnsi="仿宋" w:eastAsia="仿宋" w:cs="仿宋"/>
                <w:i w:val="0"/>
                <w:iCs w:val="0"/>
                <w:color w:val="000000"/>
                <w:sz w:val="22"/>
                <w:szCs w:val="22"/>
                <w:highlight w:val="none"/>
                <w:u w:val="none"/>
              </w:rPr>
            </w:pPr>
          </w:p>
        </w:tc>
        <w:tc>
          <w:tcPr>
            <w:tcW w:w="625" w:type="pct"/>
            <w:tcBorders>
              <w:top w:val="nil"/>
              <w:left w:val="nil"/>
              <w:bottom w:val="nil"/>
              <w:right w:val="nil"/>
            </w:tcBorders>
            <w:noWrap/>
            <w:vAlign w:val="bottom"/>
          </w:tcPr>
          <w:p w14:paraId="45FA463B">
            <w:pPr>
              <w:rPr>
                <w:rFonts w:hint="eastAsia" w:ascii="仿宋" w:hAnsi="仿宋" w:eastAsia="仿宋" w:cs="仿宋"/>
                <w:i w:val="0"/>
                <w:iCs w:val="0"/>
                <w:color w:val="000000"/>
                <w:sz w:val="22"/>
                <w:szCs w:val="22"/>
                <w:highlight w:val="none"/>
                <w:u w:val="none"/>
              </w:rPr>
            </w:pPr>
          </w:p>
        </w:tc>
      </w:tr>
      <w:tr w14:paraId="7EEC2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7" w:type="pct"/>
            <w:tcBorders>
              <w:top w:val="nil"/>
              <w:left w:val="nil"/>
              <w:bottom w:val="nil"/>
              <w:right w:val="nil"/>
            </w:tcBorders>
            <w:noWrap/>
            <w:vAlign w:val="center"/>
          </w:tcPr>
          <w:p w14:paraId="247CD6AC">
            <w:pPr>
              <w:jc w:val="center"/>
              <w:rPr>
                <w:rFonts w:hint="eastAsia" w:ascii="仿宋" w:hAnsi="仿宋" w:eastAsia="仿宋" w:cs="仿宋"/>
                <w:i w:val="0"/>
                <w:iCs w:val="0"/>
                <w:color w:val="000000"/>
                <w:sz w:val="22"/>
                <w:szCs w:val="22"/>
                <w:highlight w:val="none"/>
                <w:u w:val="none"/>
              </w:rPr>
            </w:pPr>
          </w:p>
        </w:tc>
        <w:tc>
          <w:tcPr>
            <w:tcW w:w="743" w:type="pct"/>
            <w:tcBorders>
              <w:top w:val="nil"/>
              <w:left w:val="nil"/>
              <w:bottom w:val="nil"/>
              <w:right w:val="nil"/>
            </w:tcBorders>
            <w:noWrap/>
            <w:vAlign w:val="center"/>
          </w:tcPr>
          <w:p w14:paraId="734120EE">
            <w:pPr>
              <w:jc w:val="center"/>
              <w:rPr>
                <w:rFonts w:hint="eastAsia" w:ascii="仿宋" w:hAnsi="仿宋" w:eastAsia="仿宋" w:cs="仿宋"/>
                <w:i w:val="0"/>
                <w:iCs w:val="0"/>
                <w:color w:val="000000"/>
                <w:sz w:val="22"/>
                <w:szCs w:val="22"/>
                <w:highlight w:val="none"/>
                <w:u w:val="none"/>
              </w:rPr>
            </w:pPr>
          </w:p>
        </w:tc>
        <w:tc>
          <w:tcPr>
            <w:tcW w:w="560" w:type="pct"/>
            <w:tcBorders>
              <w:top w:val="nil"/>
              <w:left w:val="nil"/>
              <w:bottom w:val="nil"/>
              <w:right w:val="nil"/>
            </w:tcBorders>
            <w:noWrap/>
            <w:vAlign w:val="center"/>
          </w:tcPr>
          <w:p w14:paraId="66416572">
            <w:pPr>
              <w:jc w:val="center"/>
              <w:rPr>
                <w:rFonts w:hint="eastAsia" w:ascii="仿宋" w:hAnsi="仿宋" w:eastAsia="仿宋" w:cs="仿宋"/>
                <w:i w:val="0"/>
                <w:iCs w:val="0"/>
                <w:color w:val="000000"/>
                <w:sz w:val="22"/>
                <w:szCs w:val="22"/>
                <w:highlight w:val="none"/>
                <w:u w:val="none"/>
              </w:rPr>
            </w:pPr>
          </w:p>
        </w:tc>
        <w:tc>
          <w:tcPr>
            <w:tcW w:w="560" w:type="pct"/>
            <w:tcBorders>
              <w:top w:val="nil"/>
              <w:left w:val="nil"/>
              <w:bottom w:val="nil"/>
              <w:right w:val="nil"/>
            </w:tcBorders>
            <w:noWrap/>
            <w:vAlign w:val="center"/>
          </w:tcPr>
          <w:p w14:paraId="126D22A5">
            <w:pPr>
              <w:jc w:val="center"/>
              <w:rPr>
                <w:rFonts w:hint="eastAsia" w:ascii="仿宋" w:hAnsi="仿宋" w:eastAsia="仿宋" w:cs="仿宋"/>
                <w:i w:val="0"/>
                <w:iCs w:val="0"/>
                <w:color w:val="000000"/>
                <w:sz w:val="22"/>
                <w:szCs w:val="22"/>
                <w:highlight w:val="none"/>
                <w:u w:val="none"/>
              </w:rPr>
            </w:pPr>
          </w:p>
        </w:tc>
        <w:tc>
          <w:tcPr>
            <w:tcW w:w="785" w:type="pct"/>
            <w:tcBorders>
              <w:top w:val="nil"/>
              <w:left w:val="nil"/>
              <w:bottom w:val="nil"/>
              <w:right w:val="nil"/>
            </w:tcBorders>
            <w:noWrap/>
            <w:vAlign w:val="center"/>
          </w:tcPr>
          <w:p w14:paraId="7F511905">
            <w:pPr>
              <w:jc w:val="center"/>
              <w:rPr>
                <w:rFonts w:hint="eastAsia" w:ascii="仿宋" w:hAnsi="仿宋" w:eastAsia="仿宋" w:cs="仿宋"/>
                <w:i w:val="0"/>
                <w:iCs w:val="0"/>
                <w:color w:val="000000"/>
                <w:sz w:val="22"/>
                <w:szCs w:val="22"/>
                <w:highlight w:val="none"/>
                <w:u w:val="none"/>
              </w:rPr>
            </w:pPr>
          </w:p>
        </w:tc>
        <w:tc>
          <w:tcPr>
            <w:tcW w:w="716" w:type="pct"/>
            <w:tcBorders>
              <w:top w:val="nil"/>
              <w:left w:val="nil"/>
              <w:bottom w:val="nil"/>
              <w:right w:val="nil"/>
            </w:tcBorders>
            <w:noWrap/>
            <w:vAlign w:val="center"/>
          </w:tcPr>
          <w:p w14:paraId="281122C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581" w:type="pct"/>
            <w:tcBorders>
              <w:top w:val="nil"/>
              <w:left w:val="nil"/>
              <w:bottom w:val="nil"/>
              <w:right w:val="nil"/>
            </w:tcBorders>
            <w:noWrap/>
            <w:vAlign w:val="center"/>
          </w:tcPr>
          <w:p w14:paraId="22E1F3D1">
            <w:pPr>
              <w:jc w:val="center"/>
              <w:rPr>
                <w:rFonts w:hint="eastAsia" w:ascii="仿宋" w:hAnsi="仿宋" w:eastAsia="仿宋" w:cs="仿宋"/>
                <w:i w:val="0"/>
                <w:iCs w:val="0"/>
                <w:color w:val="000000"/>
                <w:sz w:val="22"/>
                <w:szCs w:val="22"/>
                <w:highlight w:val="none"/>
                <w:u w:val="none"/>
              </w:rPr>
            </w:pPr>
          </w:p>
        </w:tc>
        <w:tc>
          <w:tcPr>
            <w:tcW w:w="625" w:type="pct"/>
            <w:tcBorders>
              <w:top w:val="nil"/>
              <w:left w:val="nil"/>
              <w:bottom w:val="nil"/>
              <w:right w:val="nil"/>
            </w:tcBorders>
            <w:noWrap/>
            <w:vAlign w:val="bottom"/>
          </w:tcPr>
          <w:p w14:paraId="34A4B4C9">
            <w:pPr>
              <w:rPr>
                <w:rFonts w:hint="eastAsia" w:ascii="仿宋" w:hAnsi="仿宋" w:eastAsia="仿宋" w:cs="仿宋"/>
                <w:i w:val="0"/>
                <w:iCs w:val="0"/>
                <w:color w:val="000000"/>
                <w:sz w:val="22"/>
                <w:szCs w:val="22"/>
                <w:highlight w:val="none"/>
                <w:u w:val="none"/>
              </w:rPr>
            </w:pPr>
          </w:p>
        </w:tc>
      </w:tr>
    </w:tbl>
    <w:p w14:paraId="756EA38E">
      <w:pPr>
        <w:pStyle w:val="8"/>
        <w:tabs>
          <w:tab w:val="left" w:pos="840"/>
          <w:tab w:val="clear" w:pos="-116"/>
          <w:tab w:val="clear" w:pos="420"/>
        </w:tabs>
        <w:rPr>
          <w:rFonts w:hint="eastAsia" w:ascii="仿宋" w:hAnsi="仿宋" w:eastAsia="仿宋" w:cs="仿宋"/>
          <w:bCs/>
          <w:color w:val="auto"/>
          <w:kern w:val="0"/>
          <w:sz w:val="24"/>
          <w:szCs w:val="24"/>
          <w:highlight w:val="none"/>
          <w:lang w:val="en-US" w:eastAsia="zh-CN"/>
        </w:rPr>
      </w:pPr>
    </w:p>
    <w:p w14:paraId="44098030">
      <w:pPr>
        <w:jc w:val="right"/>
        <w:rPr>
          <w:rFonts w:hint="eastAsia" w:ascii="仿宋" w:hAnsi="仿宋" w:eastAsia="仿宋" w:cs="仿宋"/>
          <w:b/>
          <w:bCs/>
          <w:color w:val="auto"/>
          <w:sz w:val="44"/>
          <w:szCs w:val="44"/>
          <w:highlight w:val="none"/>
          <w:lang w:val="en-US" w:eastAsia="zh-CN"/>
        </w:rPr>
      </w:pPr>
    </w:p>
    <w:p w14:paraId="0C18A988">
      <w:pPr>
        <w:jc w:val="right"/>
        <w:rPr>
          <w:rFonts w:hint="eastAsia" w:ascii="仿宋" w:hAnsi="仿宋" w:eastAsia="仿宋" w:cs="仿宋"/>
          <w:b/>
          <w:bCs/>
          <w:color w:val="auto"/>
          <w:sz w:val="44"/>
          <w:szCs w:val="44"/>
          <w:highlight w:val="none"/>
          <w:lang w:val="en-US" w:eastAsia="zh-CN"/>
        </w:rPr>
      </w:pPr>
    </w:p>
    <w:p w14:paraId="32F1B529">
      <w:pPr>
        <w:jc w:val="right"/>
        <w:rPr>
          <w:rFonts w:hint="eastAsia" w:ascii="仿宋" w:hAnsi="仿宋" w:eastAsia="仿宋" w:cs="仿宋"/>
          <w:b/>
          <w:bCs/>
          <w:color w:val="auto"/>
          <w:sz w:val="44"/>
          <w:szCs w:val="44"/>
          <w:highlight w:val="none"/>
          <w:lang w:val="en-US" w:eastAsia="zh-CN"/>
        </w:rPr>
      </w:pPr>
    </w:p>
    <w:p w14:paraId="2944E50A">
      <w:pPr>
        <w:jc w:val="right"/>
        <w:rPr>
          <w:rFonts w:hint="eastAsia" w:ascii="仿宋" w:hAnsi="仿宋" w:eastAsia="仿宋" w:cs="仿宋"/>
          <w:b/>
          <w:bCs/>
          <w:color w:val="auto"/>
          <w:sz w:val="44"/>
          <w:szCs w:val="44"/>
          <w:highlight w:val="none"/>
          <w:lang w:val="en-US" w:eastAsia="zh-CN"/>
        </w:rPr>
      </w:pPr>
    </w:p>
    <w:p w14:paraId="579A667F">
      <w:pPr>
        <w:jc w:val="right"/>
        <w:rPr>
          <w:rFonts w:hint="eastAsia" w:ascii="仿宋" w:hAnsi="仿宋" w:eastAsia="仿宋" w:cs="仿宋"/>
          <w:b/>
          <w:bCs/>
          <w:color w:val="auto"/>
          <w:sz w:val="44"/>
          <w:szCs w:val="44"/>
          <w:highlight w:val="none"/>
          <w:lang w:val="en-US" w:eastAsia="zh-CN"/>
        </w:rPr>
      </w:pPr>
    </w:p>
    <w:p w14:paraId="56C6AEDE">
      <w:pPr>
        <w:jc w:val="both"/>
        <w:rPr>
          <w:rFonts w:hint="eastAsia" w:ascii="仿宋" w:hAnsi="仿宋" w:eastAsia="仿宋" w:cs="仿宋"/>
          <w:b/>
          <w:bCs/>
          <w:color w:val="auto"/>
          <w:sz w:val="44"/>
          <w:szCs w:val="44"/>
          <w:highlight w:val="none"/>
          <w:lang w:val="en-US" w:eastAsia="zh-CN"/>
        </w:rPr>
      </w:pPr>
    </w:p>
    <w:p w14:paraId="7AE34BB7">
      <w:pPr>
        <w:jc w:val="right"/>
        <w:outlineLvl w:val="0"/>
        <w:rPr>
          <w:rFonts w:hint="eastAsia" w:ascii="仿宋" w:hAnsi="仿宋" w:eastAsia="仿宋" w:cs="仿宋"/>
          <w:b/>
          <w:bCs/>
          <w:color w:val="auto"/>
          <w:sz w:val="44"/>
          <w:szCs w:val="44"/>
          <w:highlight w:val="none"/>
          <w:lang w:val="en-US" w:eastAsia="zh-CN"/>
        </w:rPr>
      </w:pPr>
      <w:bookmarkStart w:id="83" w:name="_Toc16723"/>
      <w:bookmarkStart w:id="84" w:name="_Toc19067"/>
    </w:p>
    <w:p w14:paraId="28030D6B">
      <w:pPr>
        <w:jc w:val="both"/>
        <w:outlineLvl w:val="0"/>
        <w:rPr>
          <w:rFonts w:hint="eastAsia" w:ascii="仿宋" w:hAnsi="仿宋" w:eastAsia="仿宋" w:cs="仿宋"/>
          <w:b/>
          <w:bCs/>
          <w:color w:val="auto"/>
          <w:sz w:val="44"/>
          <w:szCs w:val="44"/>
          <w:highlight w:val="none"/>
          <w:lang w:val="en-US" w:eastAsia="zh-CN"/>
        </w:rPr>
      </w:pPr>
    </w:p>
    <w:p w14:paraId="22352F2C">
      <w:pPr>
        <w:jc w:val="right"/>
        <w:outlineLvl w:val="0"/>
        <w:rPr>
          <w:rFonts w:hint="eastAsia" w:ascii="仿宋" w:hAnsi="仿宋" w:eastAsia="仿宋" w:cs="仿宋"/>
          <w:b/>
          <w:bCs/>
          <w:color w:val="auto"/>
          <w:sz w:val="44"/>
          <w:szCs w:val="44"/>
          <w:highlight w:val="none"/>
          <w:lang w:val="en-US" w:eastAsia="zh-CN"/>
        </w:rPr>
      </w:pPr>
      <w:bookmarkStart w:id="85" w:name="_Toc32530"/>
      <w:bookmarkStart w:id="86" w:name="_Toc29464"/>
      <w:r>
        <w:rPr>
          <w:rFonts w:hint="eastAsia" w:ascii="仿宋" w:hAnsi="仿宋" w:eastAsia="仿宋" w:cs="仿宋"/>
          <w:b/>
          <w:bCs/>
          <w:color w:val="auto"/>
          <w:sz w:val="44"/>
          <w:szCs w:val="44"/>
          <w:highlight w:val="none"/>
          <w:lang w:val="en-US" w:eastAsia="zh-CN"/>
        </w:rPr>
        <w:t>附件五</w:t>
      </w:r>
      <w:bookmarkEnd w:id="83"/>
      <w:bookmarkEnd w:id="84"/>
      <w:bookmarkEnd w:id="85"/>
      <w:bookmarkEnd w:id="86"/>
    </w:p>
    <w:p w14:paraId="713C996E">
      <w:pPr>
        <w:jc w:val="center"/>
        <w:outlineLvl w:val="0"/>
        <w:rPr>
          <w:rFonts w:hint="eastAsia" w:ascii="仿宋" w:hAnsi="仿宋" w:eastAsia="仿宋" w:cs="仿宋"/>
          <w:b/>
          <w:bCs/>
          <w:color w:val="auto"/>
          <w:sz w:val="44"/>
          <w:szCs w:val="44"/>
          <w:highlight w:val="none"/>
        </w:rPr>
      </w:pPr>
      <w:bookmarkStart w:id="87" w:name="_Toc14992"/>
      <w:bookmarkStart w:id="88" w:name="_Toc24167"/>
    </w:p>
    <w:p w14:paraId="42BD62CF">
      <w:pPr>
        <w:jc w:val="center"/>
        <w:outlineLvl w:val="0"/>
        <w:rPr>
          <w:rFonts w:hint="eastAsia" w:ascii="仿宋" w:hAnsi="仿宋" w:eastAsia="仿宋" w:cs="仿宋"/>
          <w:b/>
          <w:bCs/>
          <w:color w:val="auto"/>
          <w:sz w:val="44"/>
          <w:szCs w:val="44"/>
          <w:highlight w:val="none"/>
        </w:rPr>
      </w:pPr>
      <w:bookmarkStart w:id="89" w:name="_Toc14033"/>
      <w:bookmarkStart w:id="90" w:name="_Toc28467"/>
      <w:r>
        <w:rPr>
          <w:rFonts w:hint="eastAsia" w:ascii="仿宋" w:hAnsi="仿宋" w:eastAsia="仿宋" w:cs="仿宋"/>
          <w:b/>
          <w:bCs/>
          <w:color w:val="auto"/>
          <w:sz w:val="44"/>
          <w:szCs w:val="44"/>
          <w:highlight w:val="none"/>
        </w:rPr>
        <w:t>结清承诺书</w:t>
      </w:r>
      <w:bookmarkEnd w:id="87"/>
      <w:bookmarkEnd w:id="88"/>
      <w:bookmarkEnd w:id="89"/>
      <w:bookmarkEnd w:id="90"/>
    </w:p>
    <w:p w14:paraId="7BCF46E6">
      <w:pPr>
        <w:rPr>
          <w:rFonts w:hint="eastAsia" w:ascii="仿宋" w:hAnsi="仿宋" w:eastAsia="仿宋" w:cs="仿宋"/>
          <w:color w:val="auto"/>
          <w:kern w:val="0"/>
          <w:sz w:val="28"/>
          <w:szCs w:val="28"/>
          <w:highlight w:val="none"/>
        </w:rPr>
      </w:pPr>
    </w:p>
    <w:p w14:paraId="5736C072">
      <w:pP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致：</w:t>
      </w:r>
      <w:r>
        <w:rPr>
          <w:rFonts w:hint="eastAsia" w:ascii="仿宋" w:hAnsi="仿宋" w:eastAsia="仿宋" w:cs="仿宋"/>
          <w:color w:val="auto"/>
          <w:kern w:val="0"/>
          <w:sz w:val="28"/>
          <w:szCs w:val="28"/>
          <w:highlight w:val="none"/>
        </w:rPr>
        <w:t>东莞市中泰建安工程有限公司</w:t>
      </w:r>
    </w:p>
    <w:p w14:paraId="07978912">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感谢</w:t>
      </w:r>
      <w:r>
        <w:rPr>
          <w:rFonts w:hint="eastAsia" w:ascii="仿宋" w:hAnsi="仿宋" w:eastAsia="仿宋" w:cs="仿宋"/>
          <w:color w:val="auto"/>
          <w:sz w:val="28"/>
          <w:szCs w:val="28"/>
          <w:highlight w:val="none"/>
        </w:rPr>
        <w:t>贵司选择我司作为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w:t>
      </w:r>
      <w:r>
        <w:rPr>
          <w:rFonts w:hint="eastAsia" w:ascii="仿宋" w:hAnsi="仿宋" w:eastAsia="仿宋" w:cs="仿宋"/>
          <w:color w:val="auto"/>
          <w:sz w:val="28"/>
          <w:szCs w:val="28"/>
          <w:highlight w:val="none"/>
          <w:lang w:eastAsia="zh-CN"/>
        </w:rPr>
        <w:t>的</w:t>
      </w:r>
      <w:r>
        <w:rPr>
          <w:rFonts w:hint="eastAsia" w:ascii="仿宋" w:hAnsi="仿宋" w:eastAsia="仿宋" w:cs="仿宋"/>
          <w:color w:val="auto"/>
          <w:sz w:val="28"/>
          <w:szCs w:val="28"/>
          <w:highlight w:val="none"/>
          <w:u w:val="single"/>
          <w:lang w:val="en-US" w:eastAsia="zh-CN"/>
        </w:rPr>
        <w:t xml:space="preserve">  （材料名称） </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履约</w:t>
      </w:r>
      <w:r>
        <w:rPr>
          <w:rFonts w:hint="eastAsia" w:ascii="仿宋" w:hAnsi="仿宋" w:eastAsia="仿宋" w:cs="仿宋"/>
          <w:color w:val="auto"/>
          <w:sz w:val="28"/>
          <w:szCs w:val="28"/>
          <w:highlight w:val="none"/>
        </w:rPr>
        <w:t>期间的</w:t>
      </w:r>
      <w:r>
        <w:rPr>
          <w:rFonts w:hint="eastAsia" w:ascii="仿宋" w:hAnsi="仿宋" w:eastAsia="仿宋" w:cs="仿宋"/>
          <w:color w:val="auto"/>
          <w:sz w:val="28"/>
          <w:szCs w:val="28"/>
          <w:highlight w:val="none"/>
          <w:lang w:val="en-US" w:eastAsia="zh-CN"/>
        </w:rPr>
        <w:t>材料</w:t>
      </w:r>
      <w:r>
        <w:rPr>
          <w:rFonts w:hint="eastAsia" w:ascii="仿宋" w:hAnsi="仿宋" w:eastAsia="仿宋" w:cs="仿宋"/>
          <w:color w:val="auto"/>
          <w:sz w:val="28"/>
          <w:szCs w:val="28"/>
          <w:highlight w:val="none"/>
        </w:rPr>
        <w:t>费合计</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元，其中我司已收款项</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eastAsia="zh-CN"/>
        </w:rPr>
        <w:t>待</w:t>
      </w:r>
      <w:r>
        <w:rPr>
          <w:rFonts w:hint="eastAsia" w:ascii="仿宋" w:hAnsi="仿宋" w:eastAsia="仿宋" w:cs="仿宋"/>
          <w:color w:val="auto"/>
          <w:sz w:val="28"/>
          <w:szCs w:val="28"/>
          <w:highlight w:val="none"/>
        </w:rPr>
        <w:t>收款项</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w:t>
      </w:r>
    </w:p>
    <w:p w14:paraId="30A9C79D">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现我</w:t>
      </w:r>
      <w:r>
        <w:rPr>
          <w:rFonts w:hint="eastAsia" w:ascii="仿宋" w:hAnsi="仿宋" w:eastAsia="仿宋" w:cs="仿宋"/>
          <w:color w:val="auto"/>
          <w:sz w:val="28"/>
          <w:szCs w:val="28"/>
          <w:highlight w:val="none"/>
          <w:lang w:eastAsia="zh-CN"/>
        </w:rPr>
        <w:t>司在此确认并</w:t>
      </w:r>
      <w:r>
        <w:rPr>
          <w:rFonts w:hint="eastAsia" w:ascii="仿宋" w:hAnsi="仿宋" w:eastAsia="仿宋" w:cs="仿宋"/>
          <w:color w:val="auto"/>
          <w:sz w:val="28"/>
          <w:szCs w:val="28"/>
          <w:highlight w:val="none"/>
        </w:rPr>
        <w:t>郑重承诺：</w:t>
      </w:r>
      <w:r>
        <w:rPr>
          <w:rFonts w:hint="eastAsia" w:ascii="仿宋" w:hAnsi="仿宋" w:eastAsia="仿宋" w:cs="仿宋"/>
          <w:bCs/>
          <w:color w:val="auto"/>
          <w:kern w:val="0"/>
          <w:sz w:val="28"/>
          <w:szCs w:val="28"/>
          <w:highlight w:val="none"/>
        </w:rPr>
        <w:t>收到贵司支付的</w:t>
      </w:r>
      <w:r>
        <w:rPr>
          <w:rFonts w:hint="eastAsia" w:ascii="仿宋" w:hAnsi="仿宋" w:eastAsia="仿宋" w:cs="仿宋"/>
          <w:bCs/>
          <w:color w:val="auto"/>
          <w:kern w:val="0"/>
          <w:sz w:val="28"/>
          <w:szCs w:val="28"/>
          <w:highlight w:val="none"/>
          <w:lang w:eastAsia="zh-CN"/>
        </w:rPr>
        <w:t>尾款</w:t>
      </w:r>
      <w:r>
        <w:rPr>
          <w:rFonts w:hint="eastAsia" w:ascii="仿宋" w:hAnsi="仿宋" w:eastAsia="仿宋" w:cs="仿宋"/>
          <w:bCs/>
          <w:color w:val="auto"/>
          <w:kern w:val="0"/>
          <w:sz w:val="28"/>
          <w:szCs w:val="28"/>
          <w:highlight w:val="none"/>
          <w:u w:val="single"/>
        </w:rPr>
        <w:t xml:space="preserve">      </w:t>
      </w:r>
      <w:r>
        <w:rPr>
          <w:rFonts w:hint="eastAsia" w:ascii="仿宋" w:hAnsi="仿宋" w:eastAsia="仿宋" w:cs="仿宋"/>
          <w:bCs/>
          <w:color w:val="auto"/>
          <w:kern w:val="0"/>
          <w:sz w:val="28"/>
          <w:szCs w:val="28"/>
          <w:highlight w:val="none"/>
        </w:rPr>
        <w:t>元后</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该</w:t>
      </w:r>
      <w:r>
        <w:rPr>
          <w:rFonts w:hint="eastAsia" w:ascii="仿宋" w:hAnsi="仿宋" w:eastAsia="仿宋" w:cs="仿宋"/>
          <w:color w:val="auto"/>
          <w:sz w:val="28"/>
          <w:szCs w:val="28"/>
          <w:highlight w:val="none"/>
        </w:rPr>
        <w:t>项目的</w:t>
      </w:r>
      <w:r>
        <w:rPr>
          <w:rFonts w:hint="eastAsia" w:ascii="仿宋" w:hAnsi="仿宋" w:eastAsia="仿宋" w:cs="仿宋"/>
          <w:color w:val="auto"/>
          <w:sz w:val="28"/>
          <w:szCs w:val="28"/>
          <w:highlight w:val="none"/>
          <w:u w:val="single"/>
        </w:rPr>
        <w:t>（材料名称）</w:t>
      </w:r>
      <w:r>
        <w:rPr>
          <w:rFonts w:hint="eastAsia" w:ascii="仿宋" w:hAnsi="仿宋" w:eastAsia="仿宋" w:cs="仿宋"/>
          <w:color w:val="auto"/>
          <w:sz w:val="28"/>
          <w:szCs w:val="28"/>
          <w:highlight w:val="none"/>
          <w:u w:val="none"/>
          <w:lang w:val="en-US" w:eastAsia="zh-CN"/>
        </w:rPr>
        <w:t>所涉及的材料</w:t>
      </w:r>
      <w:r>
        <w:rPr>
          <w:rFonts w:hint="eastAsia" w:ascii="仿宋" w:hAnsi="仿宋" w:eastAsia="仿宋" w:cs="仿宋"/>
          <w:color w:val="auto"/>
          <w:sz w:val="28"/>
          <w:szCs w:val="28"/>
          <w:highlight w:val="none"/>
          <w:lang w:eastAsia="zh-CN"/>
        </w:rPr>
        <w:t>费用</w:t>
      </w:r>
      <w:r>
        <w:rPr>
          <w:rFonts w:hint="eastAsia" w:ascii="仿宋" w:hAnsi="仿宋" w:eastAsia="仿宋" w:cs="仿宋"/>
          <w:color w:val="auto"/>
          <w:sz w:val="28"/>
          <w:szCs w:val="28"/>
          <w:highlight w:val="none"/>
        </w:rPr>
        <w:t>已全部结</w:t>
      </w:r>
      <w:r>
        <w:rPr>
          <w:rFonts w:hint="eastAsia" w:ascii="仿宋" w:hAnsi="仿宋" w:eastAsia="仿宋" w:cs="仿宋"/>
          <w:color w:val="auto"/>
          <w:sz w:val="28"/>
          <w:szCs w:val="28"/>
          <w:highlight w:val="none"/>
          <w:lang w:eastAsia="zh-CN"/>
        </w:rPr>
        <w:t>清，我司</w:t>
      </w:r>
      <w:r>
        <w:rPr>
          <w:rFonts w:hint="eastAsia" w:ascii="仿宋" w:hAnsi="仿宋" w:eastAsia="仿宋" w:cs="仿宋"/>
          <w:color w:val="auto"/>
          <w:sz w:val="28"/>
          <w:szCs w:val="28"/>
          <w:highlight w:val="none"/>
          <w:lang w:val="en-US" w:eastAsia="zh-CN"/>
        </w:rPr>
        <w:t>在</w:t>
      </w:r>
      <w:r>
        <w:rPr>
          <w:rFonts w:hint="eastAsia" w:ascii="仿宋" w:hAnsi="仿宋" w:eastAsia="仿宋" w:cs="仿宋"/>
          <w:color w:val="auto"/>
          <w:sz w:val="28"/>
          <w:szCs w:val="28"/>
          <w:highlight w:val="none"/>
          <w:lang w:eastAsia="zh-CN"/>
        </w:rPr>
        <w:t>合同中的所有权利</w:t>
      </w:r>
      <w:r>
        <w:rPr>
          <w:rFonts w:hint="eastAsia" w:ascii="仿宋" w:hAnsi="仿宋" w:eastAsia="仿宋" w:cs="仿宋"/>
          <w:color w:val="auto"/>
          <w:sz w:val="28"/>
          <w:szCs w:val="28"/>
          <w:highlight w:val="none"/>
          <w:lang w:val="en-US" w:eastAsia="zh-CN"/>
        </w:rPr>
        <w:t>即</w:t>
      </w:r>
      <w:r>
        <w:rPr>
          <w:rFonts w:hint="eastAsia" w:ascii="仿宋" w:hAnsi="仿宋" w:eastAsia="仿宋" w:cs="仿宋"/>
          <w:color w:val="auto"/>
          <w:sz w:val="28"/>
          <w:szCs w:val="28"/>
          <w:highlight w:val="none"/>
          <w:lang w:eastAsia="zh-CN"/>
        </w:rPr>
        <w:t>全部消灭。我司</w:t>
      </w:r>
      <w:r>
        <w:rPr>
          <w:rFonts w:hint="eastAsia" w:ascii="仿宋" w:hAnsi="仿宋" w:eastAsia="仿宋" w:cs="仿宋"/>
          <w:color w:val="auto"/>
          <w:sz w:val="28"/>
          <w:szCs w:val="28"/>
          <w:highlight w:val="none"/>
          <w:lang w:val="en-US" w:eastAsia="zh-CN"/>
        </w:rPr>
        <w:t>将不再</w:t>
      </w:r>
      <w:r>
        <w:rPr>
          <w:rFonts w:hint="eastAsia" w:ascii="仿宋" w:hAnsi="仿宋" w:eastAsia="仿宋" w:cs="仿宋"/>
          <w:color w:val="auto"/>
          <w:sz w:val="28"/>
          <w:szCs w:val="28"/>
          <w:highlight w:val="none"/>
          <w:lang w:eastAsia="zh-CN"/>
        </w:rPr>
        <w:t>以任何理由、任何方式就该项目的合作向贵司主张任何权利和费用。</w:t>
      </w:r>
    </w:p>
    <w:p w14:paraId="6C51AF41">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w:t>
      </w:r>
      <w:r>
        <w:rPr>
          <w:rFonts w:hint="eastAsia" w:ascii="仿宋" w:hAnsi="仿宋" w:eastAsia="仿宋" w:cs="仿宋"/>
          <w:color w:val="auto"/>
          <w:sz w:val="28"/>
          <w:szCs w:val="28"/>
          <w:highlight w:val="none"/>
          <w:lang w:eastAsia="zh-CN"/>
        </w:rPr>
        <w:t>声</w:t>
      </w:r>
      <w:r>
        <w:rPr>
          <w:rFonts w:hint="eastAsia" w:ascii="仿宋" w:hAnsi="仿宋" w:eastAsia="仿宋" w:cs="仿宋"/>
          <w:color w:val="auto"/>
          <w:sz w:val="28"/>
          <w:szCs w:val="28"/>
          <w:highlight w:val="none"/>
        </w:rPr>
        <w:t>明！</w:t>
      </w:r>
    </w:p>
    <w:p w14:paraId="286A6E68">
      <w:pPr>
        <w:ind w:firstLine="560" w:firstLineChars="200"/>
        <w:rPr>
          <w:rFonts w:hint="eastAsia" w:ascii="仿宋" w:hAnsi="仿宋" w:eastAsia="仿宋" w:cs="仿宋"/>
          <w:color w:val="auto"/>
          <w:sz w:val="28"/>
          <w:szCs w:val="28"/>
          <w:highlight w:val="none"/>
        </w:rPr>
      </w:pPr>
    </w:p>
    <w:p w14:paraId="52045BCD">
      <w:pPr>
        <w:ind w:firstLine="4480" w:firstLineChars="1600"/>
        <w:rPr>
          <w:rFonts w:hint="eastAsia" w:ascii="仿宋" w:hAnsi="仿宋" w:eastAsia="仿宋" w:cs="仿宋"/>
          <w:bCs/>
          <w:color w:val="auto"/>
          <w:kern w:val="0"/>
          <w:sz w:val="28"/>
          <w:szCs w:val="28"/>
          <w:highlight w:val="none"/>
        </w:rPr>
      </w:pPr>
      <w:r>
        <w:rPr>
          <w:rFonts w:hint="eastAsia" w:ascii="仿宋" w:hAnsi="仿宋" w:eastAsia="仿宋" w:cs="仿宋"/>
          <w:color w:val="auto"/>
          <w:sz w:val="28"/>
          <w:szCs w:val="28"/>
          <w:highlight w:val="none"/>
        </w:rPr>
        <w:t>承诺</w:t>
      </w:r>
      <w:r>
        <w:rPr>
          <w:rFonts w:hint="eastAsia" w:ascii="仿宋" w:hAnsi="仿宋" w:eastAsia="仿宋" w:cs="仿宋"/>
          <w:color w:val="auto"/>
          <w:sz w:val="28"/>
          <w:szCs w:val="28"/>
          <w:highlight w:val="none"/>
          <w:lang w:eastAsia="zh-CN"/>
        </w:rPr>
        <w:t>单位</w:t>
      </w:r>
      <w:r>
        <w:rPr>
          <w:rFonts w:hint="eastAsia" w:ascii="仿宋" w:hAnsi="仿宋" w:eastAsia="仿宋" w:cs="仿宋"/>
          <w:color w:val="auto"/>
          <w:sz w:val="28"/>
          <w:szCs w:val="28"/>
          <w:highlight w:val="none"/>
        </w:rPr>
        <w:t>（盖章）：</w:t>
      </w:r>
    </w:p>
    <w:p w14:paraId="6276E508">
      <w:pPr>
        <w:ind w:firstLine="5600" w:firstLineChars="200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 xml:space="preserve">日 </w:t>
      </w:r>
      <w:r>
        <w:rPr>
          <w:rFonts w:hint="eastAsia" w:ascii="仿宋" w:hAnsi="仿宋" w:eastAsia="仿宋" w:cs="仿宋"/>
          <w:bCs/>
          <w:color w:val="auto"/>
          <w:kern w:val="0"/>
          <w:sz w:val="28"/>
          <w:szCs w:val="28"/>
          <w:highlight w:val="none"/>
          <w:lang w:val="en-US" w:eastAsia="zh-CN"/>
        </w:rPr>
        <w:t xml:space="preserve"> </w:t>
      </w:r>
      <w:r>
        <w:rPr>
          <w:rFonts w:hint="eastAsia" w:ascii="仿宋" w:hAnsi="仿宋" w:eastAsia="仿宋" w:cs="仿宋"/>
          <w:bCs/>
          <w:color w:val="auto"/>
          <w:kern w:val="0"/>
          <w:sz w:val="28"/>
          <w:szCs w:val="28"/>
          <w:highlight w:val="none"/>
        </w:rPr>
        <w:t xml:space="preserve"> 期：</w:t>
      </w:r>
    </w:p>
    <w:p w14:paraId="52E08DED">
      <w:pPr>
        <w:ind w:firstLine="5600" w:firstLineChars="2000"/>
        <w:jc w:val="left"/>
        <w:rPr>
          <w:rFonts w:hint="eastAsia" w:ascii="仿宋" w:hAnsi="仿宋" w:eastAsia="仿宋" w:cs="仿宋"/>
          <w:bCs/>
          <w:color w:val="auto"/>
          <w:kern w:val="0"/>
          <w:sz w:val="28"/>
          <w:szCs w:val="28"/>
          <w:highlight w:val="none"/>
        </w:rPr>
      </w:pPr>
    </w:p>
    <w:p w14:paraId="1185C00E">
      <w:pPr>
        <w:jc w:val="left"/>
        <w:rPr>
          <w:rFonts w:hint="eastAsia" w:ascii="仿宋" w:hAnsi="仿宋" w:eastAsia="仿宋" w:cs="仿宋"/>
          <w:bCs/>
          <w:color w:val="auto"/>
          <w:kern w:val="0"/>
          <w:sz w:val="24"/>
          <w:szCs w:val="24"/>
          <w:highlight w:val="none"/>
          <w:u w:val="dash"/>
          <w:lang w:val="en-US" w:eastAsia="zh-CN"/>
        </w:rPr>
      </w:pPr>
      <w:r>
        <w:rPr>
          <w:rFonts w:hint="eastAsia" w:ascii="仿宋" w:hAnsi="仿宋" w:eastAsia="仿宋" w:cs="仿宋"/>
          <w:bCs/>
          <w:color w:val="auto"/>
          <w:kern w:val="0"/>
          <w:sz w:val="24"/>
          <w:szCs w:val="24"/>
          <w:highlight w:val="none"/>
          <w:u w:val="dash"/>
          <w:lang w:val="en-US" w:eastAsia="zh-CN"/>
        </w:rPr>
        <w:t xml:space="preserve">                                                                                  </w:t>
      </w:r>
    </w:p>
    <w:p w14:paraId="6C8D6628">
      <w:pPr>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使用说明：</w:t>
      </w:r>
    </w:p>
    <w:p w14:paraId="369CDB25">
      <w:pPr>
        <w:numPr>
          <w:ilvl w:val="0"/>
          <w:numId w:val="0"/>
        </w:numPr>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1、本费用结清声明仅适用于“材料类”的购销合同。</w:t>
      </w:r>
    </w:p>
    <w:p w14:paraId="703D8BB9">
      <w:pPr>
        <w:numPr>
          <w:ilvl w:val="0"/>
          <w:numId w:val="0"/>
        </w:numPr>
        <w:ind w:leftChars="0"/>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2、承诺单位须在“中泰建安”支付该合同最后一笔款前完成本文件签章，并将原件给“中泰建安”留存作为支付最后一笔款的附件。</w:t>
      </w:r>
    </w:p>
    <w:p w14:paraId="1B949869">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77EE8C6A">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4F657405">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3FA548F1">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53F8C865">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2E805558">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0C7AD78F">
      <w:pPr>
        <w:jc w:val="both"/>
        <w:outlineLvl w:val="0"/>
        <w:rPr>
          <w:rFonts w:hint="eastAsia" w:ascii="仿宋" w:hAnsi="仿宋" w:eastAsia="仿宋" w:cs="仿宋"/>
          <w:b/>
          <w:bCs/>
          <w:color w:val="auto"/>
          <w:sz w:val="44"/>
          <w:szCs w:val="44"/>
          <w:highlight w:val="none"/>
          <w:lang w:val="en-US" w:eastAsia="zh-CN"/>
        </w:rPr>
      </w:pPr>
    </w:p>
    <w:p w14:paraId="44554EF0">
      <w:pPr>
        <w:jc w:val="right"/>
        <w:outlineLvl w:val="0"/>
        <w:rPr>
          <w:rFonts w:hint="eastAsia" w:ascii="仿宋" w:hAnsi="仿宋" w:eastAsia="仿宋" w:cs="仿宋"/>
          <w:b/>
          <w:bCs/>
          <w:color w:val="auto"/>
          <w:sz w:val="44"/>
          <w:szCs w:val="44"/>
          <w:highlight w:val="none"/>
          <w:lang w:val="en-US" w:eastAsia="zh-CN"/>
        </w:rPr>
      </w:pPr>
      <w:bookmarkStart w:id="91" w:name="_Toc10774"/>
      <w:bookmarkStart w:id="92" w:name="_Toc29300"/>
      <w:r>
        <w:rPr>
          <w:rFonts w:hint="eastAsia" w:ascii="仿宋" w:hAnsi="仿宋" w:eastAsia="仿宋" w:cs="仿宋"/>
          <w:b/>
          <w:bCs/>
          <w:color w:val="auto"/>
          <w:sz w:val="44"/>
          <w:szCs w:val="44"/>
          <w:highlight w:val="none"/>
          <w:lang w:val="en-US" w:eastAsia="zh-CN"/>
        </w:rPr>
        <w:t>附件六</w:t>
      </w:r>
      <w:bookmarkEnd w:id="91"/>
      <w:bookmarkEnd w:id="92"/>
    </w:p>
    <w:p w14:paraId="2D52F508">
      <w:pPr>
        <w:jc w:val="right"/>
        <w:outlineLvl w:val="0"/>
        <w:rPr>
          <w:highlight w:val="none"/>
        </w:rPr>
      </w:pPr>
    </w:p>
    <w:p w14:paraId="787C65E8">
      <w:pPr>
        <w:jc w:val="right"/>
        <w:outlineLvl w:val="0"/>
        <w:rPr>
          <w:highlight w:val="none"/>
        </w:rPr>
      </w:pPr>
      <w:bookmarkStart w:id="93" w:name="_Toc16365"/>
      <w:bookmarkStart w:id="94" w:name="_Toc16121"/>
      <w:r>
        <w:rPr>
          <w:highlight w:val="none"/>
        </w:rPr>
        <w:drawing>
          <wp:inline distT="0" distB="0" distL="114300" distR="114300">
            <wp:extent cx="6263640" cy="5674995"/>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rcRect b="-1338"/>
                    <a:stretch>
                      <a:fillRect/>
                    </a:stretch>
                  </pic:blipFill>
                  <pic:spPr>
                    <a:xfrm>
                      <a:off x="0" y="0"/>
                      <a:ext cx="6263640" cy="5674995"/>
                    </a:xfrm>
                    <a:prstGeom prst="rect">
                      <a:avLst/>
                    </a:prstGeom>
                    <a:noFill/>
                    <a:ln>
                      <a:noFill/>
                    </a:ln>
                  </pic:spPr>
                </pic:pic>
              </a:graphicData>
            </a:graphic>
          </wp:inline>
        </w:drawing>
      </w:r>
      <w:bookmarkEnd w:id="93"/>
      <w:bookmarkEnd w:id="94"/>
    </w:p>
    <w:p w14:paraId="4709B5BF">
      <w:pPr>
        <w:jc w:val="right"/>
        <w:outlineLvl w:val="0"/>
        <w:rPr>
          <w:highlight w:val="none"/>
        </w:rPr>
      </w:pPr>
    </w:p>
    <w:p w14:paraId="63CE36BC">
      <w:pPr>
        <w:jc w:val="right"/>
        <w:outlineLvl w:val="0"/>
        <w:rPr>
          <w:highlight w:val="none"/>
        </w:rPr>
      </w:pPr>
    </w:p>
    <w:p w14:paraId="7D84D817">
      <w:pPr>
        <w:jc w:val="right"/>
        <w:outlineLvl w:val="0"/>
        <w:rPr>
          <w:highlight w:val="none"/>
        </w:rPr>
      </w:pPr>
    </w:p>
    <w:p w14:paraId="19D7860A">
      <w:pPr>
        <w:jc w:val="right"/>
        <w:outlineLvl w:val="0"/>
        <w:rPr>
          <w:highlight w:val="none"/>
        </w:rPr>
      </w:pPr>
    </w:p>
    <w:p w14:paraId="4DEA01E7">
      <w:pPr>
        <w:jc w:val="right"/>
        <w:outlineLvl w:val="0"/>
        <w:rPr>
          <w:highlight w:val="none"/>
        </w:rPr>
      </w:pPr>
    </w:p>
    <w:p w14:paraId="093E7002">
      <w:pPr>
        <w:jc w:val="right"/>
        <w:outlineLvl w:val="0"/>
        <w:rPr>
          <w:highlight w:val="none"/>
        </w:rPr>
      </w:pPr>
    </w:p>
    <w:p w14:paraId="5849B5DB">
      <w:pPr>
        <w:jc w:val="right"/>
        <w:outlineLvl w:val="0"/>
        <w:rPr>
          <w:highlight w:val="none"/>
        </w:rPr>
      </w:pPr>
    </w:p>
    <w:p w14:paraId="058FDECB">
      <w:pPr>
        <w:jc w:val="right"/>
        <w:outlineLvl w:val="0"/>
        <w:rPr>
          <w:highlight w:val="none"/>
        </w:rPr>
      </w:pPr>
    </w:p>
    <w:p w14:paraId="42428A95">
      <w:pPr>
        <w:jc w:val="right"/>
        <w:outlineLvl w:val="0"/>
        <w:rPr>
          <w:highlight w:val="none"/>
        </w:rPr>
      </w:pPr>
    </w:p>
    <w:p w14:paraId="0947311E">
      <w:pPr>
        <w:jc w:val="right"/>
        <w:outlineLvl w:val="0"/>
        <w:rPr>
          <w:highlight w:val="none"/>
        </w:rPr>
      </w:pPr>
    </w:p>
    <w:p w14:paraId="6DFB24F4">
      <w:pPr>
        <w:jc w:val="right"/>
        <w:outlineLvl w:val="0"/>
        <w:rPr>
          <w:highlight w:val="none"/>
        </w:rPr>
      </w:pPr>
    </w:p>
    <w:p w14:paraId="501A2303">
      <w:pPr>
        <w:jc w:val="right"/>
        <w:outlineLvl w:val="0"/>
        <w:rPr>
          <w:highlight w:val="none"/>
        </w:rPr>
      </w:pPr>
    </w:p>
    <w:p w14:paraId="34126144">
      <w:pPr>
        <w:jc w:val="right"/>
        <w:outlineLvl w:val="0"/>
        <w:rPr>
          <w:highlight w:val="none"/>
        </w:rPr>
      </w:pPr>
    </w:p>
    <w:p w14:paraId="75EE5A66">
      <w:pPr>
        <w:jc w:val="right"/>
        <w:outlineLvl w:val="0"/>
        <w:rPr>
          <w:highlight w:val="none"/>
        </w:rPr>
      </w:pPr>
    </w:p>
    <w:p w14:paraId="664C9457">
      <w:pPr>
        <w:spacing w:before="63" w:line="219" w:lineRule="auto"/>
        <w:jc w:val="right"/>
        <w:rPr>
          <w:rFonts w:hint="eastAsia" w:ascii="仿宋" w:hAnsi="仿宋" w:eastAsia="仿宋" w:cs="仿宋"/>
          <w:color w:val="auto"/>
          <w:sz w:val="44"/>
          <w:szCs w:val="44"/>
          <w:highlight w:val="none"/>
        </w:rPr>
      </w:pPr>
      <w:r>
        <w:rPr>
          <w:rFonts w:hint="eastAsia" w:ascii="仿宋" w:hAnsi="仿宋" w:eastAsia="仿宋" w:cs="仿宋"/>
          <w:color w:val="auto"/>
          <w:spacing w:val="-13"/>
          <w:sz w:val="44"/>
          <w:szCs w:val="44"/>
          <w:highlight w:val="none"/>
        </w:rPr>
        <w:t>附件</w:t>
      </w:r>
      <w:r>
        <w:rPr>
          <w:rFonts w:hint="eastAsia" w:ascii="仿宋" w:hAnsi="仿宋" w:eastAsia="仿宋" w:cs="仿宋"/>
          <w:color w:val="auto"/>
          <w:spacing w:val="-13"/>
          <w:sz w:val="44"/>
          <w:szCs w:val="44"/>
          <w:highlight w:val="none"/>
          <w:lang w:val="en-US" w:eastAsia="zh-CN"/>
        </w:rPr>
        <w:t>七</w:t>
      </w:r>
    </w:p>
    <w:p w14:paraId="443F8579">
      <w:pPr>
        <w:pStyle w:val="3"/>
        <w:tabs>
          <w:tab w:val="left" w:pos="5740"/>
        </w:tabs>
        <w:spacing w:before="111" w:line="184" w:lineRule="auto"/>
        <w:ind w:left="0"/>
        <w:jc w:val="center"/>
        <w:outlineLvl w:val="0"/>
        <w:rPr>
          <w:rFonts w:hint="eastAsia" w:ascii="宋体" w:hAnsi="宋体" w:eastAsia="宋体" w:cs="宋体"/>
          <w:b/>
          <w:bCs/>
          <w:color w:val="auto"/>
          <w:sz w:val="44"/>
          <w:szCs w:val="40"/>
          <w:highlight w:val="none"/>
          <w:lang w:val="en-US" w:eastAsia="zh-CN"/>
        </w:rPr>
      </w:pPr>
      <w:bookmarkStart w:id="95" w:name="_Toc8959"/>
      <w:bookmarkStart w:id="96" w:name="_Toc28324"/>
      <w:r>
        <w:rPr>
          <w:rFonts w:hint="eastAsia" w:ascii="宋体" w:hAnsi="宋体" w:eastAsia="宋体" w:cs="宋体"/>
          <w:b/>
          <w:bCs/>
          <w:color w:val="auto"/>
          <w:sz w:val="32"/>
          <w:szCs w:val="32"/>
          <w:highlight w:val="none"/>
          <w:lang w:val="en-US" w:eastAsia="zh-CN"/>
        </w:rPr>
        <w:t>xxx</w:t>
      </w:r>
      <w:r>
        <w:rPr>
          <w:rFonts w:hint="eastAsia" w:ascii="宋体" w:hAnsi="宋体" w:eastAsia="宋体" w:cs="宋体"/>
          <w:b/>
          <w:bCs/>
          <w:color w:val="auto"/>
          <w:sz w:val="32"/>
          <w:szCs w:val="32"/>
          <w:highlight w:val="none"/>
        </w:rPr>
        <w:t>公司</w:t>
      </w:r>
      <w:r>
        <w:rPr>
          <w:rFonts w:hint="eastAsia" w:ascii="宋体" w:hAnsi="宋体" w:eastAsia="宋体" w:cs="宋体"/>
          <w:b/>
          <w:bCs/>
          <w:color w:val="auto"/>
          <w:sz w:val="32"/>
          <w:szCs w:val="32"/>
          <w:highlight w:val="none"/>
          <w:u w:val="single" w:color="auto"/>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pacing w:val="4"/>
          <w:sz w:val="32"/>
          <w:szCs w:val="32"/>
          <w:highlight w:val="none"/>
          <w:u w:val="single" w:color="auto"/>
        </w:rPr>
        <w:t xml:space="preserve">   </w:t>
      </w:r>
      <w:r>
        <w:rPr>
          <w:rFonts w:hint="eastAsia" w:ascii="宋体" w:hAnsi="宋体" w:eastAsia="宋体" w:cs="宋体"/>
          <w:b/>
          <w:bCs/>
          <w:color w:val="auto"/>
          <w:spacing w:val="-72"/>
          <w:sz w:val="32"/>
          <w:szCs w:val="32"/>
          <w:highlight w:val="none"/>
        </w:rPr>
        <w:t xml:space="preserve"> </w:t>
      </w:r>
      <w:r>
        <w:rPr>
          <w:rFonts w:hint="eastAsia" w:ascii="宋体" w:hAnsi="宋体" w:eastAsia="宋体" w:cs="宋体"/>
          <w:b/>
          <w:bCs/>
          <w:color w:val="auto"/>
          <w:sz w:val="32"/>
          <w:szCs w:val="32"/>
          <w:highlight w:val="none"/>
        </w:rPr>
        <w:t>月对账单</w:t>
      </w:r>
      <w:bookmarkEnd w:id="95"/>
      <w:bookmarkEnd w:id="96"/>
    </w:p>
    <w:p w14:paraId="3ADD3160">
      <w:pPr>
        <w:rPr>
          <w:rFonts w:hint="default"/>
          <w:color w:val="auto"/>
          <w:highlight w:val="none"/>
          <w:lang w:val="en-US" w:eastAsia="zh-CN"/>
        </w:rPr>
      </w:pPr>
    </w:p>
    <w:p w14:paraId="5D4E7BFE">
      <w:pPr>
        <w:pStyle w:val="3"/>
        <w:spacing w:before="0" w:line="309" w:lineRule="exact"/>
        <w:ind w:left="0"/>
        <w:rPr>
          <w:rFonts w:hint="eastAsia" w:ascii="宋体" w:hAnsi="宋体" w:eastAsia="宋体" w:cs="宋体"/>
          <w:color w:val="auto"/>
          <w:spacing w:val="8"/>
          <w:position w:val="10"/>
          <w:sz w:val="20"/>
          <w:szCs w:val="20"/>
          <w:highlight w:val="none"/>
        </w:rPr>
      </w:pPr>
      <w:r>
        <w:rPr>
          <w:rFonts w:hint="eastAsia" w:ascii="宋体" w:hAnsi="宋体" w:eastAsia="宋体" w:cs="宋体"/>
          <w:color w:val="auto"/>
          <w:spacing w:val="8"/>
          <w:position w:val="10"/>
          <w:sz w:val="20"/>
          <w:szCs w:val="20"/>
          <w:highlight w:val="none"/>
        </w:rPr>
        <w:t>项目名称：</w:t>
      </w:r>
    </w:p>
    <w:p w14:paraId="2F2F6078">
      <w:pPr>
        <w:rPr>
          <w:rFonts w:hint="eastAsia" w:ascii="宋体" w:hAnsi="宋体" w:eastAsia="宋体" w:cs="宋体"/>
          <w:color w:val="auto"/>
          <w:spacing w:val="8"/>
          <w:position w:val="10"/>
          <w:sz w:val="20"/>
          <w:szCs w:val="20"/>
          <w:highlight w:val="none"/>
        </w:rPr>
      </w:pPr>
      <w:r>
        <w:rPr>
          <w:rFonts w:hint="eastAsia" w:ascii="宋体" w:hAnsi="宋体" w:eastAsia="宋体" w:cs="宋体"/>
          <w:color w:val="auto"/>
          <w:spacing w:val="8"/>
          <w:position w:val="10"/>
          <w:sz w:val="20"/>
          <w:szCs w:val="20"/>
          <w:highlight w:val="none"/>
        </w:rPr>
        <w:t>收货单位：</w:t>
      </w:r>
    </w:p>
    <w:tbl>
      <w:tblPr>
        <w:tblStyle w:val="14"/>
        <w:tblW w:w="9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535"/>
        <w:gridCol w:w="578"/>
        <w:gridCol w:w="556"/>
        <w:gridCol w:w="502"/>
        <w:gridCol w:w="524"/>
        <w:gridCol w:w="600"/>
        <w:gridCol w:w="567"/>
        <w:gridCol w:w="556"/>
        <w:gridCol w:w="910"/>
        <w:gridCol w:w="940"/>
        <w:gridCol w:w="1772"/>
        <w:gridCol w:w="927"/>
      </w:tblGrid>
      <w:tr w14:paraId="2C50A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468" w:type="dxa"/>
            <w:noWrap w:val="0"/>
            <w:vAlign w:val="center"/>
          </w:tcPr>
          <w:p w14:paraId="70BA2E66">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序号</w:t>
            </w:r>
          </w:p>
        </w:tc>
        <w:tc>
          <w:tcPr>
            <w:tcW w:w="535" w:type="dxa"/>
            <w:noWrap w:val="0"/>
            <w:vAlign w:val="center"/>
          </w:tcPr>
          <w:p w14:paraId="6DC48BA1">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送货日期</w:t>
            </w:r>
          </w:p>
        </w:tc>
        <w:tc>
          <w:tcPr>
            <w:tcW w:w="578" w:type="dxa"/>
            <w:noWrap w:val="0"/>
            <w:vAlign w:val="center"/>
          </w:tcPr>
          <w:p w14:paraId="60742A75">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送货单号</w:t>
            </w:r>
          </w:p>
        </w:tc>
        <w:tc>
          <w:tcPr>
            <w:tcW w:w="556" w:type="dxa"/>
            <w:noWrap w:val="0"/>
            <w:vAlign w:val="center"/>
          </w:tcPr>
          <w:p w14:paraId="0F402AEB">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签收单号</w:t>
            </w:r>
          </w:p>
        </w:tc>
        <w:tc>
          <w:tcPr>
            <w:tcW w:w="502" w:type="dxa"/>
            <w:noWrap w:val="0"/>
            <w:vAlign w:val="center"/>
          </w:tcPr>
          <w:p w14:paraId="7D5322C5">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过磅单号</w:t>
            </w:r>
          </w:p>
        </w:tc>
        <w:tc>
          <w:tcPr>
            <w:tcW w:w="524" w:type="dxa"/>
            <w:noWrap w:val="0"/>
            <w:vAlign w:val="center"/>
          </w:tcPr>
          <w:p w14:paraId="505D29C1">
            <w:pPr>
              <w:spacing w:before="0" w:line="190" w:lineRule="auto"/>
              <w:ind w:firstLine="0" w:firstLineChars="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货物名称</w:t>
            </w:r>
          </w:p>
        </w:tc>
        <w:tc>
          <w:tcPr>
            <w:tcW w:w="600" w:type="dxa"/>
            <w:noWrap w:val="0"/>
            <w:vAlign w:val="center"/>
          </w:tcPr>
          <w:p w14:paraId="7B9A2897">
            <w:pPr>
              <w:spacing w:before="0" w:line="191" w:lineRule="auto"/>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5"/>
                <w:sz w:val="17"/>
                <w:szCs w:val="17"/>
                <w:highlight w:val="none"/>
              </w:rPr>
              <w:t>品牌</w:t>
            </w:r>
          </w:p>
        </w:tc>
        <w:tc>
          <w:tcPr>
            <w:tcW w:w="567" w:type="dxa"/>
            <w:noWrap w:val="0"/>
            <w:vAlign w:val="center"/>
          </w:tcPr>
          <w:p w14:paraId="3C394D2A">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规格型号</w:t>
            </w:r>
          </w:p>
        </w:tc>
        <w:tc>
          <w:tcPr>
            <w:tcW w:w="556" w:type="dxa"/>
            <w:noWrap w:val="0"/>
            <w:vAlign w:val="center"/>
          </w:tcPr>
          <w:p w14:paraId="638F9855">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单位</w:t>
            </w:r>
          </w:p>
        </w:tc>
        <w:tc>
          <w:tcPr>
            <w:tcW w:w="910" w:type="dxa"/>
            <w:noWrap w:val="0"/>
            <w:vAlign w:val="center"/>
          </w:tcPr>
          <w:p w14:paraId="174353FA">
            <w:pPr>
              <w:spacing w:before="0" w:line="19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数量</w:t>
            </w:r>
          </w:p>
        </w:tc>
        <w:tc>
          <w:tcPr>
            <w:tcW w:w="940" w:type="dxa"/>
            <w:noWrap w:val="0"/>
            <w:vAlign w:val="center"/>
          </w:tcPr>
          <w:p w14:paraId="20BED72A">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单价</w:t>
            </w:r>
          </w:p>
        </w:tc>
        <w:tc>
          <w:tcPr>
            <w:tcW w:w="1772" w:type="dxa"/>
            <w:noWrap w:val="0"/>
            <w:vAlign w:val="center"/>
          </w:tcPr>
          <w:p w14:paraId="41ADE203">
            <w:pPr>
              <w:spacing w:before="0" w:line="19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金额</w:t>
            </w:r>
          </w:p>
        </w:tc>
        <w:tc>
          <w:tcPr>
            <w:tcW w:w="927" w:type="dxa"/>
            <w:noWrap w:val="0"/>
            <w:vAlign w:val="center"/>
          </w:tcPr>
          <w:p w14:paraId="66F3C85C">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备注</w:t>
            </w:r>
          </w:p>
        </w:tc>
      </w:tr>
      <w:tr w14:paraId="097E7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043E4909">
            <w:pPr>
              <w:spacing w:before="0" w:line="18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1</w:t>
            </w:r>
          </w:p>
        </w:tc>
        <w:tc>
          <w:tcPr>
            <w:tcW w:w="535" w:type="dxa"/>
            <w:noWrap w:val="0"/>
            <w:vAlign w:val="center"/>
          </w:tcPr>
          <w:p w14:paraId="23E0D3E1">
            <w:pPr>
              <w:pStyle w:val="15"/>
              <w:jc w:val="center"/>
              <w:rPr>
                <w:color w:val="auto"/>
                <w:highlight w:val="none"/>
              </w:rPr>
            </w:pPr>
          </w:p>
        </w:tc>
        <w:tc>
          <w:tcPr>
            <w:tcW w:w="578" w:type="dxa"/>
            <w:noWrap w:val="0"/>
            <w:vAlign w:val="center"/>
          </w:tcPr>
          <w:p w14:paraId="71671C33">
            <w:pPr>
              <w:pStyle w:val="15"/>
              <w:jc w:val="center"/>
              <w:rPr>
                <w:color w:val="auto"/>
                <w:highlight w:val="none"/>
              </w:rPr>
            </w:pPr>
          </w:p>
        </w:tc>
        <w:tc>
          <w:tcPr>
            <w:tcW w:w="556" w:type="dxa"/>
            <w:noWrap w:val="0"/>
            <w:vAlign w:val="center"/>
          </w:tcPr>
          <w:p w14:paraId="5D41348D">
            <w:pPr>
              <w:pStyle w:val="15"/>
              <w:jc w:val="center"/>
              <w:rPr>
                <w:color w:val="auto"/>
                <w:highlight w:val="none"/>
              </w:rPr>
            </w:pPr>
          </w:p>
        </w:tc>
        <w:tc>
          <w:tcPr>
            <w:tcW w:w="502" w:type="dxa"/>
            <w:noWrap w:val="0"/>
            <w:vAlign w:val="center"/>
          </w:tcPr>
          <w:p w14:paraId="685F48E7">
            <w:pPr>
              <w:pStyle w:val="15"/>
              <w:jc w:val="center"/>
              <w:rPr>
                <w:color w:val="auto"/>
                <w:highlight w:val="none"/>
              </w:rPr>
            </w:pPr>
          </w:p>
        </w:tc>
        <w:tc>
          <w:tcPr>
            <w:tcW w:w="524" w:type="dxa"/>
            <w:noWrap w:val="0"/>
            <w:vAlign w:val="center"/>
          </w:tcPr>
          <w:p w14:paraId="6A6EDCE3">
            <w:pPr>
              <w:pStyle w:val="15"/>
              <w:jc w:val="center"/>
              <w:rPr>
                <w:color w:val="auto"/>
                <w:highlight w:val="none"/>
              </w:rPr>
            </w:pPr>
          </w:p>
        </w:tc>
        <w:tc>
          <w:tcPr>
            <w:tcW w:w="600" w:type="dxa"/>
            <w:noWrap w:val="0"/>
            <w:vAlign w:val="center"/>
          </w:tcPr>
          <w:p w14:paraId="6D95A5E1">
            <w:pPr>
              <w:pStyle w:val="15"/>
              <w:jc w:val="center"/>
              <w:rPr>
                <w:color w:val="auto"/>
                <w:highlight w:val="none"/>
              </w:rPr>
            </w:pPr>
          </w:p>
        </w:tc>
        <w:tc>
          <w:tcPr>
            <w:tcW w:w="567" w:type="dxa"/>
            <w:noWrap w:val="0"/>
            <w:vAlign w:val="center"/>
          </w:tcPr>
          <w:p w14:paraId="119BFBF0">
            <w:pPr>
              <w:pStyle w:val="15"/>
              <w:jc w:val="center"/>
              <w:rPr>
                <w:color w:val="auto"/>
                <w:highlight w:val="none"/>
              </w:rPr>
            </w:pPr>
          </w:p>
        </w:tc>
        <w:tc>
          <w:tcPr>
            <w:tcW w:w="556" w:type="dxa"/>
            <w:noWrap w:val="0"/>
            <w:vAlign w:val="center"/>
          </w:tcPr>
          <w:p w14:paraId="550A5960">
            <w:pPr>
              <w:pStyle w:val="15"/>
              <w:jc w:val="center"/>
              <w:rPr>
                <w:color w:val="auto"/>
                <w:highlight w:val="none"/>
              </w:rPr>
            </w:pPr>
          </w:p>
        </w:tc>
        <w:tc>
          <w:tcPr>
            <w:tcW w:w="910" w:type="dxa"/>
            <w:noWrap w:val="0"/>
            <w:vAlign w:val="center"/>
          </w:tcPr>
          <w:p w14:paraId="00AAE9C1">
            <w:pPr>
              <w:pStyle w:val="15"/>
              <w:jc w:val="center"/>
              <w:rPr>
                <w:color w:val="auto"/>
                <w:highlight w:val="none"/>
              </w:rPr>
            </w:pPr>
          </w:p>
        </w:tc>
        <w:tc>
          <w:tcPr>
            <w:tcW w:w="940" w:type="dxa"/>
            <w:noWrap w:val="0"/>
            <w:vAlign w:val="center"/>
          </w:tcPr>
          <w:p w14:paraId="4CBD7D71">
            <w:pPr>
              <w:pStyle w:val="15"/>
              <w:jc w:val="center"/>
              <w:rPr>
                <w:color w:val="auto"/>
                <w:highlight w:val="none"/>
              </w:rPr>
            </w:pPr>
          </w:p>
        </w:tc>
        <w:tc>
          <w:tcPr>
            <w:tcW w:w="1772" w:type="dxa"/>
            <w:noWrap w:val="0"/>
            <w:vAlign w:val="center"/>
          </w:tcPr>
          <w:p w14:paraId="15F26169">
            <w:pPr>
              <w:pStyle w:val="15"/>
              <w:jc w:val="center"/>
              <w:rPr>
                <w:color w:val="auto"/>
                <w:highlight w:val="none"/>
              </w:rPr>
            </w:pPr>
          </w:p>
        </w:tc>
        <w:tc>
          <w:tcPr>
            <w:tcW w:w="927" w:type="dxa"/>
            <w:noWrap w:val="0"/>
            <w:vAlign w:val="center"/>
          </w:tcPr>
          <w:p w14:paraId="18C27658">
            <w:pPr>
              <w:pStyle w:val="15"/>
              <w:jc w:val="center"/>
              <w:rPr>
                <w:color w:val="auto"/>
                <w:highlight w:val="none"/>
              </w:rPr>
            </w:pPr>
          </w:p>
        </w:tc>
      </w:tr>
      <w:tr w14:paraId="71AE1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7270538F">
            <w:pPr>
              <w:spacing w:before="0" w:line="18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2</w:t>
            </w:r>
          </w:p>
        </w:tc>
        <w:tc>
          <w:tcPr>
            <w:tcW w:w="535" w:type="dxa"/>
            <w:noWrap w:val="0"/>
            <w:vAlign w:val="center"/>
          </w:tcPr>
          <w:p w14:paraId="729491A2">
            <w:pPr>
              <w:pStyle w:val="15"/>
              <w:jc w:val="center"/>
              <w:rPr>
                <w:color w:val="auto"/>
                <w:highlight w:val="none"/>
              </w:rPr>
            </w:pPr>
          </w:p>
        </w:tc>
        <w:tc>
          <w:tcPr>
            <w:tcW w:w="578" w:type="dxa"/>
            <w:noWrap w:val="0"/>
            <w:vAlign w:val="center"/>
          </w:tcPr>
          <w:p w14:paraId="59521F31">
            <w:pPr>
              <w:pStyle w:val="15"/>
              <w:jc w:val="center"/>
              <w:rPr>
                <w:color w:val="auto"/>
                <w:highlight w:val="none"/>
              </w:rPr>
            </w:pPr>
          </w:p>
        </w:tc>
        <w:tc>
          <w:tcPr>
            <w:tcW w:w="556" w:type="dxa"/>
            <w:noWrap w:val="0"/>
            <w:vAlign w:val="center"/>
          </w:tcPr>
          <w:p w14:paraId="0ADB0B2B">
            <w:pPr>
              <w:pStyle w:val="15"/>
              <w:jc w:val="center"/>
              <w:rPr>
                <w:color w:val="auto"/>
                <w:highlight w:val="none"/>
              </w:rPr>
            </w:pPr>
          </w:p>
        </w:tc>
        <w:tc>
          <w:tcPr>
            <w:tcW w:w="502" w:type="dxa"/>
            <w:noWrap w:val="0"/>
            <w:vAlign w:val="center"/>
          </w:tcPr>
          <w:p w14:paraId="1C002935">
            <w:pPr>
              <w:pStyle w:val="15"/>
              <w:jc w:val="center"/>
              <w:rPr>
                <w:color w:val="auto"/>
                <w:highlight w:val="none"/>
              </w:rPr>
            </w:pPr>
          </w:p>
        </w:tc>
        <w:tc>
          <w:tcPr>
            <w:tcW w:w="524" w:type="dxa"/>
            <w:noWrap w:val="0"/>
            <w:vAlign w:val="center"/>
          </w:tcPr>
          <w:p w14:paraId="67DAF9BF">
            <w:pPr>
              <w:pStyle w:val="15"/>
              <w:jc w:val="center"/>
              <w:rPr>
                <w:color w:val="auto"/>
                <w:highlight w:val="none"/>
              </w:rPr>
            </w:pPr>
          </w:p>
        </w:tc>
        <w:tc>
          <w:tcPr>
            <w:tcW w:w="600" w:type="dxa"/>
            <w:noWrap w:val="0"/>
            <w:vAlign w:val="center"/>
          </w:tcPr>
          <w:p w14:paraId="685A77CF">
            <w:pPr>
              <w:pStyle w:val="15"/>
              <w:jc w:val="center"/>
              <w:rPr>
                <w:color w:val="auto"/>
                <w:highlight w:val="none"/>
              </w:rPr>
            </w:pPr>
          </w:p>
        </w:tc>
        <w:tc>
          <w:tcPr>
            <w:tcW w:w="567" w:type="dxa"/>
            <w:noWrap w:val="0"/>
            <w:vAlign w:val="center"/>
          </w:tcPr>
          <w:p w14:paraId="66AA3F76">
            <w:pPr>
              <w:pStyle w:val="15"/>
              <w:jc w:val="center"/>
              <w:rPr>
                <w:color w:val="auto"/>
                <w:highlight w:val="none"/>
              </w:rPr>
            </w:pPr>
          </w:p>
        </w:tc>
        <w:tc>
          <w:tcPr>
            <w:tcW w:w="556" w:type="dxa"/>
            <w:noWrap w:val="0"/>
            <w:vAlign w:val="center"/>
          </w:tcPr>
          <w:p w14:paraId="63DF9659">
            <w:pPr>
              <w:pStyle w:val="15"/>
              <w:jc w:val="center"/>
              <w:rPr>
                <w:color w:val="auto"/>
                <w:highlight w:val="none"/>
              </w:rPr>
            </w:pPr>
          </w:p>
        </w:tc>
        <w:tc>
          <w:tcPr>
            <w:tcW w:w="910" w:type="dxa"/>
            <w:noWrap w:val="0"/>
            <w:vAlign w:val="center"/>
          </w:tcPr>
          <w:p w14:paraId="4B99DBF4">
            <w:pPr>
              <w:pStyle w:val="15"/>
              <w:jc w:val="center"/>
              <w:rPr>
                <w:color w:val="auto"/>
                <w:highlight w:val="none"/>
              </w:rPr>
            </w:pPr>
          </w:p>
        </w:tc>
        <w:tc>
          <w:tcPr>
            <w:tcW w:w="940" w:type="dxa"/>
            <w:noWrap w:val="0"/>
            <w:vAlign w:val="center"/>
          </w:tcPr>
          <w:p w14:paraId="7A948DBD">
            <w:pPr>
              <w:pStyle w:val="15"/>
              <w:jc w:val="center"/>
              <w:rPr>
                <w:color w:val="auto"/>
                <w:highlight w:val="none"/>
              </w:rPr>
            </w:pPr>
          </w:p>
        </w:tc>
        <w:tc>
          <w:tcPr>
            <w:tcW w:w="1772" w:type="dxa"/>
            <w:noWrap w:val="0"/>
            <w:vAlign w:val="center"/>
          </w:tcPr>
          <w:p w14:paraId="53B28F36">
            <w:pPr>
              <w:pStyle w:val="15"/>
              <w:jc w:val="center"/>
              <w:rPr>
                <w:color w:val="auto"/>
                <w:highlight w:val="none"/>
              </w:rPr>
            </w:pPr>
          </w:p>
        </w:tc>
        <w:tc>
          <w:tcPr>
            <w:tcW w:w="927" w:type="dxa"/>
            <w:noWrap w:val="0"/>
            <w:vAlign w:val="center"/>
          </w:tcPr>
          <w:p w14:paraId="6FAFB29B">
            <w:pPr>
              <w:pStyle w:val="15"/>
              <w:jc w:val="center"/>
              <w:rPr>
                <w:color w:val="auto"/>
                <w:highlight w:val="none"/>
              </w:rPr>
            </w:pPr>
          </w:p>
        </w:tc>
      </w:tr>
      <w:tr w14:paraId="5ED8D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13B9AADB">
            <w:pPr>
              <w:spacing w:before="0" w:line="18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3</w:t>
            </w:r>
          </w:p>
        </w:tc>
        <w:tc>
          <w:tcPr>
            <w:tcW w:w="535" w:type="dxa"/>
            <w:noWrap w:val="0"/>
            <w:vAlign w:val="center"/>
          </w:tcPr>
          <w:p w14:paraId="31CE4AC3">
            <w:pPr>
              <w:pStyle w:val="15"/>
              <w:jc w:val="center"/>
              <w:rPr>
                <w:color w:val="auto"/>
                <w:highlight w:val="none"/>
              </w:rPr>
            </w:pPr>
          </w:p>
        </w:tc>
        <w:tc>
          <w:tcPr>
            <w:tcW w:w="578" w:type="dxa"/>
            <w:noWrap w:val="0"/>
            <w:vAlign w:val="center"/>
          </w:tcPr>
          <w:p w14:paraId="01600869">
            <w:pPr>
              <w:pStyle w:val="15"/>
              <w:jc w:val="center"/>
              <w:rPr>
                <w:color w:val="auto"/>
                <w:highlight w:val="none"/>
              </w:rPr>
            </w:pPr>
          </w:p>
        </w:tc>
        <w:tc>
          <w:tcPr>
            <w:tcW w:w="556" w:type="dxa"/>
            <w:noWrap w:val="0"/>
            <w:vAlign w:val="center"/>
          </w:tcPr>
          <w:p w14:paraId="3429E3A9">
            <w:pPr>
              <w:pStyle w:val="15"/>
              <w:jc w:val="center"/>
              <w:rPr>
                <w:color w:val="auto"/>
                <w:highlight w:val="none"/>
              </w:rPr>
            </w:pPr>
          </w:p>
        </w:tc>
        <w:tc>
          <w:tcPr>
            <w:tcW w:w="502" w:type="dxa"/>
            <w:noWrap w:val="0"/>
            <w:vAlign w:val="center"/>
          </w:tcPr>
          <w:p w14:paraId="7C20A1BC">
            <w:pPr>
              <w:pStyle w:val="15"/>
              <w:jc w:val="center"/>
              <w:rPr>
                <w:color w:val="auto"/>
                <w:highlight w:val="none"/>
              </w:rPr>
            </w:pPr>
          </w:p>
        </w:tc>
        <w:tc>
          <w:tcPr>
            <w:tcW w:w="524" w:type="dxa"/>
            <w:noWrap w:val="0"/>
            <w:vAlign w:val="center"/>
          </w:tcPr>
          <w:p w14:paraId="0B24638F">
            <w:pPr>
              <w:pStyle w:val="15"/>
              <w:jc w:val="center"/>
              <w:rPr>
                <w:color w:val="auto"/>
                <w:highlight w:val="none"/>
              </w:rPr>
            </w:pPr>
          </w:p>
        </w:tc>
        <w:tc>
          <w:tcPr>
            <w:tcW w:w="600" w:type="dxa"/>
            <w:noWrap w:val="0"/>
            <w:vAlign w:val="center"/>
          </w:tcPr>
          <w:p w14:paraId="690AF30B">
            <w:pPr>
              <w:pStyle w:val="15"/>
              <w:jc w:val="center"/>
              <w:rPr>
                <w:color w:val="auto"/>
                <w:highlight w:val="none"/>
              </w:rPr>
            </w:pPr>
          </w:p>
        </w:tc>
        <w:tc>
          <w:tcPr>
            <w:tcW w:w="567" w:type="dxa"/>
            <w:noWrap w:val="0"/>
            <w:vAlign w:val="center"/>
          </w:tcPr>
          <w:p w14:paraId="7752FD58">
            <w:pPr>
              <w:pStyle w:val="15"/>
              <w:jc w:val="center"/>
              <w:rPr>
                <w:color w:val="auto"/>
                <w:highlight w:val="none"/>
              </w:rPr>
            </w:pPr>
          </w:p>
        </w:tc>
        <w:tc>
          <w:tcPr>
            <w:tcW w:w="556" w:type="dxa"/>
            <w:noWrap w:val="0"/>
            <w:vAlign w:val="center"/>
          </w:tcPr>
          <w:p w14:paraId="16F6CCE9">
            <w:pPr>
              <w:pStyle w:val="15"/>
              <w:jc w:val="center"/>
              <w:rPr>
                <w:color w:val="auto"/>
                <w:highlight w:val="none"/>
              </w:rPr>
            </w:pPr>
          </w:p>
        </w:tc>
        <w:tc>
          <w:tcPr>
            <w:tcW w:w="910" w:type="dxa"/>
            <w:noWrap w:val="0"/>
            <w:vAlign w:val="center"/>
          </w:tcPr>
          <w:p w14:paraId="1B728C80">
            <w:pPr>
              <w:pStyle w:val="15"/>
              <w:jc w:val="center"/>
              <w:rPr>
                <w:color w:val="auto"/>
                <w:highlight w:val="none"/>
              </w:rPr>
            </w:pPr>
          </w:p>
        </w:tc>
        <w:tc>
          <w:tcPr>
            <w:tcW w:w="940" w:type="dxa"/>
            <w:noWrap w:val="0"/>
            <w:vAlign w:val="center"/>
          </w:tcPr>
          <w:p w14:paraId="228B3AE4">
            <w:pPr>
              <w:pStyle w:val="15"/>
              <w:jc w:val="center"/>
              <w:rPr>
                <w:color w:val="auto"/>
                <w:highlight w:val="none"/>
              </w:rPr>
            </w:pPr>
          </w:p>
        </w:tc>
        <w:tc>
          <w:tcPr>
            <w:tcW w:w="1772" w:type="dxa"/>
            <w:noWrap w:val="0"/>
            <w:vAlign w:val="center"/>
          </w:tcPr>
          <w:p w14:paraId="1A596C3D">
            <w:pPr>
              <w:pStyle w:val="15"/>
              <w:jc w:val="center"/>
              <w:rPr>
                <w:color w:val="auto"/>
                <w:highlight w:val="none"/>
              </w:rPr>
            </w:pPr>
          </w:p>
        </w:tc>
        <w:tc>
          <w:tcPr>
            <w:tcW w:w="927" w:type="dxa"/>
            <w:noWrap w:val="0"/>
            <w:vAlign w:val="center"/>
          </w:tcPr>
          <w:p w14:paraId="6E7691DC">
            <w:pPr>
              <w:pStyle w:val="15"/>
              <w:jc w:val="center"/>
              <w:rPr>
                <w:color w:val="auto"/>
                <w:highlight w:val="none"/>
              </w:rPr>
            </w:pPr>
          </w:p>
        </w:tc>
      </w:tr>
      <w:tr w14:paraId="680DF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468" w:type="dxa"/>
            <w:noWrap w:val="0"/>
            <w:vAlign w:val="center"/>
          </w:tcPr>
          <w:p w14:paraId="53D04C72">
            <w:pPr>
              <w:spacing w:before="0" w:line="178"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4"/>
                <w:sz w:val="17"/>
                <w:szCs w:val="17"/>
                <w:highlight w:val="none"/>
              </w:rPr>
              <w:t>4</w:t>
            </w:r>
          </w:p>
        </w:tc>
        <w:tc>
          <w:tcPr>
            <w:tcW w:w="535" w:type="dxa"/>
            <w:noWrap w:val="0"/>
            <w:vAlign w:val="center"/>
          </w:tcPr>
          <w:p w14:paraId="06AF98F2">
            <w:pPr>
              <w:pStyle w:val="15"/>
              <w:jc w:val="center"/>
              <w:rPr>
                <w:color w:val="auto"/>
                <w:highlight w:val="none"/>
              </w:rPr>
            </w:pPr>
          </w:p>
        </w:tc>
        <w:tc>
          <w:tcPr>
            <w:tcW w:w="578" w:type="dxa"/>
            <w:noWrap w:val="0"/>
            <w:vAlign w:val="center"/>
          </w:tcPr>
          <w:p w14:paraId="3B585489">
            <w:pPr>
              <w:pStyle w:val="15"/>
              <w:jc w:val="center"/>
              <w:rPr>
                <w:color w:val="auto"/>
                <w:highlight w:val="none"/>
              </w:rPr>
            </w:pPr>
          </w:p>
        </w:tc>
        <w:tc>
          <w:tcPr>
            <w:tcW w:w="556" w:type="dxa"/>
            <w:noWrap w:val="0"/>
            <w:vAlign w:val="center"/>
          </w:tcPr>
          <w:p w14:paraId="0A0FAC20">
            <w:pPr>
              <w:pStyle w:val="15"/>
              <w:jc w:val="center"/>
              <w:rPr>
                <w:color w:val="auto"/>
                <w:highlight w:val="none"/>
              </w:rPr>
            </w:pPr>
          </w:p>
        </w:tc>
        <w:tc>
          <w:tcPr>
            <w:tcW w:w="502" w:type="dxa"/>
            <w:noWrap w:val="0"/>
            <w:vAlign w:val="center"/>
          </w:tcPr>
          <w:p w14:paraId="629D1ABD">
            <w:pPr>
              <w:pStyle w:val="15"/>
              <w:jc w:val="center"/>
              <w:rPr>
                <w:color w:val="auto"/>
                <w:highlight w:val="none"/>
              </w:rPr>
            </w:pPr>
          </w:p>
        </w:tc>
        <w:tc>
          <w:tcPr>
            <w:tcW w:w="524" w:type="dxa"/>
            <w:noWrap w:val="0"/>
            <w:vAlign w:val="center"/>
          </w:tcPr>
          <w:p w14:paraId="545272AF">
            <w:pPr>
              <w:pStyle w:val="15"/>
              <w:jc w:val="center"/>
              <w:rPr>
                <w:color w:val="auto"/>
                <w:highlight w:val="none"/>
              </w:rPr>
            </w:pPr>
          </w:p>
        </w:tc>
        <w:tc>
          <w:tcPr>
            <w:tcW w:w="600" w:type="dxa"/>
            <w:noWrap w:val="0"/>
            <w:vAlign w:val="center"/>
          </w:tcPr>
          <w:p w14:paraId="6A1F76D3">
            <w:pPr>
              <w:pStyle w:val="15"/>
              <w:jc w:val="center"/>
              <w:rPr>
                <w:color w:val="auto"/>
                <w:highlight w:val="none"/>
              </w:rPr>
            </w:pPr>
          </w:p>
        </w:tc>
        <w:tc>
          <w:tcPr>
            <w:tcW w:w="567" w:type="dxa"/>
            <w:noWrap w:val="0"/>
            <w:vAlign w:val="center"/>
          </w:tcPr>
          <w:p w14:paraId="3F64D524">
            <w:pPr>
              <w:pStyle w:val="15"/>
              <w:jc w:val="center"/>
              <w:rPr>
                <w:color w:val="auto"/>
                <w:highlight w:val="none"/>
              </w:rPr>
            </w:pPr>
          </w:p>
        </w:tc>
        <w:tc>
          <w:tcPr>
            <w:tcW w:w="556" w:type="dxa"/>
            <w:noWrap w:val="0"/>
            <w:vAlign w:val="center"/>
          </w:tcPr>
          <w:p w14:paraId="270D1F50">
            <w:pPr>
              <w:pStyle w:val="15"/>
              <w:jc w:val="center"/>
              <w:rPr>
                <w:color w:val="auto"/>
                <w:highlight w:val="none"/>
              </w:rPr>
            </w:pPr>
          </w:p>
        </w:tc>
        <w:tc>
          <w:tcPr>
            <w:tcW w:w="910" w:type="dxa"/>
            <w:noWrap w:val="0"/>
            <w:vAlign w:val="center"/>
          </w:tcPr>
          <w:p w14:paraId="69DCBF47">
            <w:pPr>
              <w:pStyle w:val="15"/>
              <w:jc w:val="center"/>
              <w:rPr>
                <w:color w:val="auto"/>
                <w:highlight w:val="none"/>
              </w:rPr>
            </w:pPr>
          </w:p>
        </w:tc>
        <w:tc>
          <w:tcPr>
            <w:tcW w:w="940" w:type="dxa"/>
            <w:noWrap w:val="0"/>
            <w:vAlign w:val="center"/>
          </w:tcPr>
          <w:p w14:paraId="41916AA2">
            <w:pPr>
              <w:pStyle w:val="15"/>
              <w:jc w:val="center"/>
              <w:rPr>
                <w:color w:val="auto"/>
                <w:highlight w:val="none"/>
              </w:rPr>
            </w:pPr>
          </w:p>
        </w:tc>
        <w:tc>
          <w:tcPr>
            <w:tcW w:w="1772" w:type="dxa"/>
            <w:noWrap w:val="0"/>
            <w:vAlign w:val="center"/>
          </w:tcPr>
          <w:p w14:paraId="01DC9255">
            <w:pPr>
              <w:pStyle w:val="15"/>
              <w:jc w:val="center"/>
              <w:rPr>
                <w:color w:val="auto"/>
                <w:highlight w:val="none"/>
              </w:rPr>
            </w:pPr>
          </w:p>
        </w:tc>
        <w:tc>
          <w:tcPr>
            <w:tcW w:w="927" w:type="dxa"/>
            <w:noWrap w:val="0"/>
            <w:vAlign w:val="center"/>
          </w:tcPr>
          <w:p w14:paraId="011FBC14">
            <w:pPr>
              <w:pStyle w:val="15"/>
              <w:jc w:val="center"/>
              <w:rPr>
                <w:color w:val="auto"/>
                <w:highlight w:val="none"/>
              </w:rPr>
            </w:pPr>
          </w:p>
        </w:tc>
      </w:tr>
      <w:tr w14:paraId="2E156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76D0851C">
            <w:pPr>
              <w:spacing w:before="0" w:line="178"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5</w:t>
            </w:r>
          </w:p>
        </w:tc>
        <w:tc>
          <w:tcPr>
            <w:tcW w:w="535" w:type="dxa"/>
            <w:noWrap w:val="0"/>
            <w:vAlign w:val="center"/>
          </w:tcPr>
          <w:p w14:paraId="126117FC">
            <w:pPr>
              <w:pStyle w:val="15"/>
              <w:jc w:val="center"/>
              <w:rPr>
                <w:color w:val="auto"/>
                <w:highlight w:val="none"/>
              </w:rPr>
            </w:pPr>
          </w:p>
        </w:tc>
        <w:tc>
          <w:tcPr>
            <w:tcW w:w="578" w:type="dxa"/>
            <w:noWrap w:val="0"/>
            <w:vAlign w:val="center"/>
          </w:tcPr>
          <w:p w14:paraId="7DCA414C">
            <w:pPr>
              <w:pStyle w:val="15"/>
              <w:jc w:val="center"/>
              <w:rPr>
                <w:color w:val="auto"/>
                <w:highlight w:val="none"/>
              </w:rPr>
            </w:pPr>
          </w:p>
        </w:tc>
        <w:tc>
          <w:tcPr>
            <w:tcW w:w="556" w:type="dxa"/>
            <w:noWrap w:val="0"/>
            <w:vAlign w:val="center"/>
          </w:tcPr>
          <w:p w14:paraId="5BB9E5E5">
            <w:pPr>
              <w:pStyle w:val="15"/>
              <w:jc w:val="center"/>
              <w:rPr>
                <w:color w:val="auto"/>
                <w:highlight w:val="none"/>
              </w:rPr>
            </w:pPr>
          </w:p>
        </w:tc>
        <w:tc>
          <w:tcPr>
            <w:tcW w:w="502" w:type="dxa"/>
            <w:noWrap w:val="0"/>
            <w:vAlign w:val="center"/>
          </w:tcPr>
          <w:p w14:paraId="3081795D">
            <w:pPr>
              <w:pStyle w:val="15"/>
              <w:jc w:val="center"/>
              <w:rPr>
                <w:color w:val="auto"/>
                <w:highlight w:val="none"/>
              </w:rPr>
            </w:pPr>
          </w:p>
        </w:tc>
        <w:tc>
          <w:tcPr>
            <w:tcW w:w="524" w:type="dxa"/>
            <w:noWrap w:val="0"/>
            <w:vAlign w:val="center"/>
          </w:tcPr>
          <w:p w14:paraId="0599E926">
            <w:pPr>
              <w:pStyle w:val="15"/>
              <w:jc w:val="center"/>
              <w:rPr>
                <w:color w:val="auto"/>
                <w:highlight w:val="none"/>
              </w:rPr>
            </w:pPr>
          </w:p>
        </w:tc>
        <w:tc>
          <w:tcPr>
            <w:tcW w:w="600" w:type="dxa"/>
            <w:noWrap w:val="0"/>
            <w:vAlign w:val="center"/>
          </w:tcPr>
          <w:p w14:paraId="44AA5B40">
            <w:pPr>
              <w:pStyle w:val="15"/>
              <w:jc w:val="center"/>
              <w:rPr>
                <w:color w:val="auto"/>
                <w:highlight w:val="none"/>
              </w:rPr>
            </w:pPr>
          </w:p>
        </w:tc>
        <w:tc>
          <w:tcPr>
            <w:tcW w:w="567" w:type="dxa"/>
            <w:noWrap w:val="0"/>
            <w:vAlign w:val="center"/>
          </w:tcPr>
          <w:p w14:paraId="692FB57E">
            <w:pPr>
              <w:pStyle w:val="15"/>
              <w:jc w:val="center"/>
              <w:rPr>
                <w:color w:val="auto"/>
                <w:highlight w:val="none"/>
              </w:rPr>
            </w:pPr>
          </w:p>
        </w:tc>
        <w:tc>
          <w:tcPr>
            <w:tcW w:w="556" w:type="dxa"/>
            <w:noWrap w:val="0"/>
            <w:vAlign w:val="center"/>
          </w:tcPr>
          <w:p w14:paraId="65316050">
            <w:pPr>
              <w:pStyle w:val="15"/>
              <w:jc w:val="center"/>
              <w:rPr>
                <w:color w:val="auto"/>
                <w:highlight w:val="none"/>
              </w:rPr>
            </w:pPr>
          </w:p>
        </w:tc>
        <w:tc>
          <w:tcPr>
            <w:tcW w:w="910" w:type="dxa"/>
            <w:noWrap w:val="0"/>
            <w:vAlign w:val="center"/>
          </w:tcPr>
          <w:p w14:paraId="14597089">
            <w:pPr>
              <w:pStyle w:val="15"/>
              <w:jc w:val="center"/>
              <w:rPr>
                <w:color w:val="auto"/>
                <w:highlight w:val="none"/>
              </w:rPr>
            </w:pPr>
          </w:p>
        </w:tc>
        <w:tc>
          <w:tcPr>
            <w:tcW w:w="940" w:type="dxa"/>
            <w:noWrap w:val="0"/>
            <w:vAlign w:val="center"/>
          </w:tcPr>
          <w:p w14:paraId="1CC4E19F">
            <w:pPr>
              <w:pStyle w:val="15"/>
              <w:jc w:val="center"/>
              <w:rPr>
                <w:color w:val="auto"/>
                <w:highlight w:val="none"/>
              </w:rPr>
            </w:pPr>
          </w:p>
        </w:tc>
        <w:tc>
          <w:tcPr>
            <w:tcW w:w="1772" w:type="dxa"/>
            <w:noWrap w:val="0"/>
            <w:vAlign w:val="center"/>
          </w:tcPr>
          <w:p w14:paraId="1419C91F">
            <w:pPr>
              <w:pStyle w:val="15"/>
              <w:jc w:val="center"/>
              <w:rPr>
                <w:color w:val="auto"/>
                <w:highlight w:val="none"/>
              </w:rPr>
            </w:pPr>
          </w:p>
        </w:tc>
        <w:tc>
          <w:tcPr>
            <w:tcW w:w="927" w:type="dxa"/>
            <w:noWrap w:val="0"/>
            <w:vAlign w:val="center"/>
          </w:tcPr>
          <w:p w14:paraId="0C1B9D68">
            <w:pPr>
              <w:pStyle w:val="15"/>
              <w:jc w:val="center"/>
              <w:rPr>
                <w:color w:val="auto"/>
                <w:highlight w:val="none"/>
              </w:rPr>
            </w:pPr>
          </w:p>
        </w:tc>
      </w:tr>
      <w:tr w14:paraId="21C56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468" w:type="dxa"/>
            <w:noWrap w:val="0"/>
            <w:vAlign w:val="center"/>
          </w:tcPr>
          <w:p w14:paraId="0258C0C5">
            <w:pPr>
              <w:spacing w:before="0" w:line="18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6</w:t>
            </w:r>
          </w:p>
        </w:tc>
        <w:tc>
          <w:tcPr>
            <w:tcW w:w="535" w:type="dxa"/>
            <w:noWrap w:val="0"/>
            <w:vAlign w:val="center"/>
          </w:tcPr>
          <w:p w14:paraId="1DA94F20">
            <w:pPr>
              <w:pStyle w:val="15"/>
              <w:jc w:val="center"/>
              <w:rPr>
                <w:color w:val="auto"/>
                <w:highlight w:val="none"/>
              </w:rPr>
            </w:pPr>
          </w:p>
        </w:tc>
        <w:tc>
          <w:tcPr>
            <w:tcW w:w="578" w:type="dxa"/>
            <w:noWrap w:val="0"/>
            <w:vAlign w:val="center"/>
          </w:tcPr>
          <w:p w14:paraId="122F3928">
            <w:pPr>
              <w:pStyle w:val="15"/>
              <w:jc w:val="center"/>
              <w:rPr>
                <w:color w:val="auto"/>
                <w:highlight w:val="none"/>
              </w:rPr>
            </w:pPr>
          </w:p>
        </w:tc>
        <w:tc>
          <w:tcPr>
            <w:tcW w:w="556" w:type="dxa"/>
            <w:noWrap w:val="0"/>
            <w:vAlign w:val="center"/>
          </w:tcPr>
          <w:p w14:paraId="0065797B">
            <w:pPr>
              <w:pStyle w:val="15"/>
              <w:jc w:val="center"/>
              <w:rPr>
                <w:color w:val="auto"/>
                <w:highlight w:val="none"/>
              </w:rPr>
            </w:pPr>
          </w:p>
        </w:tc>
        <w:tc>
          <w:tcPr>
            <w:tcW w:w="502" w:type="dxa"/>
            <w:noWrap w:val="0"/>
            <w:vAlign w:val="center"/>
          </w:tcPr>
          <w:p w14:paraId="281DEF04">
            <w:pPr>
              <w:pStyle w:val="15"/>
              <w:jc w:val="center"/>
              <w:rPr>
                <w:color w:val="auto"/>
                <w:highlight w:val="none"/>
              </w:rPr>
            </w:pPr>
          </w:p>
        </w:tc>
        <w:tc>
          <w:tcPr>
            <w:tcW w:w="524" w:type="dxa"/>
            <w:noWrap w:val="0"/>
            <w:vAlign w:val="center"/>
          </w:tcPr>
          <w:p w14:paraId="7A8CB770">
            <w:pPr>
              <w:pStyle w:val="15"/>
              <w:jc w:val="center"/>
              <w:rPr>
                <w:color w:val="auto"/>
                <w:highlight w:val="none"/>
              </w:rPr>
            </w:pPr>
          </w:p>
        </w:tc>
        <w:tc>
          <w:tcPr>
            <w:tcW w:w="600" w:type="dxa"/>
            <w:noWrap w:val="0"/>
            <w:vAlign w:val="center"/>
          </w:tcPr>
          <w:p w14:paraId="02B3B91B">
            <w:pPr>
              <w:pStyle w:val="15"/>
              <w:jc w:val="center"/>
              <w:rPr>
                <w:color w:val="auto"/>
                <w:highlight w:val="none"/>
              </w:rPr>
            </w:pPr>
          </w:p>
        </w:tc>
        <w:tc>
          <w:tcPr>
            <w:tcW w:w="567" w:type="dxa"/>
            <w:noWrap w:val="0"/>
            <w:vAlign w:val="center"/>
          </w:tcPr>
          <w:p w14:paraId="5CB46714">
            <w:pPr>
              <w:pStyle w:val="15"/>
              <w:jc w:val="center"/>
              <w:rPr>
                <w:color w:val="auto"/>
                <w:highlight w:val="none"/>
              </w:rPr>
            </w:pPr>
          </w:p>
        </w:tc>
        <w:tc>
          <w:tcPr>
            <w:tcW w:w="556" w:type="dxa"/>
            <w:noWrap w:val="0"/>
            <w:vAlign w:val="center"/>
          </w:tcPr>
          <w:p w14:paraId="189B4FC8">
            <w:pPr>
              <w:pStyle w:val="15"/>
              <w:jc w:val="center"/>
              <w:rPr>
                <w:color w:val="auto"/>
                <w:highlight w:val="none"/>
              </w:rPr>
            </w:pPr>
          </w:p>
        </w:tc>
        <w:tc>
          <w:tcPr>
            <w:tcW w:w="910" w:type="dxa"/>
            <w:noWrap w:val="0"/>
            <w:vAlign w:val="center"/>
          </w:tcPr>
          <w:p w14:paraId="74F90215">
            <w:pPr>
              <w:pStyle w:val="15"/>
              <w:jc w:val="center"/>
              <w:rPr>
                <w:color w:val="auto"/>
                <w:highlight w:val="none"/>
              </w:rPr>
            </w:pPr>
          </w:p>
        </w:tc>
        <w:tc>
          <w:tcPr>
            <w:tcW w:w="940" w:type="dxa"/>
            <w:noWrap w:val="0"/>
            <w:vAlign w:val="center"/>
          </w:tcPr>
          <w:p w14:paraId="68F6767B">
            <w:pPr>
              <w:pStyle w:val="15"/>
              <w:jc w:val="center"/>
              <w:rPr>
                <w:color w:val="auto"/>
                <w:highlight w:val="none"/>
              </w:rPr>
            </w:pPr>
          </w:p>
        </w:tc>
        <w:tc>
          <w:tcPr>
            <w:tcW w:w="1772" w:type="dxa"/>
            <w:noWrap w:val="0"/>
            <w:vAlign w:val="center"/>
          </w:tcPr>
          <w:p w14:paraId="39E943A7">
            <w:pPr>
              <w:pStyle w:val="15"/>
              <w:jc w:val="center"/>
              <w:rPr>
                <w:color w:val="auto"/>
                <w:highlight w:val="none"/>
              </w:rPr>
            </w:pPr>
          </w:p>
        </w:tc>
        <w:tc>
          <w:tcPr>
            <w:tcW w:w="927" w:type="dxa"/>
            <w:noWrap w:val="0"/>
            <w:vAlign w:val="center"/>
          </w:tcPr>
          <w:p w14:paraId="1BD03EFB">
            <w:pPr>
              <w:pStyle w:val="15"/>
              <w:jc w:val="center"/>
              <w:rPr>
                <w:color w:val="auto"/>
                <w:highlight w:val="none"/>
              </w:rPr>
            </w:pPr>
          </w:p>
        </w:tc>
      </w:tr>
      <w:tr w14:paraId="414AB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68A63D8F">
            <w:pPr>
              <w:spacing w:before="0" w:line="178"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7</w:t>
            </w:r>
          </w:p>
        </w:tc>
        <w:tc>
          <w:tcPr>
            <w:tcW w:w="535" w:type="dxa"/>
            <w:noWrap w:val="0"/>
            <w:vAlign w:val="center"/>
          </w:tcPr>
          <w:p w14:paraId="270880CC">
            <w:pPr>
              <w:pStyle w:val="15"/>
              <w:jc w:val="center"/>
              <w:rPr>
                <w:color w:val="auto"/>
                <w:highlight w:val="none"/>
              </w:rPr>
            </w:pPr>
          </w:p>
        </w:tc>
        <w:tc>
          <w:tcPr>
            <w:tcW w:w="578" w:type="dxa"/>
            <w:noWrap w:val="0"/>
            <w:vAlign w:val="center"/>
          </w:tcPr>
          <w:p w14:paraId="1F3EE1A7">
            <w:pPr>
              <w:pStyle w:val="15"/>
              <w:jc w:val="center"/>
              <w:rPr>
                <w:color w:val="auto"/>
                <w:highlight w:val="none"/>
              </w:rPr>
            </w:pPr>
          </w:p>
        </w:tc>
        <w:tc>
          <w:tcPr>
            <w:tcW w:w="556" w:type="dxa"/>
            <w:noWrap w:val="0"/>
            <w:vAlign w:val="center"/>
          </w:tcPr>
          <w:p w14:paraId="6AE62EC0">
            <w:pPr>
              <w:pStyle w:val="15"/>
              <w:jc w:val="center"/>
              <w:rPr>
                <w:color w:val="auto"/>
                <w:highlight w:val="none"/>
              </w:rPr>
            </w:pPr>
          </w:p>
        </w:tc>
        <w:tc>
          <w:tcPr>
            <w:tcW w:w="502" w:type="dxa"/>
            <w:noWrap w:val="0"/>
            <w:vAlign w:val="center"/>
          </w:tcPr>
          <w:p w14:paraId="224D9ED0">
            <w:pPr>
              <w:pStyle w:val="15"/>
              <w:jc w:val="center"/>
              <w:rPr>
                <w:color w:val="auto"/>
                <w:highlight w:val="none"/>
              </w:rPr>
            </w:pPr>
          </w:p>
        </w:tc>
        <w:tc>
          <w:tcPr>
            <w:tcW w:w="524" w:type="dxa"/>
            <w:noWrap w:val="0"/>
            <w:vAlign w:val="center"/>
          </w:tcPr>
          <w:p w14:paraId="49D1F7FA">
            <w:pPr>
              <w:pStyle w:val="15"/>
              <w:jc w:val="center"/>
              <w:rPr>
                <w:color w:val="auto"/>
                <w:highlight w:val="none"/>
              </w:rPr>
            </w:pPr>
          </w:p>
        </w:tc>
        <w:tc>
          <w:tcPr>
            <w:tcW w:w="600" w:type="dxa"/>
            <w:noWrap w:val="0"/>
            <w:vAlign w:val="center"/>
          </w:tcPr>
          <w:p w14:paraId="64DD592E">
            <w:pPr>
              <w:pStyle w:val="15"/>
              <w:jc w:val="center"/>
              <w:rPr>
                <w:color w:val="auto"/>
                <w:highlight w:val="none"/>
              </w:rPr>
            </w:pPr>
          </w:p>
        </w:tc>
        <w:tc>
          <w:tcPr>
            <w:tcW w:w="567" w:type="dxa"/>
            <w:noWrap w:val="0"/>
            <w:vAlign w:val="center"/>
          </w:tcPr>
          <w:p w14:paraId="60975575">
            <w:pPr>
              <w:pStyle w:val="15"/>
              <w:jc w:val="center"/>
              <w:rPr>
                <w:color w:val="auto"/>
                <w:highlight w:val="none"/>
              </w:rPr>
            </w:pPr>
          </w:p>
        </w:tc>
        <w:tc>
          <w:tcPr>
            <w:tcW w:w="556" w:type="dxa"/>
            <w:noWrap w:val="0"/>
            <w:vAlign w:val="center"/>
          </w:tcPr>
          <w:p w14:paraId="5175C565">
            <w:pPr>
              <w:pStyle w:val="15"/>
              <w:jc w:val="center"/>
              <w:rPr>
                <w:color w:val="auto"/>
                <w:highlight w:val="none"/>
              </w:rPr>
            </w:pPr>
          </w:p>
        </w:tc>
        <w:tc>
          <w:tcPr>
            <w:tcW w:w="910" w:type="dxa"/>
            <w:noWrap w:val="0"/>
            <w:vAlign w:val="center"/>
          </w:tcPr>
          <w:p w14:paraId="4027A3AF">
            <w:pPr>
              <w:pStyle w:val="15"/>
              <w:jc w:val="center"/>
              <w:rPr>
                <w:color w:val="auto"/>
                <w:highlight w:val="none"/>
              </w:rPr>
            </w:pPr>
          </w:p>
        </w:tc>
        <w:tc>
          <w:tcPr>
            <w:tcW w:w="940" w:type="dxa"/>
            <w:noWrap w:val="0"/>
            <w:vAlign w:val="center"/>
          </w:tcPr>
          <w:p w14:paraId="10AE0550">
            <w:pPr>
              <w:pStyle w:val="15"/>
              <w:jc w:val="center"/>
              <w:rPr>
                <w:color w:val="auto"/>
                <w:highlight w:val="none"/>
              </w:rPr>
            </w:pPr>
          </w:p>
        </w:tc>
        <w:tc>
          <w:tcPr>
            <w:tcW w:w="1772" w:type="dxa"/>
            <w:noWrap w:val="0"/>
            <w:vAlign w:val="center"/>
          </w:tcPr>
          <w:p w14:paraId="0DC7B83F">
            <w:pPr>
              <w:pStyle w:val="15"/>
              <w:jc w:val="center"/>
              <w:rPr>
                <w:color w:val="auto"/>
                <w:highlight w:val="none"/>
              </w:rPr>
            </w:pPr>
          </w:p>
        </w:tc>
        <w:tc>
          <w:tcPr>
            <w:tcW w:w="927" w:type="dxa"/>
            <w:noWrap w:val="0"/>
            <w:vAlign w:val="center"/>
          </w:tcPr>
          <w:p w14:paraId="5993E590">
            <w:pPr>
              <w:pStyle w:val="15"/>
              <w:jc w:val="center"/>
              <w:rPr>
                <w:color w:val="auto"/>
                <w:highlight w:val="none"/>
              </w:rPr>
            </w:pPr>
          </w:p>
        </w:tc>
      </w:tr>
      <w:tr w14:paraId="3F0DF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468" w:type="dxa"/>
            <w:noWrap w:val="0"/>
            <w:vAlign w:val="center"/>
          </w:tcPr>
          <w:p w14:paraId="60758949">
            <w:pPr>
              <w:spacing w:before="0" w:line="99" w:lineRule="exact"/>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2"/>
                <w:position w:val="2"/>
                <w:sz w:val="17"/>
                <w:szCs w:val="17"/>
                <w:highlight w:val="none"/>
              </w:rPr>
              <w:t>...</w:t>
            </w:r>
          </w:p>
        </w:tc>
        <w:tc>
          <w:tcPr>
            <w:tcW w:w="535" w:type="dxa"/>
            <w:noWrap w:val="0"/>
            <w:vAlign w:val="center"/>
          </w:tcPr>
          <w:p w14:paraId="24612919">
            <w:pPr>
              <w:pStyle w:val="15"/>
              <w:jc w:val="center"/>
              <w:rPr>
                <w:color w:val="auto"/>
                <w:highlight w:val="none"/>
              </w:rPr>
            </w:pPr>
          </w:p>
        </w:tc>
        <w:tc>
          <w:tcPr>
            <w:tcW w:w="578" w:type="dxa"/>
            <w:noWrap w:val="0"/>
            <w:vAlign w:val="center"/>
          </w:tcPr>
          <w:p w14:paraId="2C0772CD">
            <w:pPr>
              <w:pStyle w:val="15"/>
              <w:jc w:val="center"/>
              <w:rPr>
                <w:color w:val="auto"/>
                <w:highlight w:val="none"/>
              </w:rPr>
            </w:pPr>
          </w:p>
        </w:tc>
        <w:tc>
          <w:tcPr>
            <w:tcW w:w="556" w:type="dxa"/>
            <w:noWrap w:val="0"/>
            <w:vAlign w:val="center"/>
          </w:tcPr>
          <w:p w14:paraId="4952F551">
            <w:pPr>
              <w:pStyle w:val="15"/>
              <w:jc w:val="center"/>
              <w:rPr>
                <w:color w:val="auto"/>
                <w:highlight w:val="none"/>
              </w:rPr>
            </w:pPr>
          </w:p>
        </w:tc>
        <w:tc>
          <w:tcPr>
            <w:tcW w:w="502" w:type="dxa"/>
            <w:noWrap w:val="0"/>
            <w:vAlign w:val="center"/>
          </w:tcPr>
          <w:p w14:paraId="4A3AE18A">
            <w:pPr>
              <w:pStyle w:val="15"/>
              <w:jc w:val="center"/>
              <w:rPr>
                <w:color w:val="auto"/>
                <w:highlight w:val="none"/>
              </w:rPr>
            </w:pPr>
          </w:p>
        </w:tc>
        <w:tc>
          <w:tcPr>
            <w:tcW w:w="524" w:type="dxa"/>
            <w:noWrap w:val="0"/>
            <w:vAlign w:val="center"/>
          </w:tcPr>
          <w:p w14:paraId="736B613A">
            <w:pPr>
              <w:pStyle w:val="15"/>
              <w:jc w:val="center"/>
              <w:rPr>
                <w:color w:val="auto"/>
                <w:highlight w:val="none"/>
              </w:rPr>
            </w:pPr>
          </w:p>
        </w:tc>
        <w:tc>
          <w:tcPr>
            <w:tcW w:w="600" w:type="dxa"/>
            <w:noWrap w:val="0"/>
            <w:vAlign w:val="center"/>
          </w:tcPr>
          <w:p w14:paraId="4E085B02">
            <w:pPr>
              <w:pStyle w:val="15"/>
              <w:jc w:val="center"/>
              <w:rPr>
                <w:color w:val="auto"/>
                <w:highlight w:val="none"/>
              </w:rPr>
            </w:pPr>
          </w:p>
        </w:tc>
        <w:tc>
          <w:tcPr>
            <w:tcW w:w="567" w:type="dxa"/>
            <w:noWrap w:val="0"/>
            <w:vAlign w:val="center"/>
          </w:tcPr>
          <w:p w14:paraId="3BD2398C">
            <w:pPr>
              <w:pStyle w:val="15"/>
              <w:jc w:val="center"/>
              <w:rPr>
                <w:color w:val="auto"/>
                <w:highlight w:val="none"/>
              </w:rPr>
            </w:pPr>
          </w:p>
        </w:tc>
        <w:tc>
          <w:tcPr>
            <w:tcW w:w="556" w:type="dxa"/>
            <w:noWrap w:val="0"/>
            <w:vAlign w:val="center"/>
          </w:tcPr>
          <w:p w14:paraId="0C9FA7AA">
            <w:pPr>
              <w:pStyle w:val="15"/>
              <w:jc w:val="center"/>
              <w:rPr>
                <w:color w:val="auto"/>
                <w:highlight w:val="none"/>
              </w:rPr>
            </w:pPr>
          </w:p>
        </w:tc>
        <w:tc>
          <w:tcPr>
            <w:tcW w:w="910" w:type="dxa"/>
            <w:noWrap w:val="0"/>
            <w:vAlign w:val="center"/>
          </w:tcPr>
          <w:p w14:paraId="12E9AE08">
            <w:pPr>
              <w:pStyle w:val="15"/>
              <w:jc w:val="center"/>
              <w:rPr>
                <w:color w:val="auto"/>
                <w:highlight w:val="none"/>
              </w:rPr>
            </w:pPr>
          </w:p>
        </w:tc>
        <w:tc>
          <w:tcPr>
            <w:tcW w:w="940" w:type="dxa"/>
            <w:noWrap w:val="0"/>
            <w:vAlign w:val="center"/>
          </w:tcPr>
          <w:p w14:paraId="31AD7CBF">
            <w:pPr>
              <w:pStyle w:val="15"/>
              <w:jc w:val="center"/>
              <w:rPr>
                <w:color w:val="auto"/>
                <w:highlight w:val="none"/>
              </w:rPr>
            </w:pPr>
          </w:p>
        </w:tc>
        <w:tc>
          <w:tcPr>
            <w:tcW w:w="1772" w:type="dxa"/>
            <w:noWrap w:val="0"/>
            <w:vAlign w:val="center"/>
          </w:tcPr>
          <w:p w14:paraId="61C7B6EE">
            <w:pPr>
              <w:pStyle w:val="15"/>
              <w:jc w:val="center"/>
              <w:rPr>
                <w:color w:val="auto"/>
                <w:highlight w:val="none"/>
              </w:rPr>
            </w:pPr>
          </w:p>
        </w:tc>
        <w:tc>
          <w:tcPr>
            <w:tcW w:w="927" w:type="dxa"/>
            <w:noWrap w:val="0"/>
            <w:vAlign w:val="center"/>
          </w:tcPr>
          <w:p w14:paraId="000B2A79">
            <w:pPr>
              <w:pStyle w:val="15"/>
              <w:jc w:val="center"/>
              <w:rPr>
                <w:color w:val="auto"/>
                <w:highlight w:val="none"/>
              </w:rPr>
            </w:pPr>
          </w:p>
        </w:tc>
      </w:tr>
      <w:tr w14:paraId="13D11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2E7B7957">
            <w:pPr>
              <w:pStyle w:val="15"/>
              <w:jc w:val="center"/>
              <w:rPr>
                <w:color w:val="auto"/>
                <w:highlight w:val="none"/>
              </w:rPr>
            </w:pPr>
          </w:p>
        </w:tc>
        <w:tc>
          <w:tcPr>
            <w:tcW w:w="535" w:type="dxa"/>
            <w:noWrap w:val="0"/>
            <w:vAlign w:val="center"/>
          </w:tcPr>
          <w:p w14:paraId="5DFFCE72">
            <w:pPr>
              <w:pStyle w:val="15"/>
              <w:jc w:val="center"/>
              <w:rPr>
                <w:color w:val="auto"/>
                <w:highlight w:val="none"/>
              </w:rPr>
            </w:pPr>
          </w:p>
        </w:tc>
        <w:tc>
          <w:tcPr>
            <w:tcW w:w="578" w:type="dxa"/>
            <w:noWrap w:val="0"/>
            <w:vAlign w:val="center"/>
          </w:tcPr>
          <w:p w14:paraId="0F961039">
            <w:pPr>
              <w:pStyle w:val="15"/>
              <w:jc w:val="center"/>
              <w:rPr>
                <w:color w:val="auto"/>
                <w:highlight w:val="none"/>
              </w:rPr>
            </w:pPr>
          </w:p>
        </w:tc>
        <w:tc>
          <w:tcPr>
            <w:tcW w:w="556" w:type="dxa"/>
            <w:noWrap w:val="0"/>
            <w:vAlign w:val="center"/>
          </w:tcPr>
          <w:p w14:paraId="497A9AFB">
            <w:pPr>
              <w:pStyle w:val="15"/>
              <w:jc w:val="center"/>
              <w:rPr>
                <w:color w:val="auto"/>
                <w:highlight w:val="none"/>
              </w:rPr>
            </w:pPr>
          </w:p>
        </w:tc>
        <w:tc>
          <w:tcPr>
            <w:tcW w:w="502" w:type="dxa"/>
            <w:noWrap w:val="0"/>
            <w:vAlign w:val="center"/>
          </w:tcPr>
          <w:p w14:paraId="7BCA51BD">
            <w:pPr>
              <w:pStyle w:val="15"/>
              <w:jc w:val="center"/>
              <w:rPr>
                <w:color w:val="auto"/>
                <w:highlight w:val="none"/>
              </w:rPr>
            </w:pPr>
          </w:p>
        </w:tc>
        <w:tc>
          <w:tcPr>
            <w:tcW w:w="524" w:type="dxa"/>
            <w:noWrap w:val="0"/>
            <w:vAlign w:val="center"/>
          </w:tcPr>
          <w:p w14:paraId="70CEC263">
            <w:pPr>
              <w:pStyle w:val="15"/>
              <w:jc w:val="center"/>
              <w:rPr>
                <w:color w:val="auto"/>
                <w:highlight w:val="none"/>
              </w:rPr>
            </w:pPr>
          </w:p>
        </w:tc>
        <w:tc>
          <w:tcPr>
            <w:tcW w:w="600" w:type="dxa"/>
            <w:noWrap w:val="0"/>
            <w:vAlign w:val="center"/>
          </w:tcPr>
          <w:p w14:paraId="03CC78F0">
            <w:pPr>
              <w:pStyle w:val="15"/>
              <w:jc w:val="center"/>
              <w:rPr>
                <w:color w:val="auto"/>
                <w:highlight w:val="none"/>
              </w:rPr>
            </w:pPr>
          </w:p>
        </w:tc>
        <w:tc>
          <w:tcPr>
            <w:tcW w:w="567" w:type="dxa"/>
            <w:noWrap w:val="0"/>
            <w:vAlign w:val="center"/>
          </w:tcPr>
          <w:p w14:paraId="7769F0A3">
            <w:pPr>
              <w:pStyle w:val="15"/>
              <w:jc w:val="center"/>
              <w:rPr>
                <w:color w:val="auto"/>
                <w:highlight w:val="none"/>
              </w:rPr>
            </w:pPr>
          </w:p>
        </w:tc>
        <w:tc>
          <w:tcPr>
            <w:tcW w:w="556" w:type="dxa"/>
            <w:noWrap w:val="0"/>
            <w:vAlign w:val="center"/>
          </w:tcPr>
          <w:p w14:paraId="419EB6C8">
            <w:pPr>
              <w:pStyle w:val="15"/>
              <w:jc w:val="center"/>
              <w:rPr>
                <w:color w:val="auto"/>
                <w:highlight w:val="none"/>
              </w:rPr>
            </w:pPr>
          </w:p>
        </w:tc>
        <w:tc>
          <w:tcPr>
            <w:tcW w:w="910" w:type="dxa"/>
            <w:noWrap w:val="0"/>
            <w:vAlign w:val="center"/>
          </w:tcPr>
          <w:p w14:paraId="75FA4FFC">
            <w:pPr>
              <w:pStyle w:val="15"/>
              <w:jc w:val="center"/>
              <w:rPr>
                <w:color w:val="auto"/>
                <w:highlight w:val="none"/>
              </w:rPr>
            </w:pPr>
          </w:p>
        </w:tc>
        <w:tc>
          <w:tcPr>
            <w:tcW w:w="940" w:type="dxa"/>
            <w:noWrap w:val="0"/>
            <w:vAlign w:val="center"/>
          </w:tcPr>
          <w:p w14:paraId="48B9DC80">
            <w:pPr>
              <w:pStyle w:val="15"/>
              <w:jc w:val="center"/>
              <w:rPr>
                <w:color w:val="auto"/>
                <w:highlight w:val="none"/>
              </w:rPr>
            </w:pPr>
          </w:p>
        </w:tc>
        <w:tc>
          <w:tcPr>
            <w:tcW w:w="1772" w:type="dxa"/>
            <w:noWrap w:val="0"/>
            <w:vAlign w:val="center"/>
          </w:tcPr>
          <w:p w14:paraId="52B24142">
            <w:pPr>
              <w:pStyle w:val="15"/>
              <w:jc w:val="center"/>
              <w:rPr>
                <w:color w:val="auto"/>
                <w:highlight w:val="none"/>
              </w:rPr>
            </w:pPr>
          </w:p>
        </w:tc>
        <w:tc>
          <w:tcPr>
            <w:tcW w:w="927" w:type="dxa"/>
            <w:noWrap w:val="0"/>
            <w:vAlign w:val="center"/>
          </w:tcPr>
          <w:p w14:paraId="6623D435">
            <w:pPr>
              <w:pStyle w:val="15"/>
              <w:jc w:val="center"/>
              <w:rPr>
                <w:color w:val="auto"/>
                <w:highlight w:val="none"/>
              </w:rPr>
            </w:pPr>
          </w:p>
        </w:tc>
      </w:tr>
      <w:tr w14:paraId="2094F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468" w:type="dxa"/>
            <w:noWrap w:val="0"/>
            <w:vAlign w:val="center"/>
          </w:tcPr>
          <w:p w14:paraId="18924880">
            <w:pPr>
              <w:spacing w:before="0" w:line="19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合计</w:t>
            </w:r>
          </w:p>
        </w:tc>
        <w:tc>
          <w:tcPr>
            <w:tcW w:w="535" w:type="dxa"/>
            <w:noWrap w:val="0"/>
            <w:vAlign w:val="center"/>
          </w:tcPr>
          <w:p w14:paraId="5EB28E31">
            <w:pPr>
              <w:pStyle w:val="15"/>
              <w:jc w:val="center"/>
              <w:rPr>
                <w:color w:val="auto"/>
                <w:highlight w:val="none"/>
              </w:rPr>
            </w:pPr>
          </w:p>
        </w:tc>
        <w:tc>
          <w:tcPr>
            <w:tcW w:w="578" w:type="dxa"/>
            <w:noWrap w:val="0"/>
            <w:vAlign w:val="center"/>
          </w:tcPr>
          <w:p w14:paraId="3E7D16F8">
            <w:pPr>
              <w:pStyle w:val="15"/>
              <w:jc w:val="center"/>
              <w:rPr>
                <w:color w:val="auto"/>
                <w:highlight w:val="none"/>
              </w:rPr>
            </w:pPr>
          </w:p>
        </w:tc>
        <w:tc>
          <w:tcPr>
            <w:tcW w:w="556" w:type="dxa"/>
            <w:noWrap w:val="0"/>
            <w:vAlign w:val="center"/>
          </w:tcPr>
          <w:p w14:paraId="3F2291C6">
            <w:pPr>
              <w:pStyle w:val="15"/>
              <w:jc w:val="center"/>
              <w:rPr>
                <w:color w:val="auto"/>
                <w:highlight w:val="none"/>
              </w:rPr>
            </w:pPr>
          </w:p>
        </w:tc>
        <w:tc>
          <w:tcPr>
            <w:tcW w:w="502" w:type="dxa"/>
            <w:noWrap w:val="0"/>
            <w:vAlign w:val="center"/>
          </w:tcPr>
          <w:p w14:paraId="69433412">
            <w:pPr>
              <w:pStyle w:val="15"/>
              <w:jc w:val="center"/>
              <w:rPr>
                <w:color w:val="auto"/>
                <w:highlight w:val="none"/>
              </w:rPr>
            </w:pPr>
          </w:p>
        </w:tc>
        <w:tc>
          <w:tcPr>
            <w:tcW w:w="524" w:type="dxa"/>
            <w:noWrap w:val="0"/>
            <w:vAlign w:val="center"/>
          </w:tcPr>
          <w:p w14:paraId="5961249E">
            <w:pPr>
              <w:pStyle w:val="15"/>
              <w:jc w:val="center"/>
              <w:rPr>
                <w:color w:val="auto"/>
                <w:highlight w:val="none"/>
              </w:rPr>
            </w:pPr>
          </w:p>
        </w:tc>
        <w:tc>
          <w:tcPr>
            <w:tcW w:w="600" w:type="dxa"/>
            <w:noWrap w:val="0"/>
            <w:vAlign w:val="center"/>
          </w:tcPr>
          <w:p w14:paraId="3FD5411E">
            <w:pPr>
              <w:pStyle w:val="15"/>
              <w:jc w:val="center"/>
              <w:rPr>
                <w:color w:val="auto"/>
                <w:highlight w:val="none"/>
              </w:rPr>
            </w:pPr>
          </w:p>
        </w:tc>
        <w:tc>
          <w:tcPr>
            <w:tcW w:w="567" w:type="dxa"/>
            <w:noWrap w:val="0"/>
            <w:vAlign w:val="center"/>
          </w:tcPr>
          <w:p w14:paraId="0AB00148">
            <w:pPr>
              <w:pStyle w:val="15"/>
              <w:jc w:val="center"/>
              <w:rPr>
                <w:color w:val="auto"/>
                <w:highlight w:val="none"/>
              </w:rPr>
            </w:pPr>
          </w:p>
        </w:tc>
        <w:tc>
          <w:tcPr>
            <w:tcW w:w="556" w:type="dxa"/>
            <w:noWrap w:val="0"/>
            <w:vAlign w:val="center"/>
          </w:tcPr>
          <w:p w14:paraId="7BEFB1BF">
            <w:pPr>
              <w:pStyle w:val="15"/>
              <w:jc w:val="center"/>
              <w:rPr>
                <w:color w:val="auto"/>
                <w:highlight w:val="none"/>
              </w:rPr>
            </w:pPr>
          </w:p>
        </w:tc>
        <w:tc>
          <w:tcPr>
            <w:tcW w:w="910" w:type="dxa"/>
            <w:noWrap w:val="0"/>
            <w:vAlign w:val="center"/>
          </w:tcPr>
          <w:p w14:paraId="5FB66102">
            <w:pPr>
              <w:pStyle w:val="15"/>
              <w:jc w:val="center"/>
              <w:rPr>
                <w:color w:val="auto"/>
                <w:highlight w:val="none"/>
              </w:rPr>
            </w:pPr>
          </w:p>
        </w:tc>
        <w:tc>
          <w:tcPr>
            <w:tcW w:w="940" w:type="dxa"/>
            <w:noWrap w:val="0"/>
            <w:vAlign w:val="center"/>
          </w:tcPr>
          <w:p w14:paraId="00DFD8DA">
            <w:pPr>
              <w:pStyle w:val="15"/>
              <w:jc w:val="center"/>
              <w:rPr>
                <w:color w:val="auto"/>
                <w:highlight w:val="none"/>
              </w:rPr>
            </w:pPr>
          </w:p>
        </w:tc>
        <w:tc>
          <w:tcPr>
            <w:tcW w:w="1772" w:type="dxa"/>
            <w:noWrap w:val="0"/>
            <w:vAlign w:val="center"/>
          </w:tcPr>
          <w:p w14:paraId="14A57A4B">
            <w:pPr>
              <w:pStyle w:val="15"/>
              <w:jc w:val="center"/>
              <w:rPr>
                <w:color w:val="auto"/>
                <w:highlight w:val="none"/>
              </w:rPr>
            </w:pPr>
          </w:p>
        </w:tc>
        <w:tc>
          <w:tcPr>
            <w:tcW w:w="927" w:type="dxa"/>
            <w:noWrap w:val="0"/>
            <w:vAlign w:val="center"/>
          </w:tcPr>
          <w:p w14:paraId="265D479F">
            <w:pPr>
              <w:pStyle w:val="15"/>
              <w:jc w:val="center"/>
              <w:rPr>
                <w:color w:val="auto"/>
                <w:highlight w:val="none"/>
              </w:rPr>
            </w:pPr>
          </w:p>
        </w:tc>
      </w:tr>
    </w:tbl>
    <w:p w14:paraId="3231638D">
      <w:pPr>
        <w:pStyle w:val="3"/>
        <w:spacing w:before="0" w:line="240" w:lineRule="auto"/>
        <w:ind w:left="0"/>
        <w:rPr>
          <w:rFonts w:hint="default" w:ascii="宋体" w:hAnsi="宋体" w:eastAsia="宋体" w:cs="宋体"/>
          <w:color w:val="auto"/>
          <w:spacing w:val="8"/>
          <w:position w:val="10"/>
          <w:sz w:val="24"/>
          <w:szCs w:val="24"/>
          <w:highlight w:val="none"/>
          <w:lang w:val="en-US" w:eastAsia="zh-CN"/>
        </w:rPr>
      </w:pPr>
      <w:r>
        <w:rPr>
          <w:rFonts w:hint="eastAsia" w:ascii="宋体" w:hAnsi="宋体" w:eastAsia="宋体" w:cs="宋体"/>
          <w:color w:val="auto"/>
          <w:spacing w:val="3"/>
          <w:position w:val="29"/>
          <w:sz w:val="24"/>
          <w:szCs w:val="24"/>
          <w:highlight w:val="none"/>
        </w:rPr>
        <w:t>说明：供</w:t>
      </w:r>
      <w:r>
        <w:rPr>
          <w:rFonts w:hint="eastAsia" w:ascii="宋体" w:hAnsi="宋体" w:eastAsia="宋体" w:cs="宋体"/>
          <w:color w:val="auto"/>
          <w:spacing w:val="3"/>
          <w:position w:val="29"/>
          <w:sz w:val="24"/>
          <w:szCs w:val="24"/>
          <w:highlight w:val="none"/>
          <w:lang w:val="en-US" w:eastAsia="zh-CN"/>
        </w:rPr>
        <w:t>货单位</w:t>
      </w:r>
      <w:r>
        <w:rPr>
          <w:rFonts w:hint="eastAsia" w:ascii="宋体" w:hAnsi="宋体" w:eastAsia="宋体" w:cs="宋体"/>
          <w:color w:val="auto"/>
          <w:spacing w:val="3"/>
          <w:position w:val="29"/>
          <w:sz w:val="24"/>
          <w:szCs w:val="24"/>
          <w:highlight w:val="none"/>
        </w:rPr>
        <w:t>根据对账需求可增加表头内容，不得删减表头内</w:t>
      </w:r>
      <w:r>
        <w:rPr>
          <w:rFonts w:hint="eastAsia" w:ascii="宋体" w:hAnsi="宋体" w:eastAsia="宋体" w:cs="宋体"/>
          <w:color w:val="auto"/>
          <w:spacing w:val="2"/>
          <w:position w:val="29"/>
          <w:sz w:val="24"/>
          <w:szCs w:val="24"/>
          <w:highlight w:val="none"/>
        </w:rPr>
        <w:t>容。</w:t>
      </w:r>
    </w:p>
    <w:p w14:paraId="55A5F362">
      <w:pPr>
        <w:pStyle w:val="8"/>
        <w:ind w:left="0" w:leftChars="0" w:firstLine="0" w:firstLineChars="0"/>
        <w:rPr>
          <w:rFonts w:hint="eastAsia" w:hAnsi="宋体" w:cs="宋体"/>
          <w:color w:val="auto"/>
          <w:spacing w:val="8"/>
          <w:position w:val="-1"/>
          <w:sz w:val="24"/>
          <w:szCs w:val="24"/>
          <w:highlight w:val="none"/>
          <w:lang w:eastAsia="zh-CN"/>
        </w:rPr>
      </w:pPr>
      <w:r>
        <w:rPr>
          <w:rFonts w:hint="eastAsia" w:ascii="宋体" w:hAnsi="宋体" w:eastAsia="宋体" w:cs="宋体"/>
          <w:color w:val="auto"/>
          <w:spacing w:val="-5"/>
          <w:position w:val="-1"/>
          <w:sz w:val="24"/>
          <w:szCs w:val="24"/>
          <w:highlight w:val="none"/>
          <w:lang w:val="en-US" w:eastAsia="zh-CN"/>
        </w:rPr>
        <w:t>收货单位对账人员签收</w:t>
      </w:r>
      <w:r>
        <w:rPr>
          <w:rFonts w:hint="eastAsia" w:ascii="宋体" w:hAnsi="宋体" w:cs="宋体"/>
          <w:color w:val="auto"/>
          <w:spacing w:val="-5"/>
          <w:position w:val="-1"/>
          <w:sz w:val="24"/>
          <w:szCs w:val="24"/>
          <w:highlight w:val="none"/>
          <w:lang w:val="en-US" w:eastAsia="zh-CN"/>
        </w:rPr>
        <w:t xml:space="preserve">：  </w:t>
      </w:r>
      <w:r>
        <w:rPr>
          <w:rFonts w:hint="eastAsia" w:hAnsi="宋体" w:cs="宋体"/>
          <w:color w:val="auto"/>
          <w:spacing w:val="-5"/>
          <w:position w:val="-1"/>
          <w:sz w:val="24"/>
          <w:szCs w:val="24"/>
          <w:highlight w:val="none"/>
          <w:lang w:val="en-US" w:eastAsia="zh-CN"/>
        </w:rPr>
        <w:t xml:space="preserve">                          </w:t>
      </w:r>
      <w:r>
        <w:rPr>
          <w:rFonts w:hint="eastAsia" w:ascii="宋体" w:hAnsi="宋体" w:eastAsia="宋体" w:cs="宋体"/>
          <w:color w:val="auto"/>
          <w:spacing w:val="8"/>
          <w:position w:val="-1"/>
          <w:sz w:val="24"/>
          <w:szCs w:val="24"/>
          <w:highlight w:val="none"/>
        </w:rPr>
        <w:t>供货单位签章</w:t>
      </w:r>
      <w:r>
        <w:rPr>
          <w:rFonts w:hint="eastAsia" w:hAnsi="宋体" w:cs="宋体"/>
          <w:color w:val="auto"/>
          <w:spacing w:val="8"/>
          <w:position w:val="-1"/>
          <w:sz w:val="24"/>
          <w:szCs w:val="24"/>
          <w:highlight w:val="none"/>
          <w:lang w:eastAsia="zh-CN"/>
        </w:rPr>
        <w:t>：</w:t>
      </w:r>
    </w:p>
    <w:p w14:paraId="6E2EA79D">
      <w:pPr>
        <w:pStyle w:val="8"/>
        <w:ind w:firstLine="0" w:firstLineChars="0"/>
        <w:rPr>
          <w:rFonts w:hint="eastAsia" w:hAnsi="宋体" w:cs="宋体"/>
          <w:color w:val="auto"/>
          <w:spacing w:val="8"/>
          <w:position w:val="-1"/>
          <w:sz w:val="24"/>
          <w:szCs w:val="24"/>
          <w:highlight w:val="none"/>
          <w:lang w:val="en-US" w:eastAsia="zh-CN"/>
        </w:rPr>
      </w:pPr>
      <w:r>
        <w:rPr>
          <w:rFonts w:hint="eastAsia" w:hAnsi="宋体" w:cs="宋体"/>
          <w:color w:val="auto"/>
          <w:spacing w:val="8"/>
          <w:position w:val="-1"/>
          <w:sz w:val="24"/>
          <w:szCs w:val="24"/>
          <w:highlight w:val="none"/>
          <w:lang w:val="en-US" w:eastAsia="zh-CN"/>
        </w:rPr>
        <w:t>日期：                                   日期：</w:t>
      </w:r>
    </w:p>
    <w:p w14:paraId="3B8AB836">
      <w:pPr>
        <w:pStyle w:val="8"/>
        <w:ind w:firstLine="0" w:firstLineChars="0"/>
        <w:rPr>
          <w:rFonts w:hint="eastAsia" w:hAnsi="宋体" w:cs="宋体"/>
          <w:color w:val="auto"/>
          <w:spacing w:val="8"/>
          <w:position w:val="-1"/>
          <w:sz w:val="24"/>
          <w:szCs w:val="24"/>
          <w:highlight w:val="none"/>
          <w:lang w:val="en-US" w:eastAsia="zh-CN"/>
        </w:rPr>
      </w:pPr>
    </w:p>
    <w:p w14:paraId="5B83755F">
      <w:pPr>
        <w:pStyle w:val="8"/>
        <w:ind w:firstLine="0" w:firstLineChars="0"/>
        <w:rPr>
          <w:rFonts w:hint="eastAsia" w:hAnsi="宋体" w:cs="宋体"/>
          <w:color w:val="auto"/>
          <w:spacing w:val="8"/>
          <w:position w:val="-1"/>
          <w:sz w:val="24"/>
          <w:szCs w:val="24"/>
          <w:highlight w:val="none"/>
          <w:lang w:val="en-US" w:eastAsia="zh-CN"/>
        </w:rPr>
      </w:pPr>
    </w:p>
    <w:p w14:paraId="332D48B3">
      <w:pPr>
        <w:pStyle w:val="8"/>
        <w:ind w:firstLine="0" w:firstLineChars="0"/>
        <w:rPr>
          <w:rFonts w:hint="eastAsia" w:hAnsi="宋体" w:cs="宋体"/>
          <w:color w:val="auto"/>
          <w:spacing w:val="8"/>
          <w:position w:val="-1"/>
          <w:sz w:val="24"/>
          <w:szCs w:val="24"/>
          <w:highlight w:val="none"/>
          <w:lang w:val="en-US" w:eastAsia="zh-CN"/>
        </w:rPr>
      </w:pPr>
    </w:p>
    <w:p w14:paraId="418F7A7B">
      <w:pPr>
        <w:pStyle w:val="8"/>
        <w:ind w:firstLine="0" w:firstLineChars="0"/>
        <w:rPr>
          <w:rFonts w:hint="eastAsia" w:hAnsi="宋体" w:cs="宋体"/>
          <w:color w:val="auto"/>
          <w:spacing w:val="8"/>
          <w:position w:val="-1"/>
          <w:sz w:val="24"/>
          <w:szCs w:val="24"/>
          <w:highlight w:val="none"/>
          <w:lang w:val="en-US" w:eastAsia="zh-CN"/>
        </w:rPr>
      </w:pPr>
    </w:p>
    <w:p w14:paraId="655D2A45">
      <w:pPr>
        <w:pStyle w:val="8"/>
        <w:ind w:firstLine="0" w:firstLineChars="0"/>
        <w:rPr>
          <w:rFonts w:hint="eastAsia" w:hAnsi="宋体" w:cs="宋体"/>
          <w:color w:val="auto"/>
          <w:spacing w:val="8"/>
          <w:position w:val="-1"/>
          <w:sz w:val="24"/>
          <w:szCs w:val="24"/>
          <w:highlight w:val="none"/>
          <w:lang w:val="en-US" w:eastAsia="zh-CN"/>
        </w:rPr>
      </w:pPr>
    </w:p>
    <w:p w14:paraId="22B63A7C">
      <w:pPr>
        <w:pStyle w:val="8"/>
        <w:ind w:firstLine="0" w:firstLineChars="0"/>
        <w:rPr>
          <w:rFonts w:hint="eastAsia" w:hAnsi="宋体" w:cs="宋体"/>
          <w:color w:val="auto"/>
          <w:spacing w:val="8"/>
          <w:position w:val="-1"/>
          <w:sz w:val="24"/>
          <w:szCs w:val="24"/>
          <w:highlight w:val="none"/>
          <w:lang w:val="en-US" w:eastAsia="zh-CN"/>
        </w:rPr>
      </w:pPr>
    </w:p>
    <w:p w14:paraId="4F2B639E">
      <w:pPr>
        <w:pStyle w:val="8"/>
        <w:ind w:firstLine="0" w:firstLineChars="0"/>
        <w:rPr>
          <w:rFonts w:hint="eastAsia" w:hAnsi="宋体" w:cs="宋体"/>
          <w:color w:val="auto"/>
          <w:spacing w:val="8"/>
          <w:position w:val="-1"/>
          <w:sz w:val="24"/>
          <w:szCs w:val="24"/>
          <w:highlight w:val="none"/>
          <w:lang w:val="en-US" w:eastAsia="zh-CN"/>
        </w:rPr>
      </w:pPr>
    </w:p>
    <w:p w14:paraId="7CBB603C">
      <w:pPr>
        <w:pStyle w:val="8"/>
        <w:ind w:firstLine="0" w:firstLineChars="0"/>
        <w:rPr>
          <w:rFonts w:hint="eastAsia" w:hAnsi="宋体" w:cs="宋体"/>
          <w:color w:val="auto"/>
          <w:spacing w:val="8"/>
          <w:position w:val="-1"/>
          <w:sz w:val="24"/>
          <w:szCs w:val="24"/>
          <w:highlight w:val="none"/>
          <w:lang w:val="en-US" w:eastAsia="zh-CN"/>
        </w:rPr>
      </w:pPr>
    </w:p>
    <w:p w14:paraId="1D416106">
      <w:pPr>
        <w:pStyle w:val="8"/>
        <w:ind w:firstLine="0" w:firstLineChars="0"/>
        <w:rPr>
          <w:rFonts w:hint="eastAsia" w:hAnsi="宋体" w:cs="宋体"/>
          <w:color w:val="auto"/>
          <w:spacing w:val="8"/>
          <w:position w:val="-1"/>
          <w:sz w:val="24"/>
          <w:szCs w:val="24"/>
          <w:highlight w:val="none"/>
          <w:lang w:val="en-US" w:eastAsia="zh-CN"/>
        </w:rPr>
      </w:pPr>
    </w:p>
    <w:p w14:paraId="2158247F">
      <w:pPr>
        <w:pStyle w:val="8"/>
        <w:ind w:firstLine="0" w:firstLineChars="0"/>
        <w:rPr>
          <w:rFonts w:hint="eastAsia" w:hAnsi="宋体" w:cs="宋体"/>
          <w:color w:val="auto"/>
          <w:spacing w:val="8"/>
          <w:position w:val="-1"/>
          <w:sz w:val="24"/>
          <w:szCs w:val="24"/>
          <w:highlight w:val="none"/>
          <w:lang w:val="en-US" w:eastAsia="zh-CN"/>
        </w:rPr>
      </w:pPr>
    </w:p>
    <w:p w14:paraId="12199702">
      <w:pPr>
        <w:pStyle w:val="8"/>
        <w:ind w:firstLine="0" w:firstLineChars="0"/>
        <w:rPr>
          <w:rFonts w:hint="eastAsia" w:hAnsi="宋体" w:cs="宋体"/>
          <w:color w:val="auto"/>
          <w:spacing w:val="8"/>
          <w:position w:val="-1"/>
          <w:sz w:val="24"/>
          <w:szCs w:val="24"/>
          <w:highlight w:val="none"/>
          <w:lang w:val="en-US" w:eastAsia="zh-CN"/>
        </w:rPr>
      </w:pPr>
    </w:p>
    <w:p w14:paraId="501CF46A">
      <w:pPr>
        <w:pStyle w:val="8"/>
        <w:ind w:firstLine="0" w:firstLineChars="0"/>
        <w:rPr>
          <w:rFonts w:hint="eastAsia" w:hAnsi="宋体" w:cs="宋体"/>
          <w:color w:val="auto"/>
          <w:spacing w:val="8"/>
          <w:position w:val="-1"/>
          <w:sz w:val="24"/>
          <w:szCs w:val="24"/>
          <w:highlight w:val="none"/>
          <w:lang w:val="en-US" w:eastAsia="zh-CN"/>
        </w:rPr>
      </w:pPr>
    </w:p>
    <w:p w14:paraId="1AD7D7D1">
      <w:pPr>
        <w:pStyle w:val="8"/>
        <w:ind w:firstLine="0" w:firstLineChars="0"/>
        <w:rPr>
          <w:rFonts w:hint="eastAsia" w:hAnsi="宋体" w:cs="宋体"/>
          <w:color w:val="auto"/>
          <w:spacing w:val="8"/>
          <w:position w:val="-1"/>
          <w:sz w:val="24"/>
          <w:szCs w:val="24"/>
          <w:highlight w:val="none"/>
          <w:lang w:val="en-US" w:eastAsia="zh-CN"/>
        </w:rPr>
      </w:pPr>
    </w:p>
    <w:p w14:paraId="3004B148">
      <w:pPr>
        <w:pStyle w:val="8"/>
        <w:ind w:firstLine="0" w:firstLineChars="0"/>
        <w:rPr>
          <w:rFonts w:hint="eastAsia" w:hAnsi="宋体" w:cs="宋体"/>
          <w:color w:val="auto"/>
          <w:spacing w:val="8"/>
          <w:position w:val="-1"/>
          <w:sz w:val="24"/>
          <w:szCs w:val="24"/>
          <w:highlight w:val="none"/>
          <w:lang w:val="en-US" w:eastAsia="zh-CN"/>
        </w:rPr>
      </w:pPr>
    </w:p>
    <w:p w14:paraId="3DF3D4C3">
      <w:pPr>
        <w:pStyle w:val="8"/>
        <w:ind w:firstLine="0" w:firstLineChars="0"/>
        <w:rPr>
          <w:rFonts w:hint="eastAsia" w:hAnsi="宋体" w:cs="宋体"/>
          <w:color w:val="auto"/>
          <w:spacing w:val="8"/>
          <w:position w:val="-1"/>
          <w:sz w:val="24"/>
          <w:szCs w:val="24"/>
          <w:highlight w:val="none"/>
          <w:lang w:val="en-US" w:eastAsia="zh-CN"/>
        </w:rPr>
      </w:pPr>
    </w:p>
    <w:p w14:paraId="099AB372">
      <w:pPr>
        <w:pStyle w:val="8"/>
        <w:ind w:firstLine="0" w:firstLineChars="0"/>
        <w:rPr>
          <w:rFonts w:hint="eastAsia" w:hAnsi="宋体" w:cs="宋体"/>
          <w:color w:val="auto"/>
          <w:spacing w:val="8"/>
          <w:position w:val="-1"/>
          <w:sz w:val="20"/>
          <w:szCs w:val="20"/>
          <w:highlight w:val="none"/>
          <w:lang w:val="en-US" w:eastAsia="zh-CN"/>
        </w:rPr>
      </w:pPr>
    </w:p>
    <w:p w14:paraId="05CC293B">
      <w:pPr>
        <w:jc w:val="right"/>
        <w:rPr>
          <w:rFonts w:hint="default" w:eastAsia="宋体"/>
          <w:color w:val="auto"/>
          <w:sz w:val="36"/>
          <w:szCs w:val="36"/>
          <w:highlight w:val="none"/>
          <w:lang w:val="en-US" w:eastAsia="zh-CN"/>
        </w:rPr>
      </w:pPr>
      <w:r>
        <w:rPr>
          <w:rFonts w:hint="eastAsia" w:ascii="仿宋" w:hAnsi="仿宋" w:eastAsia="仿宋" w:cs="仿宋"/>
          <w:color w:val="auto"/>
          <w:sz w:val="44"/>
          <w:szCs w:val="44"/>
          <w:highlight w:val="none"/>
          <w:lang w:val="en-US" w:eastAsia="zh-CN"/>
        </w:rPr>
        <w:t>附件八</w:t>
      </w:r>
    </w:p>
    <w:p w14:paraId="590F42AC">
      <w:pPr>
        <w:jc w:val="center"/>
        <w:rPr>
          <w:color w:val="auto"/>
          <w:highlight w:val="none"/>
        </w:rPr>
      </w:pPr>
      <w:r>
        <w:rPr>
          <w:color w:val="auto"/>
          <w:sz w:val="44"/>
          <w:highlight w:val="none"/>
        </w:rPr>
        <mc:AlternateContent>
          <mc:Choice Requires="wps">
            <w:drawing>
              <wp:anchor distT="0" distB="0" distL="114300" distR="114300" simplePos="0" relativeHeight="251661312" behindDoc="0" locked="0" layoutInCell="1" allowOverlap="1">
                <wp:simplePos x="0" y="0"/>
                <wp:positionH relativeFrom="column">
                  <wp:posOffset>8208645</wp:posOffset>
                </wp:positionH>
                <wp:positionV relativeFrom="paragraph">
                  <wp:posOffset>407035</wp:posOffset>
                </wp:positionV>
                <wp:extent cx="1208405" cy="3600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08405" cy="360045"/>
                        </a:xfrm>
                        <a:prstGeom prst="rect">
                          <a:avLst/>
                        </a:prstGeom>
                        <a:noFill/>
                        <a:ln w="6350">
                          <a:noFill/>
                        </a:ln>
                        <a:effectLst/>
                      </wps:spPr>
                      <wps:txbx>
                        <w:txbxContent>
                          <w:p w14:paraId="7F936047">
                            <w:pPr>
                              <w:rPr>
                                <w:b/>
                                <w:bCs/>
                                <w:sz w:val="30"/>
                                <w:szCs w:val="30"/>
                              </w:rPr>
                            </w:pPr>
                            <w:r>
                              <w:rPr>
                                <w:rFonts w:hint="eastAsia"/>
                                <w:b/>
                                <w:bCs/>
                                <w:sz w:val="30"/>
                                <w:szCs w:val="30"/>
                              </w:rPr>
                              <w:t>No.0000001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6.35pt;margin-top:32.05pt;height:28.35pt;width:95.15pt;z-index:251661312;mso-width-relative:page;mso-height-relative:page;" filled="f" stroked="f" coordsize="21600,21600" o:gfxdata="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zKZ3DbAAAADAEAAA8AAAAAAAAAAQAgAAAA&#10;IgAAAGRycy9kb3ducmV2LnhtbFBLAQIUABQAAAAIAIdO4kCAp0F9QQIAAHQEAAAOAAAAAAAAAAEA&#10;IAAAACoBAABkcnMvZTJvRG9jLnhtbFBLBQYAAAAABgAGAFkBAADdBQAAAAA=&#10;">
                <v:fill on="f" focussize="0,0"/>
                <v:stroke on="f" weight="0.5pt"/>
                <v:imagedata o:title=""/>
                <o:lock v:ext="edit" aspectratio="f"/>
                <v:textbox>
                  <w:txbxContent>
                    <w:p w14:paraId="7F936047">
                      <w:pPr>
                        <w:rPr>
                          <w:b/>
                          <w:bCs/>
                          <w:sz w:val="30"/>
                          <w:szCs w:val="30"/>
                        </w:rPr>
                      </w:pPr>
                      <w:r>
                        <w:rPr>
                          <w:rFonts w:hint="eastAsia"/>
                          <w:b/>
                          <w:bCs/>
                          <w:sz w:val="30"/>
                          <w:szCs w:val="30"/>
                        </w:rPr>
                        <w:t>No.0000001</w:t>
                      </w:r>
                    </w:p>
                  </w:txbxContent>
                </v:textbox>
              </v:shape>
            </w:pict>
          </mc:Fallback>
        </mc:AlternateContent>
      </w:r>
      <w:r>
        <w:rPr>
          <w:rFonts w:hint="eastAsia"/>
          <w:color w:val="auto"/>
          <w:sz w:val="44"/>
          <w:szCs w:val="44"/>
          <w:highlight w:val="none"/>
        </w:rPr>
        <w:drawing>
          <wp:inline distT="0" distB="0" distL="114300" distR="114300">
            <wp:extent cx="5977255" cy="673735"/>
            <wp:effectExtent l="0" t="0" r="12065" b="12065"/>
            <wp:docPr id="6" name="图片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OGO-1"/>
                    <pic:cNvPicPr>
                      <a:picLocks noChangeAspect="1"/>
                    </pic:cNvPicPr>
                  </pic:nvPicPr>
                  <pic:blipFill>
                    <a:blip r:embed="rId10" cstate="print">
                      <a:clrChange>
                        <a:clrFrom>
                          <a:srgbClr val="FFFFFF">
                            <a:alpha val="100000"/>
                          </a:srgbClr>
                        </a:clrFrom>
                        <a:clrTo>
                          <a:srgbClr val="FFFFFF">
                            <a:alpha val="100000"/>
                            <a:alpha val="0"/>
                          </a:srgbClr>
                        </a:clrTo>
                      </a:clrChange>
                    </a:blip>
                    <a:stretch>
                      <a:fillRect/>
                    </a:stretch>
                  </pic:blipFill>
                  <pic:spPr>
                    <a:xfrm>
                      <a:off x="0" y="0"/>
                      <a:ext cx="5977255" cy="673735"/>
                    </a:xfrm>
                    <a:prstGeom prst="rect">
                      <a:avLst/>
                    </a:prstGeom>
                  </pic:spPr>
                </pic:pic>
              </a:graphicData>
            </a:graphic>
          </wp:inline>
        </w:drawing>
      </w:r>
    </w:p>
    <w:p w14:paraId="37835CCE">
      <w:pPr>
        <w:spacing w:line="480" w:lineRule="exact"/>
        <w:jc w:val="center"/>
        <w:rPr>
          <w:color w:val="auto"/>
          <w:sz w:val="36"/>
          <w:szCs w:val="36"/>
          <w:highlight w:val="none"/>
        </w:rPr>
      </w:pPr>
      <w:r>
        <w:rPr>
          <w:rFonts w:hint="eastAsia"/>
          <w:color w:val="auto"/>
          <w:sz w:val="36"/>
          <w:szCs w:val="36"/>
          <w:highlight w:val="none"/>
        </w:rPr>
        <w:t>物 料 申 购 单</w:t>
      </w:r>
    </w:p>
    <w:p w14:paraId="7455F18E">
      <w:pPr>
        <w:jc w:val="left"/>
        <w:rPr>
          <w:color w:val="auto"/>
          <w:highlight w:val="none"/>
        </w:rPr>
      </w:pPr>
      <w:r>
        <w:rPr>
          <w:rFonts w:hint="eastAsia"/>
          <w:color w:val="auto"/>
          <w:highlight w:val="none"/>
        </w:rPr>
        <w:t xml:space="preserve">工程名称：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日期 ：     </w:t>
      </w:r>
      <w:r>
        <w:rPr>
          <w:rFonts w:hint="eastAsia"/>
          <w:color w:val="auto"/>
          <w:highlight w:val="none"/>
          <w:lang w:val="en-US" w:eastAsia="zh-CN"/>
        </w:rPr>
        <w:t xml:space="preserve">202 </w:t>
      </w:r>
      <w:r>
        <w:rPr>
          <w:rFonts w:hint="eastAsia"/>
          <w:color w:val="auto"/>
          <w:highlight w:val="none"/>
        </w:rPr>
        <w:t xml:space="preserve">年 </w:t>
      </w:r>
      <w:r>
        <w:rPr>
          <w:rFonts w:hint="eastAsia"/>
          <w:color w:val="auto"/>
          <w:highlight w:val="none"/>
          <w:lang w:val="en-US" w:eastAsia="zh-CN"/>
        </w:rPr>
        <w:t xml:space="preserve"> </w:t>
      </w:r>
      <w:r>
        <w:rPr>
          <w:rFonts w:hint="eastAsia"/>
          <w:color w:val="auto"/>
          <w:highlight w:val="none"/>
        </w:rPr>
        <w:t xml:space="preserve">月  日 </w:t>
      </w:r>
      <w:r>
        <w:rPr>
          <w:rFonts w:hint="eastAsia"/>
          <w:color w:val="auto"/>
          <w:highlight w:val="none"/>
          <w:lang w:val="en-US" w:eastAsia="zh-CN"/>
        </w:rPr>
        <w:t xml:space="preserve">   </w:t>
      </w:r>
      <w:r>
        <w:rPr>
          <w:rFonts w:hint="eastAsia"/>
          <w:color w:val="auto"/>
          <w:highlight w:val="none"/>
        </w:rPr>
        <w:t>第</w:t>
      </w:r>
      <w:r>
        <w:rPr>
          <w:rFonts w:hint="eastAsia"/>
          <w:color w:val="auto"/>
          <w:highlight w:val="none"/>
          <w:lang w:val="en-US" w:eastAsia="zh-CN"/>
        </w:rPr>
        <w:t xml:space="preserve">   </w:t>
      </w:r>
      <w:r>
        <w:rPr>
          <w:rFonts w:hint="eastAsia"/>
          <w:color w:val="auto"/>
          <w:highlight w:val="none"/>
        </w:rPr>
        <w:t xml:space="preserve">页                              </w:t>
      </w:r>
    </w:p>
    <w:tbl>
      <w:tblPr>
        <w:tblStyle w:val="10"/>
        <w:tblpPr w:leftFromText="180" w:rightFromText="180" w:vertAnchor="text" w:horzAnchor="page" w:tblpX="1365" w:tblpY="308"/>
        <w:tblOverlap w:val="never"/>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603"/>
        <w:gridCol w:w="1560"/>
        <w:gridCol w:w="1335"/>
        <w:gridCol w:w="1515"/>
        <w:gridCol w:w="1632"/>
      </w:tblGrid>
      <w:tr w14:paraId="638E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Align w:val="center"/>
          </w:tcPr>
          <w:p w14:paraId="3768492A">
            <w:pPr>
              <w:jc w:val="center"/>
              <w:rPr>
                <w:rFonts w:eastAsiaTheme="minorEastAsia"/>
                <w:color w:val="auto"/>
                <w:highlight w:val="none"/>
              </w:rPr>
            </w:pPr>
            <w:r>
              <w:rPr>
                <w:rFonts w:hint="eastAsia"/>
                <w:color w:val="auto"/>
                <w:highlight w:val="none"/>
              </w:rPr>
              <w:t>序号</w:t>
            </w:r>
          </w:p>
        </w:tc>
        <w:tc>
          <w:tcPr>
            <w:tcW w:w="2603" w:type="dxa"/>
            <w:vAlign w:val="center"/>
          </w:tcPr>
          <w:p w14:paraId="17B8E204">
            <w:pPr>
              <w:jc w:val="center"/>
              <w:rPr>
                <w:color w:val="auto"/>
                <w:highlight w:val="none"/>
              </w:rPr>
            </w:pPr>
            <w:r>
              <w:rPr>
                <w:rFonts w:hint="eastAsia"/>
                <w:color w:val="auto"/>
                <w:highlight w:val="none"/>
              </w:rPr>
              <w:t>材料名称/规格</w:t>
            </w:r>
          </w:p>
        </w:tc>
        <w:tc>
          <w:tcPr>
            <w:tcW w:w="1560" w:type="dxa"/>
            <w:vAlign w:val="center"/>
          </w:tcPr>
          <w:p w14:paraId="3447E146">
            <w:pPr>
              <w:jc w:val="center"/>
              <w:rPr>
                <w:color w:val="auto"/>
                <w:highlight w:val="none"/>
              </w:rPr>
            </w:pPr>
            <w:r>
              <w:rPr>
                <w:rFonts w:hint="eastAsia"/>
                <w:color w:val="auto"/>
                <w:highlight w:val="none"/>
              </w:rPr>
              <w:t>数量/单位</w:t>
            </w:r>
          </w:p>
        </w:tc>
        <w:tc>
          <w:tcPr>
            <w:tcW w:w="1335" w:type="dxa"/>
            <w:vAlign w:val="center"/>
          </w:tcPr>
          <w:p w14:paraId="70F1E67E">
            <w:pPr>
              <w:jc w:val="center"/>
              <w:rPr>
                <w:color w:val="auto"/>
                <w:highlight w:val="none"/>
              </w:rPr>
            </w:pPr>
            <w:r>
              <w:rPr>
                <w:rFonts w:hint="eastAsia"/>
                <w:color w:val="auto"/>
                <w:highlight w:val="none"/>
              </w:rPr>
              <w:t>到货日期</w:t>
            </w:r>
          </w:p>
        </w:tc>
        <w:tc>
          <w:tcPr>
            <w:tcW w:w="1515" w:type="dxa"/>
            <w:vAlign w:val="center"/>
          </w:tcPr>
          <w:p w14:paraId="6010095B">
            <w:pPr>
              <w:jc w:val="center"/>
              <w:rPr>
                <w:color w:val="auto"/>
                <w:highlight w:val="none"/>
              </w:rPr>
            </w:pPr>
            <w:r>
              <w:rPr>
                <w:rFonts w:hint="eastAsia"/>
                <w:color w:val="auto"/>
                <w:highlight w:val="none"/>
              </w:rPr>
              <w:t>质量要求</w:t>
            </w:r>
          </w:p>
        </w:tc>
        <w:tc>
          <w:tcPr>
            <w:tcW w:w="1632" w:type="dxa"/>
            <w:vAlign w:val="center"/>
          </w:tcPr>
          <w:p w14:paraId="5F90DD79">
            <w:pPr>
              <w:jc w:val="center"/>
              <w:rPr>
                <w:color w:val="auto"/>
                <w:highlight w:val="none"/>
              </w:rPr>
            </w:pPr>
            <w:r>
              <w:rPr>
                <w:rFonts w:hint="eastAsia"/>
                <w:color w:val="auto"/>
                <w:highlight w:val="none"/>
              </w:rPr>
              <w:t>用途等备注</w:t>
            </w:r>
          </w:p>
        </w:tc>
      </w:tr>
      <w:tr w14:paraId="4709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0" w:type="dxa"/>
            <w:vAlign w:val="center"/>
          </w:tcPr>
          <w:p w14:paraId="074D86E2">
            <w:pPr>
              <w:jc w:val="center"/>
              <w:rPr>
                <w:rFonts w:hint="eastAsia" w:eastAsia="宋体"/>
                <w:color w:val="auto"/>
                <w:highlight w:val="none"/>
                <w:lang w:val="en-US" w:eastAsia="zh-CN"/>
              </w:rPr>
            </w:pPr>
            <w:r>
              <w:rPr>
                <w:rFonts w:hint="eastAsia"/>
                <w:color w:val="auto"/>
                <w:highlight w:val="none"/>
                <w:lang w:val="en-US" w:eastAsia="zh-CN"/>
              </w:rPr>
              <w:t>1</w:t>
            </w:r>
          </w:p>
        </w:tc>
        <w:tc>
          <w:tcPr>
            <w:tcW w:w="2603" w:type="dxa"/>
            <w:vAlign w:val="center"/>
          </w:tcPr>
          <w:p w14:paraId="11F3EA0B">
            <w:pPr>
              <w:tabs>
                <w:tab w:val="left" w:pos="910"/>
              </w:tabs>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6D6BDC4B">
            <w:pPr>
              <w:jc w:val="center"/>
              <w:rPr>
                <w:rFonts w:hint="default" w:eastAsia="宋体"/>
                <w:color w:val="auto"/>
                <w:highlight w:val="none"/>
                <w:lang w:val="en-US" w:eastAsia="zh-CN"/>
              </w:rPr>
            </w:pPr>
          </w:p>
        </w:tc>
        <w:tc>
          <w:tcPr>
            <w:tcW w:w="1335" w:type="dxa"/>
            <w:vAlign w:val="center"/>
          </w:tcPr>
          <w:p w14:paraId="44014B9A">
            <w:pPr>
              <w:jc w:val="center"/>
              <w:rPr>
                <w:rFonts w:hint="default" w:eastAsia="宋体"/>
                <w:color w:val="auto"/>
                <w:highlight w:val="none"/>
                <w:lang w:val="en-US" w:eastAsia="zh-CN"/>
              </w:rPr>
            </w:pPr>
          </w:p>
        </w:tc>
        <w:tc>
          <w:tcPr>
            <w:tcW w:w="1515" w:type="dxa"/>
            <w:vAlign w:val="center"/>
          </w:tcPr>
          <w:p w14:paraId="2917CCBC">
            <w:pPr>
              <w:jc w:val="center"/>
              <w:rPr>
                <w:rFonts w:hint="default" w:eastAsia="宋体"/>
                <w:color w:val="auto"/>
                <w:highlight w:val="none"/>
                <w:lang w:val="en-US" w:eastAsia="zh-CN"/>
              </w:rPr>
            </w:pPr>
          </w:p>
        </w:tc>
        <w:tc>
          <w:tcPr>
            <w:tcW w:w="1632" w:type="dxa"/>
            <w:vMerge w:val="restart"/>
            <w:vAlign w:val="center"/>
          </w:tcPr>
          <w:p w14:paraId="2912317E">
            <w:pPr>
              <w:jc w:val="both"/>
              <w:rPr>
                <w:rFonts w:hint="default" w:ascii="Calibri" w:hAnsi="Calibri" w:eastAsia="宋体" w:cs="宋体"/>
                <w:color w:val="auto"/>
                <w:kern w:val="2"/>
                <w:sz w:val="21"/>
                <w:szCs w:val="24"/>
                <w:highlight w:val="none"/>
                <w:lang w:val="en-US" w:eastAsia="zh-CN" w:bidi="ar-SA"/>
              </w:rPr>
            </w:pPr>
          </w:p>
        </w:tc>
      </w:tr>
      <w:tr w14:paraId="1FBF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0" w:type="dxa"/>
            <w:vAlign w:val="center"/>
          </w:tcPr>
          <w:p w14:paraId="5B2D3B1F">
            <w:pPr>
              <w:jc w:val="center"/>
              <w:rPr>
                <w:rFonts w:hint="eastAsia" w:eastAsia="宋体"/>
                <w:color w:val="auto"/>
                <w:highlight w:val="none"/>
                <w:lang w:val="en-US" w:eastAsia="zh-CN"/>
              </w:rPr>
            </w:pPr>
            <w:r>
              <w:rPr>
                <w:rFonts w:hint="eastAsia"/>
                <w:color w:val="auto"/>
                <w:highlight w:val="none"/>
                <w:lang w:val="en-US" w:eastAsia="zh-CN"/>
              </w:rPr>
              <w:t>2</w:t>
            </w:r>
          </w:p>
        </w:tc>
        <w:tc>
          <w:tcPr>
            <w:tcW w:w="2603" w:type="dxa"/>
            <w:vAlign w:val="center"/>
          </w:tcPr>
          <w:p w14:paraId="4D4739F0">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74D25EEB">
            <w:pPr>
              <w:jc w:val="center"/>
              <w:rPr>
                <w:rFonts w:hint="default" w:eastAsia="宋体"/>
                <w:color w:val="auto"/>
                <w:highlight w:val="none"/>
                <w:lang w:val="en-US" w:eastAsia="zh-CN"/>
              </w:rPr>
            </w:pPr>
          </w:p>
        </w:tc>
        <w:tc>
          <w:tcPr>
            <w:tcW w:w="1335" w:type="dxa"/>
            <w:vAlign w:val="center"/>
          </w:tcPr>
          <w:p w14:paraId="0A57118A">
            <w:pPr>
              <w:jc w:val="center"/>
              <w:rPr>
                <w:rFonts w:hint="default" w:eastAsia="宋体"/>
                <w:color w:val="auto"/>
                <w:highlight w:val="none"/>
                <w:lang w:val="en-US" w:eastAsia="zh-CN"/>
              </w:rPr>
            </w:pPr>
          </w:p>
        </w:tc>
        <w:tc>
          <w:tcPr>
            <w:tcW w:w="1515" w:type="dxa"/>
            <w:vAlign w:val="center"/>
          </w:tcPr>
          <w:p w14:paraId="5FC1FDCB">
            <w:pPr>
              <w:jc w:val="center"/>
              <w:rPr>
                <w:rFonts w:hint="eastAsia" w:eastAsia="宋体"/>
                <w:color w:val="auto"/>
                <w:highlight w:val="none"/>
                <w:lang w:eastAsia="zh-CN"/>
              </w:rPr>
            </w:pPr>
          </w:p>
        </w:tc>
        <w:tc>
          <w:tcPr>
            <w:tcW w:w="1632" w:type="dxa"/>
            <w:vMerge w:val="continue"/>
            <w:vAlign w:val="center"/>
          </w:tcPr>
          <w:p w14:paraId="492EEADE">
            <w:pPr>
              <w:jc w:val="center"/>
              <w:rPr>
                <w:rFonts w:hint="default" w:ascii="Calibri" w:hAnsi="Calibri" w:eastAsia="宋体" w:cs="宋体"/>
                <w:color w:val="auto"/>
                <w:kern w:val="2"/>
                <w:sz w:val="21"/>
                <w:szCs w:val="24"/>
                <w:highlight w:val="none"/>
                <w:lang w:val="en-US" w:eastAsia="zh-CN" w:bidi="ar-SA"/>
              </w:rPr>
            </w:pPr>
          </w:p>
        </w:tc>
      </w:tr>
      <w:tr w14:paraId="2E8D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0" w:type="dxa"/>
            <w:vAlign w:val="center"/>
          </w:tcPr>
          <w:p w14:paraId="12DDD1FD">
            <w:pPr>
              <w:jc w:val="center"/>
              <w:rPr>
                <w:rFonts w:hint="eastAsia" w:eastAsia="宋体"/>
                <w:color w:val="auto"/>
                <w:highlight w:val="none"/>
                <w:lang w:val="en-US" w:eastAsia="zh-CN"/>
              </w:rPr>
            </w:pPr>
            <w:r>
              <w:rPr>
                <w:rFonts w:hint="eastAsia"/>
                <w:color w:val="auto"/>
                <w:highlight w:val="none"/>
                <w:lang w:val="en-US" w:eastAsia="zh-CN"/>
              </w:rPr>
              <w:t>3</w:t>
            </w:r>
          </w:p>
        </w:tc>
        <w:tc>
          <w:tcPr>
            <w:tcW w:w="2603" w:type="dxa"/>
            <w:vAlign w:val="center"/>
          </w:tcPr>
          <w:p w14:paraId="383610DA">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2A35D196">
            <w:pPr>
              <w:jc w:val="center"/>
              <w:rPr>
                <w:rFonts w:hint="default" w:eastAsia="宋体"/>
                <w:color w:val="auto"/>
                <w:highlight w:val="none"/>
                <w:lang w:val="en-US" w:eastAsia="zh-CN"/>
              </w:rPr>
            </w:pPr>
          </w:p>
        </w:tc>
        <w:tc>
          <w:tcPr>
            <w:tcW w:w="1335" w:type="dxa"/>
            <w:vAlign w:val="center"/>
          </w:tcPr>
          <w:p w14:paraId="10F97E59">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46516892">
            <w:pPr>
              <w:jc w:val="center"/>
              <w:rPr>
                <w:rFonts w:hint="eastAsia" w:eastAsia="宋体"/>
                <w:color w:val="auto"/>
                <w:highlight w:val="none"/>
                <w:lang w:val="en-US" w:eastAsia="zh-CN"/>
              </w:rPr>
            </w:pPr>
          </w:p>
        </w:tc>
        <w:tc>
          <w:tcPr>
            <w:tcW w:w="1632" w:type="dxa"/>
            <w:vMerge w:val="continue"/>
            <w:vAlign w:val="center"/>
          </w:tcPr>
          <w:p w14:paraId="5AE7E4A6">
            <w:pPr>
              <w:jc w:val="center"/>
              <w:rPr>
                <w:rFonts w:hint="default" w:ascii="Calibri" w:hAnsi="Calibri" w:eastAsia="宋体" w:cs="宋体"/>
                <w:color w:val="auto"/>
                <w:kern w:val="2"/>
                <w:sz w:val="21"/>
                <w:szCs w:val="24"/>
                <w:highlight w:val="none"/>
                <w:lang w:val="en-US" w:eastAsia="zh-CN" w:bidi="ar-SA"/>
              </w:rPr>
            </w:pPr>
          </w:p>
        </w:tc>
      </w:tr>
      <w:tr w14:paraId="0011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80" w:type="dxa"/>
            <w:vAlign w:val="center"/>
          </w:tcPr>
          <w:p w14:paraId="2CCD8B27">
            <w:pPr>
              <w:jc w:val="center"/>
              <w:rPr>
                <w:rFonts w:hint="eastAsia" w:eastAsia="宋体"/>
                <w:color w:val="auto"/>
                <w:highlight w:val="none"/>
                <w:lang w:val="en-US" w:eastAsia="zh-CN"/>
              </w:rPr>
            </w:pPr>
            <w:r>
              <w:rPr>
                <w:rFonts w:hint="eastAsia"/>
                <w:color w:val="auto"/>
                <w:highlight w:val="none"/>
                <w:lang w:val="en-US" w:eastAsia="zh-CN"/>
              </w:rPr>
              <w:t>4</w:t>
            </w:r>
          </w:p>
        </w:tc>
        <w:tc>
          <w:tcPr>
            <w:tcW w:w="2603" w:type="dxa"/>
            <w:vAlign w:val="center"/>
          </w:tcPr>
          <w:p w14:paraId="3C7B86A4">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50125C50">
            <w:pPr>
              <w:jc w:val="center"/>
              <w:rPr>
                <w:rFonts w:hint="default" w:ascii="Calibri" w:hAnsi="Calibri" w:eastAsia="宋体" w:cs="宋体"/>
                <w:color w:val="auto"/>
                <w:kern w:val="2"/>
                <w:sz w:val="21"/>
                <w:szCs w:val="24"/>
                <w:highlight w:val="none"/>
                <w:lang w:val="en-US" w:eastAsia="zh-CN" w:bidi="ar-SA"/>
              </w:rPr>
            </w:pPr>
          </w:p>
        </w:tc>
        <w:tc>
          <w:tcPr>
            <w:tcW w:w="1335" w:type="dxa"/>
            <w:vAlign w:val="center"/>
          </w:tcPr>
          <w:p w14:paraId="27B0B446">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23BB0C24">
            <w:pPr>
              <w:jc w:val="center"/>
              <w:rPr>
                <w:rFonts w:hint="eastAsia" w:eastAsia="宋体"/>
                <w:color w:val="auto"/>
                <w:highlight w:val="none"/>
                <w:lang w:eastAsia="zh-CN"/>
              </w:rPr>
            </w:pPr>
          </w:p>
        </w:tc>
        <w:tc>
          <w:tcPr>
            <w:tcW w:w="1632" w:type="dxa"/>
            <w:vMerge w:val="continue"/>
            <w:vAlign w:val="center"/>
          </w:tcPr>
          <w:p w14:paraId="533525BA">
            <w:pPr>
              <w:jc w:val="center"/>
              <w:rPr>
                <w:rFonts w:hint="default" w:ascii="Calibri" w:hAnsi="Calibri" w:eastAsia="宋体" w:cs="宋体"/>
                <w:color w:val="auto"/>
                <w:kern w:val="2"/>
                <w:sz w:val="21"/>
                <w:szCs w:val="24"/>
                <w:highlight w:val="none"/>
                <w:lang w:val="en-US" w:eastAsia="zh-CN" w:bidi="ar-SA"/>
              </w:rPr>
            </w:pPr>
          </w:p>
        </w:tc>
      </w:tr>
      <w:tr w14:paraId="3BA1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80" w:type="dxa"/>
            <w:vAlign w:val="center"/>
          </w:tcPr>
          <w:p w14:paraId="41F02783">
            <w:pPr>
              <w:jc w:val="center"/>
              <w:rPr>
                <w:rFonts w:hint="default"/>
                <w:color w:val="auto"/>
                <w:highlight w:val="none"/>
                <w:lang w:val="en-US" w:eastAsia="zh-CN"/>
              </w:rPr>
            </w:pPr>
            <w:r>
              <w:rPr>
                <w:rFonts w:hint="eastAsia"/>
                <w:color w:val="auto"/>
                <w:highlight w:val="none"/>
                <w:lang w:val="en-US" w:eastAsia="zh-CN"/>
              </w:rPr>
              <w:t>5</w:t>
            </w:r>
          </w:p>
        </w:tc>
        <w:tc>
          <w:tcPr>
            <w:tcW w:w="2603" w:type="dxa"/>
            <w:vAlign w:val="center"/>
          </w:tcPr>
          <w:p w14:paraId="603141F3">
            <w:pPr>
              <w:jc w:val="center"/>
              <w:rPr>
                <w:rFonts w:hint="default" w:ascii="Calibri" w:hAnsi="Calibri" w:eastAsia="宋体" w:cs="Calibri"/>
                <w:color w:val="auto"/>
                <w:kern w:val="2"/>
                <w:sz w:val="21"/>
                <w:szCs w:val="24"/>
                <w:highlight w:val="none"/>
                <w:lang w:val="en-US" w:eastAsia="zh-CN" w:bidi="ar-SA"/>
              </w:rPr>
            </w:pPr>
          </w:p>
        </w:tc>
        <w:tc>
          <w:tcPr>
            <w:tcW w:w="1560" w:type="dxa"/>
            <w:vAlign w:val="center"/>
          </w:tcPr>
          <w:p w14:paraId="45FFCA90">
            <w:pPr>
              <w:jc w:val="center"/>
              <w:rPr>
                <w:rFonts w:hint="eastAsia" w:ascii="Calibri" w:hAnsi="Calibri" w:eastAsia="宋体" w:cs="宋体"/>
                <w:color w:val="auto"/>
                <w:kern w:val="2"/>
                <w:sz w:val="21"/>
                <w:szCs w:val="24"/>
                <w:highlight w:val="none"/>
                <w:lang w:val="en-US" w:eastAsia="zh-CN" w:bidi="ar-SA"/>
              </w:rPr>
            </w:pPr>
          </w:p>
        </w:tc>
        <w:tc>
          <w:tcPr>
            <w:tcW w:w="1335" w:type="dxa"/>
            <w:vAlign w:val="center"/>
          </w:tcPr>
          <w:p w14:paraId="0C2EA8C8">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5883E3CC">
            <w:pPr>
              <w:jc w:val="center"/>
              <w:rPr>
                <w:rFonts w:hint="eastAsia" w:ascii="Calibri" w:hAnsi="Calibri" w:eastAsia="宋体" w:cs="宋体"/>
                <w:color w:val="auto"/>
                <w:kern w:val="2"/>
                <w:sz w:val="21"/>
                <w:szCs w:val="24"/>
                <w:highlight w:val="none"/>
                <w:lang w:val="en-US" w:eastAsia="zh-CN" w:bidi="ar-SA"/>
              </w:rPr>
            </w:pPr>
          </w:p>
        </w:tc>
        <w:tc>
          <w:tcPr>
            <w:tcW w:w="1632" w:type="dxa"/>
            <w:vMerge w:val="continue"/>
            <w:vAlign w:val="center"/>
          </w:tcPr>
          <w:p w14:paraId="7A0DDB95">
            <w:pPr>
              <w:jc w:val="center"/>
              <w:rPr>
                <w:rFonts w:hint="default" w:ascii="Calibri" w:hAnsi="Calibri" w:eastAsia="宋体" w:cs="宋体"/>
                <w:color w:val="auto"/>
                <w:kern w:val="2"/>
                <w:sz w:val="21"/>
                <w:szCs w:val="24"/>
                <w:highlight w:val="none"/>
                <w:lang w:val="en-US" w:eastAsia="zh-CN" w:bidi="ar-SA"/>
              </w:rPr>
            </w:pPr>
          </w:p>
        </w:tc>
      </w:tr>
      <w:tr w14:paraId="3856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80" w:type="dxa"/>
            <w:vAlign w:val="center"/>
          </w:tcPr>
          <w:p w14:paraId="44A51C12">
            <w:pPr>
              <w:jc w:val="center"/>
              <w:rPr>
                <w:rFonts w:hint="default" w:eastAsia="宋体"/>
                <w:color w:val="auto"/>
                <w:highlight w:val="none"/>
                <w:lang w:val="en-US" w:eastAsia="zh-CN"/>
              </w:rPr>
            </w:pPr>
            <w:r>
              <w:rPr>
                <w:rFonts w:hint="eastAsia"/>
                <w:color w:val="auto"/>
                <w:highlight w:val="none"/>
                <w:lang w:val="en-US" w:eastAsia="zh-CN"/>
              </w:rPr>
              <w:t>6</w:t>
            </w:r>
          </w:p>
        </w:tc>
        <w:tc>
          <w:tcPr>
            <w:tcW w:w="2603" w:type="dxa"/>
            <w:vAlign w:val="center"/>
          </w:tcPr>
          <w:p w14:paraId="5D53E567">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432A12AA">
            <w:pPr>
              <w:jc w:val="center"/>
              <w:rPr>
                <w:rFonts w:hint="default" w:eastAsia="宋体"/>
                <w:color w:val="auto"/>
                <w:highlight w:val="none"/>
                <w:lang w:val="en-US" w:eastAsia="zh-CN"/>
              </w:rPr>
            </w:pPr>
          </w:p>
        </w:tc>
        <w:tc>
          <w:tcPr>
            <w:tcW w:w="1335" w:type="dxa"/>
            <w:vAlign w:val="center"/>
          </w:tcPr>
          <w:p w14:paraId="6C4A9FB8">
            <w:pPr>
              <w:jc w:val="center"/>
              <w:rPr>
                <w:rFonts w:hint="eastAsia" w:ascii="Calibri" w:hAnsi="Calibri" w:eastAsia="宋体" w:cs="宋体"/>
                <w:color w:val="auto"/>
                <w:kern w:val="2"/>
                <w:sz w:val="21"/>
                <w:szCs w:val="24"/>
                <w:highlight w:val="none"/>
                <w:lang w:val="en-US" w:eastAsia="zh-CN" w:bidi="ar-SA"/>
              </w:rPr>
            </w:pPr>
          </w:p>
        </w:tc>
        <w:tc>
          <w:tcPr>
            <w:tcW w:w="1515" w:type="dxa"/>
            <w:vAlign w:val="center"/>
          </w:tcPr>
          <w:p w14:paraId="50E47EE4">
            <w:pPr>
              <w:jc w:val="center"/>
              <w:rPr>
                <w:rFonts w:hint="eastAsia" w:eastAsia="宋体"/>
                <w:color w:val="auto"/>
                <w:highlight w:val="none"/>
                <w:lang w:eastAsia="zh-CN"/>
              </w:rPr>
            </w:pPr>
          </w:p>
        </w:tc>
        <w:tc>
          <w:tcPr>
            <w:tcW w:w="1632" w:type="dxa"/>
            <w:vMerge w:val="continue"/>
            <w:vAlign w:val="center"/>
          </w:tcPr>
          <w:p w14:paraId="61543770">
            <w:pPr>
              <w:jc w:val="center"/>
              <w:rPr>
                <w:rFonts w:hint="default" w:eastAsia="宋体"/>
                <w:color w:val="auto"/>
                <w:highlight w:val="none"/>
                <w:lang w:val="en-US" w:eastAsia="zh-CN"/>
              </w:rPr>
            </w:pPr>
          </w:p>
        </w:tc>
      </w:tr>
      <w:tr w14:paraId="7644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37A0BDD6">
            <w:pPr>
              <w:jc w:val="center"/>
              <w:rPr>
                <w:rFonts w:hint="default"/>
                <w:color w:val="auto"/>
                <w:highlight w:val="none"/>
                <w:lang w:val="en-US" w:eastAsia="zh-CN"/>
              </w:rPr>
            </w:pPr>
            <w:r>
              <w:rPr>
                <w:rFonts w:hint="eastAsia"/>
                <w:color w:val="auto"/>
                <w:highlight w:val="none"/>
                <w:lang w:val="en-US" w:eastAsia="zh-CN"/>
              </w:rPr>
              <w:t>7</w:t>
            </w:r>
          </w:p>
        </w:tc>
        <w:tc>
          <w:tcPr>
            <w:tcW w:w="2603" w:type="dxa"/>
            <w:vAlign w:val="center"/>
          </w:tcPr>
          <w:p w14:paraId="4AFF9CF3">
            <w:pPr>
              <w:jc w:val="center"/>
              <w:rPr>
                <w:rFonts w:hint="default" w:eastAsia="宋体"/>
                <w:color w:val="auto"/>
                <w:highlight w:val="none"/>
                <w:lang w:val="en-US" w:eastAsia="zh-CN"/>
              </w:rPr>
            </w:pPr>
          </w:p>
        </w:tc>
        <w:tc>
          <w:tcPr>
            <w:tcW w:w="1560" w:type="dxa"/>
            <w:vAlign w:val="center"/>
          </w:tcPr>
          <w:p w14:paraId="07C0C009">
            <w:pPr>
              <w:jc w:val="center"/>
              <w:rPr>
                <w:rFonts w:hint="default" w:eastAsia="宋体"/>
                <w:color w:val="auto"/>
                <w:highlight w:val="none"/>
                <w:lang w:val="en-US" w:eastAsia="zh-CN"/>
              </w:rPr>
            </w:pPr>
          </w:p>
        </w:tc>
        <w:tc>
          <w:tcPr>
            <w:tcW w:w="1335" w:type="dxa"/>
            <w:vAlign w:val="center"/>
          </w:tcPr>
          <w:p w14:paraId="12D0ABB5">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78D3F012">
            <w:pPr>
              <w:jc w:val="center"/>
              <w:rPr>
                <w:rFonts w:hint="default" w:eastAsia="宋体"/>
                <w:color w:val="auto"/>
                <w:highlight w:val="none"/>
                <w:lang w:val="en-US" w:eastAsia="zh-CN"/>
              </w:rPr>
            </w:pPr>
          </w:p>
        </w:tc>
        <w:tc>
          <w:tcPr>
            <w:tcW w:w="1632" w:type="dxa"/>
            <w:vMerge w:val="continue"/>
            <w:vAlign w:val="center"/>
          </w:tcPr>
          <w:p w14:paraId="4E4F89C8">
            <w:pPr>
              <w:jc w:val="center"/>
              <w:rPr>
                <w:rFonts w:hint="eastAsia" w:ascii="Calibri" w:hAnsi="Calibri" w:eastAsia="宋体" w:cs="宋体"/>
                <w:color w:val="auto"/>
                <w:kern w:val="2"/>
                <w:sz w:val="21"/>
                <w:szCs w:val="24"/>
                <w:highlight w:val="none"/>
                <w:lang w:val="en-US" w:eastAsia="zh-CN" w:bidi="ar-SA"/>
              </w:rPr>
            </w:pPr>
          </w:p>
        </w:tc>
      </w:tr>
      <w:tr w14:paraId="263D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80" w:type="dxa"/>
            <w:vAlign w:val="center"/>
          </w:tcPr>
          <w:p w14:paraId="021F7746">
            <w:pPr>
              <w:jc w:val="center"/>
              <w:rPr>
                <w:rFonts w:hint="default"/>
                <w:color w:val="auto"/>
                <w:highlight w:val="none"/>
                <w:lang w:val="en-US" w:eastAsia="zh-CN"/>
              </w:rPr>
            </w:pPr>
            <w:r>
              <w:rPr>
                <w:rFonts w:hint="eastAsia"/>
                <w:color w:val="auto"/>
                <w:highlight w:val="none"/>
                <w:lang w:val="en-US" w:eastAsia="zh-CN"/>
              </w:rPr>
              <w:t>8</w:t>
            </w:r>
          </w:p>
        </w:tc>
        <w:tc>
          <w:tcPr>
            <w:tcW w:w="2603" w:type="dxa"/>
            <w:vAlign w:val="center"/>
          </w:tcPr>
          <w:p w14:paraId="680A2B98">
            <w:pPr>
              <w:jc w:val="center"/>
              <w:rPr>
                <w:rFonts w:hint="eastAsia" w:eastAsia="宋体"/>
                <w:color w:val="auto"/>
                <w:highlight w:val="none"/>
                <w:lang w:val="en-US" w:eastAsia="zh-CN"/>
              </w:rPr>
            </w:pPr>
          </w:p>
        </w:tc>
        <w:tc>
          <w:tcPr>
            <w:tcW w:w="1560" w:type="dxa"/>
            <w:vAlign w:val="center"/>
          </w:tcPr>
          <w:p w14:paraId="7DA2071B">
            <w:pPr>
              <w:jc w:val="center"/>
              <w:rPr>
                <w:rFonts w:hint="default" w:eastAsia="宋体"/>
                <w:color w:val="auto"/>
                <w:highlight w:val="none"/>
                <w:lang w:val="en-US" w:eastAsia="zh-CN"/>
              </w:rPr>
            </w:pPr>
          </w:p>
        </w:tc>
        <w:tc>
          <w:tcPr>
            <w:tcW w:w="1335" w:type="dxa"/>
            <w:vAlign w:val="center"/>
          </w:tcPr>
          <w:p w14:paraId="32D92B12">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35663F28">
            <w:pPr>
              <w:jc w:val="center"/>
              <w:rPr>
                <w:rFonts w:hint="default" w:eastAsia="宋体"/>
                <w:color w:val="auto"/>
                <w:highlight w:val="none"/>
                <w:lang w:val="en-US" w:eastAsia="zh-CN"/>
              </w:rPr>
            </w:pPr>
          </w:p>
        </w:tc>
        <w:tc>
          <w:tcPr>
            <w:tcW w:w="1632" w:type="dxa"/>
            <w:vMerge w:val="continue"/>
            <w:vAlign w:val="center"/>
          </w:tcPr>
          <w:p w14:paraId="2D4CE460">
            <w:pPr>
              <w:jc w:val="center"/>
              <w:rPr>
                <w:rFonts w:hint="eastAsia" w:ascii="Calibri" w:hAnsi="Calibri" w:eastAsia="宋体" w:cs="宋体"/>
                <w:color w:val="auto"/>
                <w:kern w:val="2"/>
                <w:sz w:val="21"/>
                <w:szCs w:val="24"/>
                <w:highlight w:val="none"/>
                <w:lang w:val="en-US" w:eastAsia="zh-CN" w:bidi="ar-SA"/>
              </w:rPr>
            </w:pPr>
          </w:p>
        </w:tc>
      </w:tr>
      <w:tr w14:paraId="5637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0" w:type="dxa"/>
            <w:vAlign w:val="center"/>
          </w:tcPr>
          <w:p w14:paraId="592C9A30">
            <w:pPr>
              <w:jc w:val="center"/>
              <w:rPr>
                <w:rFonts w:hint="default"/>
                <w:color w:val="auto"/>
                <w:highlight w:val="none"/>
                <w:lang w:val="en-US" w:eastAsia="zh-CN"/>
              </w:rPr>
            </w:pPr>
            <w:r>
              <w:rPr>
                <w:rFonts w:hint="eastAsia"/>
                <w:color w:val="auto"/>
                <w:highlight w:val="none"/>
                <w:lang w:val="en-US" w:eastAsia="zh-CN"/>
              </w:rPr>
              <w:t>9</w:t>
            </w:r>
          </w:p>
        </w:tc>
        <w:tc>
          <w:tcPr>
            <w:tcW w:w="2603" w:type="dxa"/>
            <w:vAlign w:val="center"/>
          </w:tcPr>
          <w:p w14:paraId="22439C2B">
            <w:pPr>
              <w:jc w:val="center"/>
              <w:rPr>
                <w:rFonts w:hint="eastAsia" w:eastAsia="宋体"/>
                <w:color w:val="auto"/>
                <w:highlight w:val="none"/>
                <w:lang w:val="en-US" w:eastAsia="zh-CN"/>
              </w:rPr>
            </w:pPr>
          </w:p>
        </w:tc>
        <w:tc>
          <w:tcPr>
            <w:tcW w:w="1560" w:type="dxa"/>
            <w:vAlign w:val="center"/>
          </w:tcPr>
          <w:p w14:paraId="672D678F">
            <w:pPr>
              <w:jc w:val="center"/>
              <w:rPr>
                <w:rFonts w:hint="default" w:eastAsia="宋体"/>
                <w:color w:val="auto"/>
                <w:highlight w:val="none"/>
                <w:lang w:val="en-US" w:eastAsia="zh-CN"/>
              </w:rPr>
            </w:pPr>
          </w:p>
        </w:tc>
        <w:tc>
          <w:tcPr>
            <w:tcW w:w="1335" w:type="dxa"/>
            <w:vAlign w:val="center"/>
          </w:tcPr>
          <w:p w14:paraId="6B15DA39">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4CFC8AF2">
            <w:pPr>
              <w:jc w:val="center"/>
              <w:rPr>
                <w:rFonts w:hint="default" w:eastAsia="宋体"/>
                <w:color w:val="auto"/>
                <w:highlight w:val="none"/>
                <w:lang w:val="en-US" w:eastAsia="zh-CN"/>
              </w:rPr>
            </w:pPr>
          </w:p>
        </w:tc>
        <w:tc>
          <w:tcPr>
            <w:tcW w:w="1632" w:type="dxa"/>
            <w:vMerge w:val="continue"/>
            <w:vAlign w:val="center"/>
          </w:tcPr>
          <w:p w14:paraId="23913088">
            <w:pPr>
              <w:jc w:val="center"/>
              <w:rPr>
                <w:rFonts w:hint="eastAsia" w:eastAsia="宋体"/>
                <w:color w:val="auto"/>
                <w:highlight w:val="none"/>
                <w:lang w:eastAsia="zh-CN"/>
              </w:rPr>
            </w:pPr>
          </w:p>
        </w:tc>
      </w:tr>
      <w:tr w14:paraId="4DC57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vAlign w:val="center"/>
          </w:tcPr>
          <w:p w14:paraId="61E18382">
            <w:pPr>
              <w:jc w:val="center"/>
              <w:rPr>
                <w:rFonts w:hint="default"/>
                <w:color w:val="auto"/>
                <w:highlight w:val="none"/>
                <w:lang w:val="en-US" w:eastAsia="zh-CN"/>
              </w:rPr>
            </w:pPr>
            <w:r>
              <w:rPr>
                <w:rFonts w:hint="eastAsia"/>
                <w:color w:val="auto"/>
                <w:highlight w:val="none"/>
                <w:lang w:val="en-US" w:eastAsia="zh-CN"/>
              </w:rPr>
              <w:t>10</w:t>
            </w:r>
          </w:p>
        </w:tc>
        <w:tc>
          <w:tcPr>
            <w:tcW w:w="2603" w:type="dxa"/>
            <w:vAlign w:val="center"/>
          </w:tcPr>
          <w:p w14:paraId="3D2D8281">
            <w:pPr>
              <w:jc w:val="center"/>
              <w:rPr>
                <w:rFonts w:hint="eastAsia" w:eastAsia="宋体"/>
                <w:color w:val="auto"/>
                <w:highlight w:val="none"/>
                <w:lang w:val="en-US" w:eastAsia="zh-CN"/>
              </w:rPr>
            </w:pPr>
          </w:p>
        </w:tc>
        <w:tc>
          <w:tcPr>
            <w:tcW w:w="1560" w:type="dxa"/>
            <w:vAlign w:val="center"/>
          </w:tcPr>
          <w:p w14:paraId="3E2F848B">
            <w:pPr>
              <w:jc w:val="center"/>
              <w:rPr>
                <w:rFonts w:hint="default" w:eastAsia="宋体"/>
                <w:color w:val="auto"/>
                <w:highlight w:val="none"/>
                <w:lang w:val="en-US" w:eastAsia="zh-CN"/>
              </w:rPr>
            </w:pPr>
          </w:p>
        </w:tc>
        <w:tc>
          <w:tcPr>
            <w:tcW w:w="1335" w:type="dxa"/>
            <w:vAlign w:val="center"/>
          </w:tcPr>
          <w:p w14:paraId="54F5B863">
            <w:pPr>
              <w:jc w:val="center"/>
              <w:rPr>
                <w:rFonts w:hint="default" w:eastAsia="宋体"/>
                <w:color w:val="auto"/>
                <w:highlight w:val="none"/>
                <w:lang w:val="en-US" w:eastAsia="zh-CN"/>
              </w:rPr>
            </w:pPr>
          </w:p>
        </w:tc>
        <w:tc>
          <w:tcPr>
            <w:tcW w:w="1515" w:type="dxa"/>
            <w:vAlign w:val="center"/>
          </w:tcPr>
          <w:p w14:paraId="0D09AB08">
            <w:pPr>
              <w:jc w:val="center"/>
              <w:rPr>
                <w:rFonts w:hint="default" w:eastAsia="宋体"/>
                <w:color w:val="auto"/>
                <w:highlight w:val="none"/>
                <w:lang w:val="en-US" w:eastAsia="zh-CN"/>
              </w:rPr>
            </w:pPr>
          </w:p>
        </w:tc>
        <w:tc>
          <w:tcPr>
            <w:tcW w:w="1632" w:type="dxa"/>
            <w:vMerge w:val="continue"/>
            <w:vAlign w:val="center"/>
          </w:tcPr>
          <w:p w14:paraId="306C6146">
            <w:pPr>
              <w:jc w:val="center"/>
              <w:rPr>
                <w:rFonts w:hint="eastAsia" w:eastAsia="宋体"/>
                <w:color w:val="auto"/>
                <w:highlight w:val="none"/>
                <w:lang w:eastAsia="zh-CN"/>
              </w:rPr>
            </w:pPr>
          </w:p>
        </w:tc>
      </w:tr>
      <w:tr w14:paraId="1C29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6B7101A2">
            <w:pPr>
              <w:jc w:val="center"/>
              <w:rPr>
                <w:rFonts w:hint="default"/>
                <w:color w:val="auto"/>
                <w:highlight w:val="none"/>
                <w:lang w:val="en-US" w:eastAsia="zh-CN"/>
              </w:rPr>
            </w:pPr>
            <w:r>
              <w:rPr>
                <w:rFonts w:hint="eastAsia"/>
                <w:color w:val="auto"/>
                <w:highlight w:val="none"/>
                <w:lang w:val="en-US" w:eastAsia="zh-CN"/>
              </w:rPr>
              <w:t>11</w:t>
            </w:r>
          </w:p>
        </w:tc>
        <w:tc>
          <w:tcPr>
            <w:tcW w:w="2603" w:type="dxa"/>
            <w:vAlign w:val="center"/>
          </w:tcPr>
          <w:p w14:paraId="57ABC1F4">
            <w:pPr>
              <w:jc w:val="center"/>
              <w:rPr>
                <w:rFonts w:hint="eastAsia" w:eastAsia="宋体"/>
                <w:color w:val="auto"/>
                <w:highlight w:val="none"/>
                <w:lang w:val="en-US" w:eastAsia="zh-CN"/>
              </w:rPr>
            </w:pPr>
          </w:p>
        </w:tc>
        <w:tc>
          <w:tcPr>
            <w:tcW w:w="1560" w:type="dxa"/>
            <w:vAlign w:val="center"/>
          </w:tcPr>
          <w:p w14:paraId="7EF23E7F">
            <w:pPr>
              <w:jc w:val="center"/>
              <w:rPr>
                <w:rFonts w:hint="default"/>
                <w:color w:val="auto"/>
                <w:highlight w:val="none"/>
                <w:lang w:val="en-US" w:eastAsia="zh-CN"/>
              </w:rPr>
            </w:pPr>
          </w:p>
        </w:tc>
        <w:tc>
          <w:tcPr>
            <w:tcW w:w="1335" w:type="dxa"/>
            <w:vAlign w:val="center"/>
          </w:tcPr>
          <w:p w14:paraId="1C3AC47B">
            <w:pPr>
              <w:jc w:val="center"/>
              <w:rPr>
                <w:rFonts w:hint="default"/>
                <w:color w:val="auto"/>
                <w:highlight w:val="none"/>
                <w:lang w:val="en-US" w:eastAsia="zh-CN"/>
              </w:rPr>
            </w:pPr>
          </w:p>
        </w:tc>
        <w:tc>
          <w:tcPr>
            <w:tcW w:w="1515" w:type="dxa"/>
            <w:vAlign w:val="center"/>
          </w:tcPr>
          <w:p w14:paraId="03512538">
            <w:pPr>
              <w:jc w:val="center"/>
              <w:rPr>
                <w:rFonts w:hint="default" w:eastAsia="宋体"/>
                <w:color w:val="auto"/>
                <w:highlight w:val="none"/>
                <w:lang w:val="en-US" w:eastAsia="zh-CN"/>
              </w:rPr>
            </w:pPr>
          </w:p>
        </w:tc>
        <w:tc>
          <w:tcPr>
            <w:tcW w:w="1632" w:type="dxa"/>
            <w:vMerge w:val="continue"/>
            <w:vAlign w:val="center"/>
          </w:tcPr>
          <w:p w14:paraId="75246804">
            <w:pPr>
              <w:jc w:val="center"/>
              <w:rPr>
                <w:rFonts w:hint="eastAsia" w:eastAsia="宋体"/>
                <w:color w:val="auto"/>
                <w:highlight w:val="none"/>
                <w:lang w:eastAsia="zh-CN"/>
              </w:rPr>
            </w:pPr>
          </w:p>
        </w:tc>
      </w:tr>
      <w:tr w14:paraId="0A093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13E5B7DF">
            <w:pPr>
              <w:jc w:val="center"/>
              <w:rPr>
                <w:rFonts w:hint="default"/>
                <w:color w:val="auto"/>
                <w:highlight w:val="none"/>
                <w:lang w:val="en-US" w:eastAsia="zh-CN"/>
              </w:rPr>
            </w:pPr>
            <w:r>
              <w:rPr>
                <w:rFonts w:hint="eastAsia"/>
                <w:color w:val="auto"/>
                <w:highlight w:val="none"/>
                <w:lang w:val="en-US" w:eastAsia="zh-CN"/>
              </w:rPr>
              <w:t>12</w:t>
            </w:r>
          </w:p>
        </w:tc>
        <w:tc>
          <w:tcPr>
            <w:tcW w:w="2603" w:type="dxa"/>
            <w:vAlign w:val="center"/>
          </w:tcPr>
          <w:p w14:paraId="2C719D87">
            <w:pPr>
              <w:jc w:val="center"/>
              <w:rPr>
                <w:rFonts w:hint="eastAsia" w:eastAsia="宋体"/>
                <w:color w:val="auto"/>
                <w:highlight w:val="none"/>
                <w:lang w:val="en-US" w:eastAsia="zh-CN"/>
              </w:rPr>
            </w:pPr>
          </w:p>
        </w:tc>
        <w:tc>
          <w:tcPr>
            <w:tcW w:w="1560" w:type="dxa"/>
            <w:vAlign w:val="center"/>
          </w:tcPr>
          <w:p w14:paraId="32F5B6D7">
            <w:pPr>
              <w:jc w:val="center"/>
              <w:rPr>
                <w:rFonts w:hint="default"/>
                <w:color w:val="auto"/>
                <w:highlight w:val="none"/>
                <w:lang w:val="en-US" w:eastAsia="zh-CN"/>
              </w:rPr>
            </w:pPr>
          </w:p>
        </w:tc>
        <w:tc>
          <w:tcPr>
            <w:tcW w:w="1335" w:type="dxa"/>
            <w:vAlign w:val="center"/>
          </w:tcPr>
          <w:p w14:paraId="76708FEE">
            <w:pPr>
              <w:jc w:val="center"/>
              <w:rPr>
                <w:rFonts w:hint="default"/>
                <w:color w:val="auto"/>
                <w:highlight w:val="none"/>
                <w:lang w:val="en-US" w:eastAsia="zh-CN"/>
              </w:rPr>
            </w:pPr>
          </w:p>
        </w:tc>
        <w:tc>
          <w:tcPr>
            <w:tcW w:w="1515" w:type="dxa"/>
            <w:vAlign w:val="center"/>
          </w:tcPr>
          <w:p w14:paraId="133BBB1C">
            <w:pPr>
              <w:jc w:val="center"/>
              <w:rPr>
                <w:rFonts w:hint="default" w:eastAsia="宋体"/>
                <w:color w:val="auto"/>
                <w:highlight w:val="none"/>
                <w:lang w:val="en-US" w:eastAsia="zh-CN"/>
              </w:rPr>
            </w:pPr>
          </w:p>
        </w:tc>
        <w:tc>
          <w:tcPr>
            <w:tcW w:w="1632" w:type="dxa"/>
            <w:vMerge w:val="continue"/>
            <w:vAlign w:val="center"/>
          </w:tcPr>
          <w:p w14:paraId="195CEAEE">
            <w:pPr>
              <w:jc w:val="center"/>
              <w:rPr>
                <w:rFonts w:hint="eastAsia" w:eastAsia="宋体"/>
                <w:color w:val="auto"/>
                <w:highlight w:val="none"/>
                <w:lang w:eastAsia="zh-CN"/>
              </w:rPr>
            </w:pPr>
          </w:p>
        </w:tc>
      </w:tr>
      <w:tr w14:paraId="0642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80" w:type="dxa"/>
            <w:vAlign w:val="center"/>
          </w:tcPr>
          <w:p w14:paraId="6597E309">
            <w:pPr>
              <w:jc w:val="center"/>
              <w:rPr>
                <w:rFonts w:hint="default"/>
                <w:color w:val="auto"/>
                <w:highlight w:val="none"/>
                <w:lang w:val="en-US" w:eastAsia="zh-CN"/>
              </w:rPr>
            </w:pPr>
            <w:r>
              <w:rPr>
                <w:rFonts w:hint="eastAsia"/>
                <w:color w:val="auto"/>
                <w:highlight w:val="none"/>
                <w:lang w:val="en-US" w:eastAsia="zh-CN"/>
              </w:rPr>
              <w:t>13</w:t>
            </w:r>
          </w:p>
        </w:tc>
        <w:tc>
          <w:tcPr>
            <w:tcW w:w="2603" w:type="dxa"/>
            <w:vAlign w:val="center"/>
          </w:tcPr>
          <w:p w14:paraId="22997187">
            <w:pPr>
              <w:tabs>
                <w:tab w:val="left" w:pos="631"/>
              </w:tabs>
              <w:jc w:val="left"/>
              <w:rPr>
                <w:rFonts w:hint="eastAsia" w:eastAsia="宋体"/>
                <w:color w:val="auto"/>
                <w:highlight w:val="none"/>
                <w:lang w:val="en-US" w:eastAsia="zh-CN"/>
              </w:rPr>
            </w:pPr>
          </w:p>
        </w:tc>
        <w:tc>
          <w:tcPr>
            <w:tcW w:w="1560" w:type="dxa"/>
            <w:vAlign w:val="center"/>
          </w:tcPr>
          <w:p w14:paraId="14927710">
            <w:pPr>
              <w:jc w:val="center"/>
              <w:rPr>
                <w:rFonts w:hint="default"/>
                <w:color w:val="auto"/>
                <w:highlight w:val="none"/>
                <w:lang w:val="en-US" w:eastAsia="zh-CN"/>
              </w:rPr>
            </w:pPr>
          </w:p>
        </w:tc>
        <w:tc>
          <w:tcPr>
            <w:tcW w:w="1335" w:type="dxa"/>
            <w:vAlign w:val="center"/>
          </w:tcPr>
          <w:p w14:paraId="34CA7D77">
            <w:pPr>
              <w:jc w:val="center"/>
              <w:rPr>
                <w:rFonts w:hint="default"/>
                <w:color w:val="auto"/>
                <w:highlight w:val="none"/>
                <w:lang w:val="en-US" w:eastAsia="zh-CN"/>
              </w:rPr>
            </w:pPr>
          </w:p>
        </w:tc>
        <w:tc>
          <w:tcPr>
            <w:tcW w:w="1515" w:type="dxa"/>
            <w:vAlign w:val="center"/>
          </w:tcPr>
          <w:p w14:paraId="56002389">
            <w:pPr>
              <w:jc w:val="center"/>
              <w:rPr>
                <w:rFonts w:hint="default" w:eastAsia="宋体"/>
                <w:color w:val="auto"/>
                <w:highlight w:val="none"/>
                <w:lang w:val="en-US" w:eastAsia="zh-CN"/>
              </w:rPr>
            </w:pPr>
          </w:p>
        </w:tc>
        <w:tc>
          <w:tcPr>
            <w:tcW w:w="1632" w:type="dxa"/>
            <w:vMerge w:val="continue"/>
            <w:vAlign w:val="center"/>
          </w:tcPr>
          <w:p w14:paraId="1BEDF2B4">
            <w:pPr>
              <w:jc w:val="center"/>
              <w:rPr>
                <w:rFonts w:hint="eastAsia" w:eastAsia="宋体"/>
                <w:color w:val="auto"/>
                <w:highlight w:val="none"/>
                <w:lang w:eastAsia="zh-CN"/>
              </w:rPr>
            </w:pPr>
          </w:p>
        </w:tc>
      </w:tr>
      <w:tr w14:paraId="080F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5AC7FFF6">
            <w:pPr>
              <w:jc w:val="center"/>
              <w:rPr>
                <w:rFonts w:hint="default"/>
                <w:color w:val="auto"/>
                <w:highlight w:val="none"/>
                <w:lang w:val="en-US" w:eastAsia="zh-CN"/>
              </w:rPr>
            </w:pPr>
            <w:r>
              <w:rPr>
                <w:rFonts w:hint="eastAsia"/>
                <w:color w:val="auto"/>
                <w:highlight w:val="none"/>
                <w:lang w:val="en-US" w:eastAsia="zh-CN"/>
              </w:rPr>
              <w:t>14</w:t>
            </w:r>
          </w:p>
        </w:tc>
        <w:tc>
          <w:tcPr>
            <w:tcW w:w="2603" w:type="dxa"/>
            <w:vAlign w:val="center"/>
          </w:tcPr>
          <w:p w14:paraId="439EF7F9">
            <w:pPr>
              <w:jc w:val="center"/>
              <w:rPr>
                <w:rFonts w:hint="eastAsia" w:eastAsia="宋体"/>
                <w:color w:val="auto"/>
                <w:highlight w:val="none"/>
                <w:lang w:val="en-US" w:eastAsia="zh-CN"/>
              </w:rPr>
            </w:pPr>
          </w:p>
        </w:tc>
        <w:tc>
          <w:tcPr>
            <w:tcW w:w="1560" w:type="dxa"/>
            <w:vAlign w:val="center"/>
          </w:tcPr>
          <w:p w14:paraId="6F9DD8BF">
            <w:pPr>
              <w:jc w:val="center"/>
              <w:rPr>
                <w:rFonts w:hint="default"/>
                <w:color w:val="auto"/>
                <w:highlight w:val="none"/>
                <w:lang w:val="en-US" w:eastAsia="zh-CN"/>
              </w:rPr>
            </w:pPr>
          </w:p>
        </w:tc>
        <w:tc>
          <w:tcPr>
            <w:tcW w:w="1335" w:type="dxa"/>
            <w:vAlign w:val="center"/>
          </w:tcPr>
          <w:p w14:paraId="749D1A0E">
            <w:pPr>
              <w:jc w:val="center"/>
              <w:rPr>
                <w:rFonts w:hint="default"/>
                <w:color w:val="auto"/>
                <w:highlight w:val="none"/>
                <w:lang w:val="en-US" w:eastAsia="zh-CN"/>
              </w:rPr>
            </w:pPr>
          </w:p>
        </w:tc>
        <w:tc>
          <w:tcPr>
            <w:tcW w:w="1515" w:type="dxa"/>
            <w:vAlign w:val="center"/>
          </w:tcPr>
          <w:p w14:paraId="7430A4CD">
            <w:pPr>
              <w:jc w:val="center"/>
              <w:rPr>
                <w:rFonts w:hint="default" w:eastAsia="宋体"/>
                <w:color w:val="auto"/>
                <w:highlight w:val="none"/>
                <w:lang w:val="en-US" w:eastAsia="zh-CN"/>
              </w:rPr>
            </w:pPr>
          </w:p>
        </w:tc>
        <w:tc>
          <w:tcPr>
            <w:tcW w:w="1632" w:type="dxa"/>
            <w:vMerge w:val="continue"/>
            <w:vAlign w:val="center"/>
          </w:tcPr>
          <w:p w14:paraId="0C66FFDE">
            <w:pPr>
              <w:jc w:val="center"/>
              <w:rPr>
                <w:rFonts w:hint="default" w:eastAsia="宋体"/>
                <w:color w:val="auto"/>
                <w:highlight w:val="none"/>
                <w:lang w:val="en-US" w:eastAsia="zh-CN"/>
              </w:rPr>
            </w:pPr>
          </w:p>
        </w:tc>
      </w:tr>
      <w:tr w14:paraId="5CF7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0" w:type="dxa"/>
            <w:vAlign w:val="center"/>
          </w:tcPr>
          <w:p w14:paraId="609CC158">
            <w:pPr>
              <w:jc w:val="center"/>
              <w:rPr>
                <w:rFonts w:hint="default"/>
                <w:color w:val="auto"/>
                <w:highlight w:val="none"/>
                <w:lang w:val="en-US" w:eastAsia="zh-CN"/>
              </w:rPr>
            </w:pPr>
            <w:r>
              <w:rPr>
                <w:rFonts w:hint="eastAsia"/>
                <w:color w:val="auto"/>
                <w:highlight w:val="none"/>
                <w:lang w:val="en-US" w:eastAsia="zh-CN"/>
              </w:rPr>
              <w:t>15</w:t>
            </w:r>
          </w:p>
        </w:tc>
        <w:tc>
          <w:tcPr>
            <w:tcW w:w="2603" w:type="dxa"/>
            <w:vAlign w:val="center"/>
          </w:tcPr>
          <w:p w14:paraId="0C94977F">
            <w:pPr>
              <w:jc w:val="center"/>
              <w:rPr>
                <w:rFonts w:hint="eastAsia" w:eastAsia="宋体"/>
                <w:color w:val="auto"/>
                <w:highlight w:val="none"/>
                <w:lang w:val="en-US" w:eastAsia="zh-CN"/>
              </w:rPr>
            </w:pPr>
          </w:p>
        </w:tc>
        <w:tc>
          <w:tcPr>
            <w:tcW w:w="1560" w:type="dxa"/>
            <w:vAlign w:val="center"/>
          </w:tcPr>
          <w:p w14:paraId="6D235F2D">
            <w:pPr>
              <w:jc w:val="center"/>
              <w:rPr>
                <w:rFonts w:hint="default"/>
                <w:color w:val="auto"/>
                <w:highlight w:val="none"/>
                <w:lang w:val="en-US" w:eastAsia="zh-CN"/>
              </w:rPr>
            </w:pPr>
          </w:p>
        </w:tc>
        <w:tc>
          <w:tcPr>
            <w:tcW w:w="1335" w:type="dxa"/>
            <w:vAlign w:val="center"/>
          </w:tcPr>
          <w:p w14:paraId="7CCDD19E">
            <w:pPr>
              <w:jc w:val="center"/>
              <w:rPr>
                <w:rFonts w:hint="default"/>
                <w:color w:val="auto"/>
                <w:highlight w:val="none"/>
                <w:lang w:val="en-US" w:eastAsia="zh-CN"/>
              </w:rPr>
            </w:pPr>
          </w:p>
        </w:tc>
        <w:tc>
          <w:tcPr>
            <w:tcW w:w="1515" w:type="dxa"/>
            <w:vAlign w:val="center"/>
          </w:tcPr>
          <w:p w14:paraId="312E34E2">
            <w:pPr>
              <w:jc w:val="center"/>
              <w:rPr>
                <w:rFonts w:hint="default" w:eastAsia="宋体"/>
                <w:color w:val="auto"/>
                <w:highlight w:val="none"/>
                <w:lang w:val="en-US" w:eastAsia="zh-CN"/>
              </w:rPr>
            </w:pPr>
          </w:p>
        </w:tc>
        <w:tc>
          <w:tcPr>
            <w:tcW w:w="1632" w:type="dxa"/>
            <w:vMerge w:val="continue"/>
            <w:vAlign w:val="center"/>
          </w:tcPr>
          <w:p w14:paraId="637F7BE5">
            <w:pPr>
              <w:jc w:val="center"/>
              <w:rPr>
                <w:rFonts w:hint="eastAsia" w:eastAsia="宋体"/>
                <w:color w:val="auto"/>
                <w:highlight w:val="none"/>
                <w:lang w:val="en-US" w:eastAsia="zh-CN"/>
              </w:rPr>
            </w:pPr>
          </w:p>
        </w:tc>
      </w:tr>
      <w:tr w14:paraId="0D35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0" w:type="dxa"/>
            <w:vAlign w:val="center"/>
          </w:tcPr>
          <w:p w14:paraId="70BB885A">
            <w:pPr>
              <w:jc w:val="center"/>
              <w:rPr>
                <w:rFonts w:hint="default"/>
                <w:color w:val="auto"/>
                <w:highlight w:val="none"/>
                <w:lang w:val="en-US" w:eastAsia="zh-CN"/>
              </w:rPr>
            </w:pPr>
            <w:r>
              <w:rPr>
                <w:rFonts w:hint="eastAsia"/>
                <w:color w:val="auto"/>
                <w:highlight w:val="none"/>
                <w:lang w:val="en-US" w:eastAsia="zh-CN"/>
              </w:rPr>
              <w:t>16</w:t>
            </w:r>
          </w:p>
        </w:tc>
        <w:tc>
          <w:tcPr>
            <w:tcW w:w="2603" w:type="dxa"/>
            <w:vAlign w:val="center"/>
          </w:tcPr>
          <w:p w14:paraId="0898E385">
            <w:pPr>
              <w:jc w:val="center"/>
              <w:rPr>
                <w:rFonts w:hint="eastAsia" w:eastAsia="宋体"/>
                <w:color w:val="auto"/>
                <w:highlight w:val="none"/>
                <w:lang w:val="en-US" w:eastAsia="zh-CN"/>
              </w:rPr>
            </w:pPr>
          </w:p>
        </w:tc>
        <w:tc>
          <w:tcPr>
            <w:tcW w:w="1560" w:type="dxa"/>
            <w:vAlign w:val="center"/>
          </w:tcPr>
          <w:p w14:paraId="29A26516">
            <w:pPr>
              <w:jc w:val="center"/>
              <w:rPr>
                <w:rFonts w:hint="default"/>
                <w:color w:val="auto"/>
                <w:highlight w:val="none"/>
                <w:lang w:val="en-US" w:eastAsia="zh-CN"/>
              </w:rPr>
            </w:pPr>
          </w:p>
        </w:tc>
        <w:tc>
          <w:tcPr>
            <w:tcW w:w="1335" w:type="dxa"/>
            <w:vAlign w:val="center"/>
          </w:tcPr>
          <w:p w14:paraId="6AC9545B">
            <w:pPr>
              <w:jc w:val="center"/>
              <w:rPr>
                <w:rFonts w:hint="default"/>
                <w:color w:val="auto"/>
                <w:highlight w:val="none"/>
                <w:lang w:val="en-US" w:eastAsia="zh-CN"/>
              </w:rPr>
            </w:pPr>
          </w:p>
        </w:tc>
        <w:tc>
          <w:tcPr>
            <w:tcW w:w="1515" w:type="dxa"/>
            <w:vAlign w:val="center"/>
          </w:tcPr>
          <w:p w14:paraId="5779DF7E">
            <w:pPr>
              <w:jc w:val="center"/>
              <w:rPr>
                <w:rFonts w:hint="default" w:eastAsia="宋体"/>
                <w:color w:val="auto"/>
                <w:highlight w:val="none"/>
                <w:lang w:val="en-US" w:eastAsia="zh-CN"/>
              </w:rPr>
            </w:pPr>
          </w:p>
        </w:tc>
        <w:tc>
          <w:tcPr>
            <w:tcW w:w="1632" w:type="dxa"/>
            <w:vMerge w:val="continue"/>
            <w:vAlign w:val="center"/>
          </w:tcPr>
          <w:p w14:paraId="76ACC014">
            <w:pPr>
              <w:jc w:val="center"/>
              <w:rPr>
                <w:rFonts w:hint="eastAsia" w:eastAsia="宋体"/>
                <w:color w:val="auto"/>
                <w:highlight w:val="none"/>
                <w:lang w:eastAsia="zh-CN"/>
              </w:rPr>
            </w:pPr>
          </w:p>
        </w:tc>
      </w:tr>
      <w:tr w14:paraId="5879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56A7E9ED">
            <w:pPr>
              <w:jc w:val="center"/>
              <w:rPr>
                <w:rFonts w:hint="default"/>
                <w:color w:val="auto"/>
                <w:highlight w:val="none"/>
                <w:lang w:val="en-US" w:eastAsia="zh-CN"/>
              </w:rPr>
            </w:pPr>
            <w:r>
              <w:rPr>
                <w:rFonts w:hint="eastAsia"/>
                <w:color w:val="auto"/>
                <w:highlight w:val="none"/>
                <w:lang w:val="en-US" w:eastAsia="zh-CN"/>
              </w:rPr>
              <w:t>17</w:t>
            </w:r>
          </w:p>
        </w:tc>
        <w:tc>
          <w:tcPr>
            <w:tcW w:w="2603" w:type="dxa"/>
            <w:vAlign w:val="center"/>
          </w:tcPr>
          <w:p w14:paraId="35101673">
            <w:pPr>
              <w:jc w:val="center"/>
              <w:rPr>
                <w:rFonts w:hint="eastAsia" w:eastAsia="宋体"/>
                <w:color w:val="auto"/>
                <w:highlight w:val="none"/>
                <w:lang w:val="en-US" w:eastAsia="zh-CN"/>
              </w:rPr>
            </w:pPr>
          </w:p>
        </w:tc>
        <w:tc>
          <w:tcPr>
            <w:tcW w:w="1560" w:type="dxa"/>
            <w:vAlign w:val="center"/>
          </w:tcPr>
          <w:p w14:paraId="132055D2">
            <w:pPr>
              <w:jc w:val="center"/>
              <w:rPr>
                <w:rFonts w:hint="default"/>
                <w:color w:val="auto"/>
                <w:highlight w:val="none"/>
                <w:lang w:val="en-US" w:eastAsia="zh-CN"/>
              </w:rPr>
            </w:pPr>
          </w:p>
        </w:tc>
        <w:tc>
          <w:tcPr>
            <w:tcW w:w="1335" w:type="dxa"/>
            <w:vAlign w:val="center"/>
          </w:tcPr>
          <w:p w14:paraId="1A0F8DFA">
            <w:pPr>
              <w:jc w:val="center"/>
              <w:rPr>
                <w:rFonts w:hint="default"/>
                <w:color w:val="auto"/>
                <w:highlight w:val="none"/>
                <w:lang w:val="en-US" w:eastAsia="zh-CN"/>
              </w:rPr>
            </w:pPr>
          </w:p>
        </w:tc>
        <w:tc>
          <w:tcPr>
            <w:tcW w:w="1515" w:type="dxa"/>
            <w:vAlign w:val="center"/>
          </w:tcPr>
          <w:p w14:paraId="6772196E">
            <w:pPr>
              <w:jc w:val="center"/>
              <w:rPr>
                <w:rFonts w:hint="default" w:eastAsia="宋体"/>
                <w:color w:val="auto"/>
                <w:highlight w:val="none"/>
                <w:lang w:val="en-US" w:eastAsia="zh-CN"/>
              </w:rPr>
            </w:pPr>
          </w:p>
        </w:tc>
        <w:tc>
          <w:tcPr>
            <w:tcW w:w="1632" w:type="dxa"/>
            <w:vMerge w:val="continue"/>
            <w:vAlign w:val="center"/>
          </w:tcPr>
          <w:p w14:paraId="2AC31812">
            <w:pPr>
              <w:jc w:val="center"/>
              <w:rPr>
                <w:rFonts w:hint="eastAsia" w:eastAsia="宋体"/>
                <w:color w:val="auto"/>
                <w:highlight w:val="none"/>
                <w:lang w:eastAsia="zh-CN"/>
              </w:rPr>
            </w:pPr>
          </w:p>
        </w:tc>
      </w:tr>
      <w:tr w14:paraId="7026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0" w:type="dxa"/>
            <w:vAlign w:val="center"/>
          </w:tcPr>
          <w:p w14:paraId="68A27665">
            <w:pPr>
              <w:jc w:val="center"/>
              <w:rPr>
                <w:rFonts w:hint="default"/>
                <w:color w:val="auto"/>
                <w:highlight w:val="none"/>
                <w:lang w:val="en-US" w:eastAsia="zh-CN"/>
              </w:rPr>
            </w:pPr>
            <w:r>
              <w:rPr>
                <w:rFonts w:hint="eastAsia"/>
                <w:color w:val="auto"/>
                <w:highlight w:val="none"/>
                <w:lang w:val="en-US" w:eastAsia="zh-CN"/>
              </w:rPr>
              <w:t>18</w:t>
            </w:r>
          </w:p>
        </w:tc>
        <w:tc>
          <w:tcPr>
            <w:tcW w:w="2603" w:type="dxa"/>
            <w:vAlign w:val="center"/>
          </w:tcPr>
          <w:p w14:paraId="69A4B83F">
            <w:pPr>
              <w:jc w:val="center"/>
              <w:rPr>
                <w:rFonts w:hint="default" w:ascii="Calibri" w:hAnsi="Calibri" w:cs="Calibri"/>
                <w:color w:val="auto"/>
                <w:kern w:val="2"/>
                <w:sz w:val="21"/>
                <w:szCs w:val="24"/>
                <w:highlight w:val="none"/>
                <w:lang w:val="en-US" w:eastAsia="zh-CN" w:bidi="ar-SA"/>
              </w:rPr>
            </w:pPr>
          </w:p>
        </w:tc>
        <w:tc>
          <w:tcPr>
            <w:tcW w:w="1560" w:type="dxa"/>
            <w:vAlign w:val="center"/>
          </w:tcPr>
          <w:p w14:paraId="38E12C35">
            <w:pPr>
              <w:jc w:val="center"/>
              <w:rPr>
                <w:rFonts w:hint="default"/>
                <w:color w:val="auto"/>
                <w:highlight w:val="none"/>
                <w:lang w:val="en-US" w:eastAsia="zh-CN"/>
              </w:rPr>
            </w:pPr>
          </w:p>
        </w:tc>
        <w:tc>
          <w:tcPr>
            <w:tcW w:w="1335" w:type="dxa"/>
            <w:vAlign w:val="center"/>
          </w:tcPr>
          <w:p w14:paraId="22249AC5">
            <w:pPr>
              <w:jc w:val="center"/>
              <w:rPr>
                <w:rFonts w:hint="default"/>
                <w:color w:val="auto"/>
                <w:highlight w:val="none"/>
                <w:lang w:val="en-US" w:eastAsia="zh-CN"/>
              </w:rPr>
            </w:pPr>
          </w:p>
        </w:tc>
        <w:tc>
          <w:tcPr>
            <w:tcW w:w="1515" w:type="dxa"/>
            <w:vAlign w:val="center"/>
          </w:tcPr>
          <w:p w14:paraId="37EC63A0">
            <w:pPr>
              <w:jc w:val="center"/>
              <w:rPr>
                <w:rFonts w:hint="default" w:eastAsia="宋体"/>
                <w:color w:val="auto"/>
                <w:highlight w:val="none"/>
                <w:lang w:val="en-US" w:eastAsia="zh-CN"/>
              </w:rPr>
            </w:pPr>
          </w:p>
        </w:tc>
        <w:tc>
          <w:tcPr>
            <w:tcW w:w="1632" w:type="dxa"/>
            <w:vMerge w:val="continue"/>
            <w:vAlign w:val="center"/>
          </w:tcPr>
          <w:p w14:paraId="5BCCC0D3">
            <w:pPr>
              <w:jc w:val="center"/>
              <w:rPr>
                <w:rFonts w:hint="eastAsia" w:eastAsia="宋体"/>
                <w:color w:val="auto"/>
                <w:highlight w:val="none"/>
                <w:lang w:eastAsia="zh-CN"/>
              </w:rPr>
            </w:pPr>
          </w:p>
        </w:tc>
      </w:tr>
    </w:tbl>
    <w:p w14:paraId="6C6BE2D0">
      <w:pPr>
        <w:jc w:val="left"/>
        <w:rPr>
          <w:color w:val="auto"/>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9387840</wp:posOffset>
                </wp:positionH>
                <wp:positionV relativeFrom="paragraph">
                  <wp:posOffset>193040</wp:posOffset>
                </wp:positionV>
                <wp:extent cx="351790" cy="4276725"/>
                <wp:effectExtent l="0" t="0" r="0" b="0"/>
                <wp:wrapNone/>
                <wp:docPr id="7" name="文本框 7"/>
                <wp:cNvGraphicFramePr/>
                <a:graphic xmlns:a="http://schemas.openxmlformats.org/drawingml/2006/main">
                  <a:graphicData uri="http://schemas.microsoft.com/office/word/2010/wordprocessingShape">
                    <wps:wsp>
                      <wps:cNvSpPr txBox="1"/>
                      <wps:spPr>
                        <a:xfrm>
                          <a:off x="0" y="0"/>
                          <a:ext cx="351790" cy="4276725"/>
                        </a:xfrm>
                        <a:prstGeom prst="rect">
                          <a:avLst/>
                        </a:prstGeom>
                        <a:noFill/>
                        <a:ln w="6350">
                          <a:noFill/>
                        </a:ln>
                        <a:effectLst/>
                      </wps:spPr>
                      <wps:txbx>
                        <w:txbxContent>
                          <w:p w14:paraId="28FE0D9A">
                            <w:pPr>
                              <w:jc w:val="center"/>
                              <w:rPr>
                                <w:rFonts w:eastAsiaTheme="minorEastAsia"/>
                                <w:szCs w:val="21"/>
                              </w:rPr>
                            </w:pPr>
                            <w:r>
                              <w:rPr>
                                <w:rFonts w:hint="eastAsia"/>
                                <w:szCs w:val="21"/>
                              </w:rPr>
                              <w:t>一 存根（白）二 财务（红）三 顾客（绿）</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9.2pt;margin-top:15.2pt;height:336.75pt;width:27.7pt;z-index:251660288;mso-width-relative:page;mso-height-relative:page;" filled="f" stroked="f" coordsize="21600,21600" o:gfxdata="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tnKF3aAAAADAEAAA8AAAAAAAAAAQAg&#10;AAAAIgAAAGRycy9kb3ducmV2LnhtbFBLAQIUABQAAAAIAIdO4kAdTe7pRQIAAHYEAAAOAAAAAAAA&#10;AAEAIAAAACkBAABkcnMvZTJvRG9jLnhtbFBLBQYAAAAABgAGAFkBAADgBQAAAAA=&#10;">
                <v:fill on="f" focussize="0,0"/>
                <v:stroke on="f" weight="0.5pt"/>
                <v:imagedata o:title=""/>
                <o:lock v:ext="edit" aspectratio="f"/>
                <v:textbox style="layout-flow:vertical-ideographic;">
                  <w:txbxContent>
                    <w:p w14:paraId="28FE0D9A">
                      <w:pPr>
                        <w:jc w:val="center"/>
                        <w:rPr>
                          <w:rFonts w:eastAsiaTheme="minorEastAsia"/>
                          <w:szCs w:val="21"/>
                        </w:rPr>
                      </w:pPr>
                      <w:r>
                        <w:rPr>
                          <w:rFonts w:hint="eastAsia"/>
                          <w:szCs w:val="21"/>
                        </w:rPr>
                        <w:t>一 存根（白）二 财务（红）三 顾客（绿）</w:t>
                      </w:r>
                    </w:p>
                  </w:txbxContent>
                </v:textbox>
              </v:shape>
            </w:pict>
          </mc:Fallback>
        </mc:AlternateContent>
      </w:r>
    </w:p>
    <w:p w14:paraId="5AB1051B">
      <w:pPr>
        <w:tabs>
          <w:tab w:val="right" w:pos="15138"/>
        </w:tabs>
        <w:jc w:val="left"/>
        <w:rPr>
          <w:rFonts w:hint="default" w:hAnsi="宋体" w:cs="宋体"/>
          <w:color w:val="auto"/>
          <w:spacing w:val="8"/>
          <w:position w:val="-1"/>
          <w:sz w:val="24"/>
          <w:szCs w:val="24"/>
          <w:highlight w:val="none"/>
          <w:lang w:val="en-US" w:eastAsia="zh-CN"/>
        </w:rPr>
      </w:pPr>
      <w:r>
        <w:rPr>
          <w:rFonts w:hint="eastAsia" w:ascii="宋体" w:hAnsi="宋体"/>
          <w:color w:val="auto"/>
          <w:sz w:val="18"/>
          <w:szCs w:val="18"/>
          <w:highlight w:val="none"/>
        </w:rPr>
        <w:t>审批人：（项目经理）         审核人：（项目副经理</w:t>
      </w:r>
      <w:r>
        <w:rPr>
          <w:rFonts w:hint="eastAsia" w:ascii="宋体" w:hAnsi="宋体"/>
          <w:color w:val="auto"/>
          <w:sz w:val="18"/>
          <w:szCs w:val="18"/>
          <w:highlight w:val="none"/>
          <w:lang w:val="en-US" w:eastAsia="zh-CN"/>
        </w:rPr>
        <w:t>/技术负责人</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编制人：（栋号施工员</w:t>
      </w:r>
      <w:r>
        <w:rPr>
          <w:rFonts w:hint="eastAsia" w:ascii="宋体" w:hAnsi="宋体"/>
          <w:color w:val="auto"/>
          <w:sz w:val="18"/>
          <w:szCs w:val="18"/>
          <w:highlight w:val="none"/>
          <w:lang w:val="en-US" w:eastAsia="zh-CN"/>
        </w:rPr>
        <w:t>/</w:t>
      </w:r>
      <w:r>
        <w:rPr>
          <w:rFonts w:hint="eastAsia" w:ascii="宋体" w:hAnsi="宋体"/>
          <w:color w:val="auto"/>
          <w:sz w:val="18"/>
          <w:szCs w:val="18"/>
          <w:highlight w:val="none"/>
          <w:lang w:eastAsia="zh-CN"/>
        </w:rPr>
        <w:t>仓管员</w:t>
      </w:r>
      <w:r>
        <w:rPr>
          <w:rFonts w:hint="eastAsia" w:ascii="宋体" w:hAnsi="宋体"/>
          <w:color w:val="auto"/>
          <w:sz w:val="18"/>
          <w:szCs w:val="18"/>
          <w:highlight w:val="none"/>
          <w:lang w:val="en-US" w:eastAsia="zh-CN"/>
        </w:rPr>
        <w:t>/</w:t>
      </w:r>
      <w:r>
        <w:rPr>
          <w:rFonts w:hint="eastAsia" w:ascii="宋体" w:hAnsi="宋体"/>
          <w:color w:val="auto"/>
          <w:sz w:val="18"/>
          <w:szCs w:val="18"/>
          <w:highlight w:val="none"/>
          <w:lang w:eastAsia="zh-CN"/>
        </w:rPr>
        <w:t>使用</w:t>
      </w:r>
      <w:r>
        <w:rPr>
          <w:rFonts w:hint="eastAsia" w:ascii="宋体" w:hAnsi="宋体"/>
          <w:color w:val="auto"/>
          <w:highlight w:val="none"/>
        </w:rPr>
        <w:t xml:space="preserve">） </w:t>
      </w:r>
    </w:p>
    <w:sectPr>
      <w:footerReference r:id="rId5" w:type="default"/>
      <w:pgSz w:w="11906" w:h="16838"/>
      <w:pgMar w:top="1134" w:right="1475" w:bottom="1134" w:left="1191" w:header="737" w:footer="624"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014DC">
    <w:pPr>
      <w:pStyle w:val="5"/>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0C796">
    <w:pPr>
      <w:pStyle w:val="5"/>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B25214">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V1BZl4QEAAMEDAAAOAAAA&#10;AAAAAAEAIAAAAB4BAABkcnMvZTJvRG9jLnhtbFBLBQYAAAAABgAGAFkBAABxBQAAAAA=&#10;">
              <v:fill on="f" focussize="0,0"/>
              <v:stroke on="f"/>
              <v:imagedata o:title=""/>
              <o:lock v:ext="edit" aspectratio="f"/>
              <v:textbox inset="0mm,0mm,0mm,0mm" style="mso-fit-shape-to-text:t;">
                <w:txbxContent>
                  <w:p w14:paraId="0FB25214">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997D4">
    <w:pPr>
      <w:pStyle w:val="6"/>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A8A8AA"/>
    <w:multiLevelType w:val="singleLevel"/>
    <w:tmpl w:val="D1A8A8A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WQxYjNiOGQwOWQ3ZDcwYzI4ZTE0M2ZhZmIzYTgifQ=="/>
  </w:docVars>
  <w:rsids>
    <w:rsidRoot w:val="00172A27"/>
    <w:rsid w:val="00133387"/>
    <w:rsid w:val="001D4206"/>
    <w:rsid w:val="0022181C"/>
    <w:rsid w:val="00240114"/>
    <w:rsid w:val="00247343"/>
    <w:rsid w:val="003F23CE"/>
    <w:rsid w:val="00494FFB"/>
    <w:rsid w:val="0055574E"/>
    <w:rsid w:val="005B4241"/>
    <w:rsid w:val="006308AB"/>
    <w:rsid w:val="006911F9"/>
    <w:rsid w:val="00732078"/>
    <w:rsid w:val="007E18FF"/>
    <w:rsid w:val="00863B59"/>
    <w:rsid w:val="008878D1"/>
    <w:rsid w:val="008D313A"/>
    <w:rsid w:val="00942D05"/>
    <w:rsid w:val="00A7217D"/>
    <w:rsid w:val="00A87DE8"/>
    <w:rsid w:val="00B0507A"/>
    <w:rsid w:val="00BC757B"/>
    <w:rsid w:val="00D72607"/>
    <w:rsid w:val="00DC2680"/>
    <w:rsid w:val="01037573"/>
    <w:rsid w:val="01205D5C"/>
    <w:rsid w:val="01286562"/>
    <w:rsid w:val="012F2443"/>
    <w:rsid w:val="012F2B13"/>
    <w:rsid w:val="01305439"/>
    <w:rsid w:val="01325A8F"/>
    <w:rsid w:val="01326F3B"/>
    <w:rsid w:val="01351803"/>
    <w:rsid w:val="014B361F"/>
    <w:rsid w:val="0156177E"/>
    <w:rsid w:val="015D207C"/>
    <w:rsid w:val="016814B1"/>
    <w:rsid w:val="01791910"/>
    <w:rsid w:val="017B7436"/>
    <w:rsid w:val="017F50C9"/>
    <w:rsid w:val="019978BC"/>
    <w:rsid w:val="01A71FD9"/>
    <w:rsid w:val="01AD3795"/>
    <w:rsid w:val="01C365E8"/>
    <w:rsid w:val="020461C9"/>
    <w:rsid w:val="0210376E"/>
    <w:rsid w:val="02217FDE"/>
    <w:rsid w:val="02471A55"/>
    <w:rsid w:val="024E06A7"/>
    <w:rsid w:val="026C7207"/>
    <w:rsid w:val="02895B83"/>
    <w:rsid w:val="028C20E4"/>
    <w:rsid w:val="0290648C"/>
    <w:rsid w:val="02A52D67"/>
    <w:rsid w:val="03024286"/>
    <w:rsid w:val="03061542"/>
    <w:rsid w:val="031418F0"/>
    <w:rsid w:val="03416159"/>
    <w:rsid w:val="03495361"/>
    <w:rsid w:val="03531ABE"/>
    <w:rsid w:val="03562E11"/>
    <w:rsid w:val="035F2640"/>
    <w:rsid w:val="036C617D"/>
    <w:rsid w:val="038C76D9"/>
    <w:rsid w:val="03A323C4"/>
    <w:rsid w:val="03AF2714"/>
    <w:rsid w:val="03AF33C7"/>
    <w:rsid w:val="03C86237"/>
    <w:rsid w:val="03D130C9"/>
    <w:rsid w:val="03D23A10"/>
    <w:rsid w:val="03EF5DB2"/>
    <w:rsid w:val="03FD05D6"/>
    <w:rsid w:val="04194CE4"/>
    <w:rsid w:val="041C3581"/>
    <w:rsid w:val="04206073"/>
    <w:rsid w:val="042711AF"/>
    <w:rsid w:val="045301F6"/>
    <w:rsid w:val="047F2F94"/>
    <w:rsid w:val="04C9670A"/>
    <w:rsid w:val="04D05CEB"/>
    <w:rsid w:val="0515604A"/>
    <w:rsid w:val="05235E1B"/>
    <w:rsid w:val="05241B93"/>
    <w:rsid w:val="05571F68"/>
    <w:rsid w:val="055E32F7"/>
    <w:rsid w:val="055E648D"/>
    <w:rsid w:val="0563090D"/>
    <w:rsid w:val="05765DA0"/>
    <w:rsid w:val="058F1702"/>
    <w:rsid w:val="05B00870"/>
    <w:rsid w:val="05B94582"/>
    <w:rsid w:val="05CF7D50"/>
    <w:rsid w:val="05DC29A4"/>
    <w:rsid w:val="05E7046B"/>
    <w:rsid w:val="06071298"/>
    <w:rsid w:val="062A142B"/>
    <w:rsid w:val="062A31D9"/>
    <w:rsid w:val="06456265"/>
    <w:rsid w:val="064C13A1"/>
    <w:rsid w:val="065F1493"/>
    <w:rsid w:val="066A43D4"/>
    <w:rsid w:val="06732DD2"/>
    <w:rsid w:val="06994288"/>
    <w:rsid w:val="069A3EBB"/>
    <w:rsid w:val="069D0714"/>
    <w:rsid w:val="06B3319E"/>
    <w:rsid w:val="06B524FE"/>
    <w:rsid w:val="06CB49BC"/>
    <w:rsid w:val="06D26124"/>
    <w:rsid w:val="06D666BC"/>
    <w:rsid w:val="06DB3895"/>
    <w:rsid w:val="06DC0977"/>
    <w:rsid w:val="070B4DB8"/>
    <w:rsid w:val="071E2D3E"/>
    <w:rsid w:val="071F6AB6"/>
    <w:rsid w:val="07222102"/>
    <w:rsid w:val="072916E2"/>
    <w:rsid w:val="072F06D6"/>
    <w:rsid w:val="07351E35"/>
    <w:rsid w:val="074D44A4"/>
    <w:rsid w:val="076444C8"/>
    <w:rsid w:val="078F7797"/>
    <w:rsid w:val="079B2A89"/>
    <w:rsid w:val="079C1EB4"/>
    <w:rsid w:val="07A72ABD"/>
    <w:rsid w:val="07E838FA"/>
    <w:rsid w:val="08005A40"/>
    <w:rsid w:val="08391A18"/>
    <w:rsid w:val="084762C4"/>
    <w:rsid w:val="08564322"/>
    <w:rsid w:val="085D5AE7"/>
    <w:rsid w:val="087674C3"/>
    <w:rsid w:val="087A1BF2"/>
    <w:rsid w:val="088C6DAF"/>
    <w:rsid w:val="08E04023"/>
    <w:rsid w:val="08EE7CFD"/>
    <w:rsid w:val="08EF01D5"/>
    <w:rsid w:val="08FD1E97"/>
    <w:rsid w:val="094B5940"/>
    <w:rsid w:val="0960032A"/>
    <w:rsid w:val="09615163"/>
    <w:rsid w:val="096D58B6"/>
    <w:rsid w:val="097F1A8E"/>
    <w:rsid w:val="09886B94"/>
    <w:rsid w:val="099F5C8C"/>
    <w:rsid w:val="09A56D66"/>
    <w:rsid w:val="09BA4874"/>
    <w:rsid w:val="09C5399F"/>
    <w:rsid w:val="09D73678"/>
    <w:rsid w:val="09DD18AD"/>
    <w:rsid w:val="09DF42DA"/>
    <w:rsid w:val="09FA34EB"/>
    <w:rsid w:val="0A026946"/>
    <w:rsid w:val="0A122CC5"/>
    <w:rsid w:val="0A200B7B"/>
    <w:rsid w:val="0A624FB9"/>
    <w:rsid w:val="0A692F6B"/>
    <w:rsid w:val="0A7635CA"/>
    <w:rsid w:val="0AA30A0F"/>
    <w:rsid w:val="0AA95014"/>
    <w:rsid w:val="0AB72067"/>
    <w:rsid w:val="0ABF20F1"/>
    <w:rsid w:val="0ACC485F"/>
    <w:rsid w:val="0AD11E75"/>
    <w:rsid w:val="0AE127A9"/>
    <w:rsid w:val="0AFA761E"/>
    <w:rsid w:val="0B2E0F81"/>
    <w:rsid w:val="0B602DC9"/>
    <w:rsid w:val="0B61144B"/>
    <w:rsid w:val="0B732F2C"/>
    <w:rsid w:val="0B865355"/>
    <w:rsid w:val="0B8B58FD"/>
    <w:rsid w:val="0BC4514F"/>
    <w:rsid w:val="0BCB2D68"/>
    <w:rsid w:val="0BDB744F"/>
    <w:rsid w:val="0BFF07E0"/>
    <w:rsid w:val="0C0128E1"/>
    <w:rsid w:val="0C14470F"/>
    <w:rsid w:val="0C1E558E"/>
    <w:rsid w:val="0C2010AC"/>
    <w:rsid w:val="0C4A2FCD"/>
    <w:rsid w:val="0C62191E"/>
    <w:rsid w:val="0C7F569E"/>
    <w:rsid w:val="0C943AA2"/>
    <w:rsid w:val="0CB3697F"/>
    <w:rsid w:val="0CB90E13"/>
    <w:rsid w:val="0CC25F19"/>
    <w:rsid w:val="0CD2303E"/>
    <w:rsid w:val="0CF2453E"/>
    <w:rsid w:val="0D042E1A"/>
    <w:rsid w:val="0D4913C1"/>
    <w:rsid w:val="0D660F9A"/>
    <w:rsid w:val="0D682B9B"/>
    <w:rsid w:val="0D6945E7"/>
    <w:rsid w:val="0D962F4D"/>
    <w:rsid w:val="0DBC6E0C"/>
    <w:rsid w:val="0DD35A97"/>
    <w:rsid w:val="0DED1445"/>
    <w:rsid w:val="0DF77E44"/>
    <w:rsid w:val="0E1518A1"/>
    <w:rsid w:val="0E2350DD"/>
    <w:rsid w:val="0E262ED1"/>
    <w:rsid w:val="0E2714DC"/>
    <w:rsid w:val="0E2A08EB"/>
    <w:rsid w:val="0E4928DC"/>
    <w:rsid w:val="0E754C08"/>
    <w:rsid w:val="0E84109E"/>
    <w:rsid w:val="0E8B4260"/>
    <w:rsid w:val="0EBC4BEA"/>
    <w:rsid w:val="0ED85EC8"/>
    <w:rsid w:val="0EDA7072"/>
    <w:rsid w:val="0EDC11FC"/>
    <w:rsid w:val="0EE26D46"/>
    <w:rsid w:val="0EF12AE6"/>
    <w:rsid w:val="0F0C4A59"/>
    <w:rsid w:val="0F1112D6"/>
    <w:rsid w:val="0F112C3E"/>
    <w:rsid w:val="0F1862C4"/>
    <w:rsid w:val="0F225395"/>
    <w:rsid w:val="0F24110D"/>
    <w:rsid w:val="0F2B249C"/>
    <w:rsid w:val="0F2C6214"/>
    <w:rsid w:val="0F2E5AE8"/>
    <w:rsid w:val="0F502321"/>
    <w:rsid w:val="0F5D0A2F"/>
    <w:rsid w:val="0F607C6B"/>
    <w:rsid w:val="0F706100"/>
    <w:rsid w:val="0F784FB5"/>
    <w:rsid w:val="0F8A6A96"/>
    <w:rsid w:val="0F8C08E3"/>
    <w:rsid w:val="0F8D06EA"/>
    <w:rsid w:val="0FA53BB8"/>
    <w:rsid w:val="0FC149A6"/>
    <w:rsid w:val="0FC1695C"/>
    <w:rsid w:val="0FDF4E93"/>
    <w:rsid w:val="0FE03B0E"/>
    <w:rsid w:val="0FE4089C"/>
    <w:rsid w:val="0FEE34C9"/>
    <w:rsid w:val="0FF90784"/>
    <w:rsid w:val="10093E5F"/>
    <w:rsid w:val="100D7DF3"/>
    <w:rsid w:val="1054157E"/>
    <w:rsid w:val="105651B6"/>
    <w:rsid w:val="106A6FF4"/>
    <w:rsid w:val="10836E18"/>
    <w:rsid w:val="109C2F25"/>
    <w:rsid w:val="10AB142F"/>
    <w:rsid w:val="10AB4F16"/>
    <w:rsid w:val="10C06C14"/>
    <w:rsid w:val="10C36704"/>
    <w:rsid w:val="10CB4AD3"/>
    <w:rsid w:val="10E613C1"/>
    <w:rsid w:val="10EE19D3"/>
    <w:rsid w:val="11041F12"/>
    <w:rsid w:val="11095C2A"/>
    <w:rsid w:val="1154735C"/>
    <w:rsid w:val="1158509E"/>
    <w:rsid w:val="115A0AD0"/>
    <w:rsid w:val="11763776"/>
    <w:rsid w:val="117A14B8"/>
    <w:rsid w:val="119207D5"/>
    <w:rsid w:val="11A007F3"/>
    <w:rsid w:val="11AD0E6F"/>
    <w:rsid w:val="11AE31E0"/>
    <w:rsid w:val="11AE5258"/>
    <w:rsid w:val="11B147AE"/>
    <w:rsid w:val="11C646FD"/>
    <w:rsid w:val="11C9487C"/>
    <w:rsid w:val="11F56D91"/>
    <w:rsid w:val="1204403A"/>
    <w:rsid w:val="12266F4A"/>
    <w:rsid w:val="12340406"/>
    <w:rsid w:val="123A0C48"/>
    <w:rsid w:val="124341AB"/>
    <w:rsid w:val="12521AED"/>
    <w:rsid w:val="12633CFA"/>
    <w:rsid w:val="12692EF2"/>
    <w:rsid w:val="12786986"/>
    <w:rsid w:val="12922832"/>
    <w:rsid w:val="12A3059B"/>
    <w:rsid w:val="12BD293A"/>
    <w:rsid w:val="12EF37E0"/>
    <w:rsid w:val="12F17558"/>
    <w:rsid w:val="12F2507E"/>
    <w:rsid w:val="12F46273"/>
    <w:rsid w:val="1308124D"/>
    <w:rsid w:val="132C0590"/>
    <w:rsid w:val="133236CD"/>
    <w:rsid w:val="13370CE3"/>
    <w:rsid w:val="13386F35"/>
    <w:rsid w:val="13394A5B"/>
    <w:rsid w:val="134A56E4"/>
    <w:rsid w:val="13651CF4"/>
    <w:rsid w:val="13A9398F"/>
    <w:rsid w:val="13B3480E"/>
    <w:rsid w:val="13BD568C"/>
    <w:rsid w:val="13C37A25"/>
    <w:rsid w:val="13E44DAF"/>
    <w:rsid w:val="13FB325E"/>
    <w:rsid w:val="1470712F"/>
    <w:rsid w:val="14932911"/>
    <w:rsid w:val="14AF76CB"/>
    <w:rsid w:val="14B22D17"/>
    <w:rsid w:val="14B7032D"/>
    <w:rsid w:val="14BC1DE8"/>
    <w:rsid w:val="14C10EE2"/>
    <w:rsid w:val="14C201BA"/>
    <w:rsid w:val="14E31122"/>
    <w:rsid w:val="152621F6"/>
    <w:rsid w:val="1529148F"/>
    <w:rsid w:val="1542409B"/>
    <w:rsid w:val="155301D7"/>
    <w:rsid w:val="1557566D"/>
    <w:rsid w:val="15610299"/>
    <w:rsid w:val="15671D54"/>
    <w:rsid w:val="15724254"/>
    <w:rsid w:val="158C3568"/>
    <w:rsid w:val="158F270C"/>
    <w:rsid w:val="15984DE1"/>
    <w:rsid w:val="15B36931"/>
    <w:rsid w:val="15CF16A7"/>
    <w:rsid w:val="16095447"/>
    <w:rsid w:val="16197E6B"/>
    <w:rsid w:val="16281F12"/>
    <w:rsid w:val="16302145"/>
    <w:rsid w:val="16351E52"/>
    <w:rsid w:val="167043DB"/>
    <w:rsid w:val="16717081"/>
    <w:rsid w:val="167209B0"/>
    <w:rsid w:val="16750D36"/>
    <w:rsid w:val="16B014D8"/>
    <w:rsid w:val="16C17241"/>
    <w:rsid w:val="16E027B8"/>
    <w:rsid w:val="16ED5EAA"/>
    <w:rsid w:val="170B3EB5"/>
    <w:rsid w:val="171952CF"/>
    <w:rsid w:val="1719707D"/>
    <w:rsid w:val="171D2EE0"/>
    <w:rsid w:val="1730504B"/>
    <w:rsid w:val="1735086C"/>
    <w:rsid w:val="17361868"/>
    <w:rsid w:val="17515EC2"/>
    <w:rsid w:val="17563E2E"/>
    <w:rsid w:val="175C420C"/>
    <w:rsid w:val="17740758"/>
    <w:rsid w:val="179D2E56"/>
    <w:rsid w:val="17A6044E"/>
    <w:rsid w:val="17BA0860"/>
    <w:rsid w:val="17BD20FF"/>
    <w:rsid w:val="17C01F0C"/>
    <w:rsid w:val="17E44BFC"/>
    <w:rsid w:val="17E53404"/>
    <w:rsid w:val="17EF06F4"/>
    <w:rsid w:val="180A4C18"/>
    <w:rsid w:val="180D50C3"/>
    <w:rsid w:val="180D79FC"/>
    <w:rsid w:val="18310418"/>
    <w:rsid w:val="1864558B"/>
    <w:rsid w:val="187B6274"/>
    <w:rsid w:val="189D783A"/>
    <w:rsid w:val="18B2778A"/>
    <w:rsid w:val="18B904BA"/>
    <w:rsid w:val="18C03544"/>
    <w:rsid w:val="18EB67F8"/>
    <w:rsid w:val="18F90F15"/>
    <w:rsid w:val="19063790"/>
    <w:rsid w:val="19120228"/>
    <w:rsid w:val="195720DF"/>
    <w:rsid w:val="19654B16"/>
    <w:rsid w:val="197E766C"/>
    <w:rsid w:val="1988190B"/>
    <w:rsid w:val="198A6011"/>
    <w:rsid w:val="198F1879"/>
    <w:rsid w:val="19A5109C"/>
    <w:rsid w:val="19B32869"/>
    <w:rsid w:val="19B74EE4"/>
    <w:rsid w:val="19C74A3D"/>
    <w:rsid w:val="19D11E91"/>
    <w:rsid w:val="19EC6CCB"/>
    <w:rsid w:val="19EE2A43"/>
    <w:rsid w:val="1A0C186A"/>
    <w:rsid w:val="1A2A3350"/>
    <w:rsid w:val="1A2C356C"/>
    <w:rsid w:val="1A3348FA"/>
    <w:rsid w:val="1A3D3083"/>
    <w:rsid w:val="1A8E7561"/>
    <w:rsid w:val="1A9F78F8"/>
    <w:rsid w:val="1AA66E7A"/>
    <w:rsid w:val="1ABC48F0"/>
    <w:rsid w:val="1ABD2A07"/>
    <w:rsid w:val="1AC11F06"/>
    <w:rsid w:val="1AC61965"/>
    <w:rsid w:val="1AE72AD2"/>
    <w:rsid w:val="1AF65494"/>
    <w:rsid w:val="1AF75928"/>
    <w:rsid w:val="1AFC1190"/>
    <w:rsid w:val="1B101184"/>
    <w:rsid w:val="1B16525A"/>
    <w:rsid w:val="1B1A1616"/>
    <w:rsid w:val="1B1D74DF"/>
    <w:rsid w:val="1B210BF7"/>
    <w:rsid w:val="1B2B45EC"/>
    <w:rsid w:val="1B512979"/>
    <w:rsid w:val="1B59213E"/>
    <w:rsid w:val="1B5C6497"/>
    <w:rsid w:val="1B666609"/>
    <w:rsid w:val="1B724FAE"/>
    <w:rsid w:val="1B726100"/>
    <w:rsid w:val="1B7A7441"/>
    <w:rsid w:val="1B83540D"/>
    <w:rsid w:val="1B8A78B2"/>
    <w:rsid w:val="1B9C202B"/>
    <w:rsid w:val="1BEA0FE8"/>
    <w:rsid w:val="1BEC2FB3"/>
    <w:rsid w:val="1C237506"/>
    <w:rsid w:val="1C2465A3"/>
    <w:rsid w:val="1C3B7A96"/>
    <w:rsid w:val="1C4F52EF"/>
    <w:rsid w:val="1C67088B"/>
    <w:rsid w:val="1C7D4B19"/>
    <w:rsid w:val="1C876837"/>
    <w:rsid w:val="1C8B27CB"/>
    <w:rsid w:val="1C9571A6"/>
    <w:rsid w:val="1CD66BB0"/>
    <w:rsid w:val="1CF928A3"/>
    <w:rsid w:val="1D1C78C7"/>
    <w:rsid w:val="1D385E44"/>
    <w:rsid w:val="1D5A219E"/>
    <w:rsid w:val="1D6923E1"/>
    <w:rsid w:val="1D762D4C"/>
    <w:rsid w:val="1DB01F75"/>
    <w:rsid w:val="1DC92705"/>
    <w:rsid w:val="1DD51824"/>
    <w:rsid w:val="1DDA6E3B"/>
    <w:rsid w:val="1DDF12F2"/>
    <w:rsid w:val="1DE026A3"/>
    <w:rsid w:val="1E0A5972"/>
    <w:rsid w:val="1E0A7720"/>
    <w:rsid w:val="1E0F4D36"/>
    <w:rsid w:val="1E291486"/>
    <w:rsid w:val="1E3824DF"/>
    <w:rsid w:val="1E4744D0"/>
    <w:rsid w:val="1E4C5F8A"/>
    <w:rsid w:val="1E596F15"/>
    <w:rsid w:val="1E5D7DE9"/>
    <w:rsid w:val="1E6E5AF7"/>
    <w:rsid w:val="1E6E6048"/>
    <w:rsid w:val="1E8A260F"/>
    <w:rsid w:val="1E952C15"/>
    <w:rsid w:val="1E967206"/>
    <w:rsid w:val="1EAA33EB"/>
    <w:rsid w:val="1EAE6AE9"/>
    <w:rsid w:val="1EB55AAE"/>
    <w:rsid w:val="1EDA01EB"/>
    <w:rsid w:val="1EDE6925"/>
    <w:rsid w:val="1F066139"/>
    <w:rsid w:val="1F130856"/>
    <w:rsid w:val="1F2C36C6"/>
    <w:rsid w:val="1F2E743E"/>
    <w:rsid w:val="1F416D3C"/>
    <w:rsid w:val="1F4E71EE"/>
    <w:rsid w:val="1F576995"/>
    <w:rsid w:val="1F5F550C"/>
    <w:rsid w:val="1F63358C"/>
    <w:rsid w:val="1F6D61B8"/>
    <w:rsid w:val="1F871243"/>
    <w:rsid w:val="1F9F033C"/>
    <w:rsid w:val="1FBD2E59"/>
    <w:rsid w:val="1FBF278C"/>
    <w:rsid w:val="1FFE5062"/>
    <w:rsid w:val="2006231E"/>
    <w:rsid w:val="2007660D"/>
    <w:rsid w:val="200C6649"/>
    <w:rsid w:val="20124FB2"/>
    <w:rsid w:val="20191E9C"/>
    <w:rsid w:val="204A02A8"/>
    <w:rsid w:val="20692753"/>
    <w:rsid w:val="206C1BB2"/>
    <w:rsid w:val="2080016D"/>
    <w:rsid w:val="208E288A"/>
    <w:rsid w:val="20D9162C"/>
    <w:rsid w:val="20E63F9F"/>
    <w:rsid w:val="21042B4C"/>
    <w:rsid w:val="21271BF9"/>
    <w:rsid w:val="212E1977"/>
    <w:rsid w:val="212E3725"/>
    <w:rsid w:val="21425423"/>
    <w:rsid w:val="21645399"/>
    <w:rsid w:val="21696E53"/>
    <w:rsid w:val="21920158"/>
    <w:rsid w:val="21927F47"/>
    <w:rsid w:val="21AD23A2"/>
    <w:rsid w:val="21CF315A"/>
    <w:rsid w:val="21DE514B"/>
    <w:rsid w:val="21E07116"/>
    <w:rsid w:val="21EF55AB"/>
    <w:rsid w:val="21EF63FF"/>
    <w:rsid w:val="21F20BF7"/>
    <w:rsid w:val="2217065D"/>
    <w:rsid w:val="22293AE7"/>
    <w:rsid w:val="22317971"/>
    <w:rsid w:val="223615FD"/>
    <w:rsid w:val="22481B2B"/>
    <w:rsid w:val="226E1396"/>
    <w:rsid w:val="22793056"/>
    <w:rsid w:val="22832569"/>
    <w:rsid w:val="22835CF3"/>
    <w:rsid w:val="22971AE5"/>
    <w:rsid w:val="22B838F8"/>
    <w:rsid w:val="22DE026A"/>
    <w:rsid w:val="22E177D9"/>
    <w:rsid w:val="22E42C35"/>
    <w:rsid w:val="22EF3388"/>
    <w:rsid w:val="22F05754"/>
    <w:rsid w:val="22F06F3D"/>
    <w:rsid w:val="22F46F43"/>
    <w:rsid w:val="23085188"/>
    <w:rsid w:val="23166844"/>
    <w:rsid w:val="232E1AC6"/>
    <w:rsid w:val="232F786B"/>
    <w:rsid w:val="23384D2F"/>
    <w:rsid w:val="23452FA8"/>
    <w:rsid w:val="234C768D"/>
    <w:rsid w:val="23671171"/>
    <w:rsid w:val="2369138D"/>
    <w:rsid w:val="236A568F"/>
    <w:rsid w:val="23812232"/>
    <w:rsid w:val="2382599A"/>
    <w:rsid w:val="2387457D"/>
    <w:rsid w:val="23C46955"/>
    <w:rsid w:val="23D20CE0"/>
    <w:rsid w:val="23D507D0"/>
    <w:rsid w:val="23D80963"/>
    <w:rsid w:val="23D83D9E"/>
    <w:rsid w:val="23DC56BB"/>
    <w:rsid w:val="23F5677C"/>
    <w:rsid w:val="23F63C20"/>
    <w:rsid w:val="240115C5"/>
    <w:rsid w:val="24101808"/>
    <w:rsid w:val="241C63FF"/>
    <w:rsid w:val="24226F43"/>
    <w:rsid w:val="24247062"/>
    <w:rsid w:val="2435126F"/>
    <w:rsid w:val="243A6885"/>
    <w:rsid w:val="243D776E"/>
    <w:rsid w:val="2479115B"/>
    <w:rsid w:val="247B4ED4"/>
    <w:rsid w:val="24853FA4"/>
    <w:rsid w:val="24A2174F"/>
    <w:rsid w:val="24AA1A26"/>
    <w:rsid w:val="24C513B8"/>
    <w:rsid w:val="24F80254"/>
    <w:rsid w:val="25070E5D"/>
    <w:rsid w:val="250A6257"/>
    <w:rsid w:val="250E5D48"/>
    <w:rsid w:val="25165925"/>
    <w:rsid w:val="25294857"/>
    <w:rsid w:val="252F3F10"/>
    <w:rsid w:val="25382DC5"/>
    <w:rsid w:val="255614AE"/>
    <w:rsid w:val="255676EF"/>
    <w:rsid w:val="255A71DF"/>
    <w:rsid w:val="255D0A7D"/>
    <w:rsid w:val="25735262"/>
    <w:rsid w:val="25760913"/>
    <w:rsid w:val="25826736"/>
    <w:rsid w:val="259B2F08"/>
    <w:rsid w:val="25AB2680"/>
    <w:rsid w:val="25AC3A6A"/>
    <w:rsid w:val="25CE3E81"/>
    <w:rsid w:val="25CF7F97"/>
    <w:rsid w:val="25D074A1"/>
    <w:rsid w:val="25D96C39"/>
    <w:rsid w:val="25ED0053"/>
    <w:rsid w:val="25FA451E"/>
    <w:rsid w:val="262C38E5"/>
    <w:rsid w:val="263F14EC"/>
    <w:rsid w:val="264D0AF2"/>
    <w:rsid w:val="26501CB1"/>
    <w:rsid w:val="265C5712"/>
    <w:rsid w:val="265D05FD"/>
    <w:rsid w:val="26622EB6"/>
    <w:rsid w:val="268A3AF4"/>
    <w:rsid w:val="26A10E3D"/>
    <w:rsid w:val="26A30712"/>
    <w:rsid w:val="26A51FB7"/>
    <w:rsid w:val="26A56238"/>
    <w:rsid w:val="26BA675A"/>
    <w:rsid w:val="26BE6631"/>
    <w:rsid w:val="26C03C58"/>
    <w:rsid w:val="26C55046"/>
    <w:rsid w:val="26C62A86"/>
    <w:rsid w:val="26ED5E31"/>
    <w:rsid w:val="26F47B11"/>
    <w:rsid w:val="26F61189"/>
    <w:rsid w:val="26F70A5D"/>
    <w:rsid w:val="270C62B7"/>
    <w:rsid w:val="27135897"/>
    <w:rsid w:val="2714160F"/>
    <w:rsid w:val="27174C5C"/>
    <w:rsid w:val="271B6D61"/>
    <w:rsid w:val="2728280B"/>
    <w:rsid w:val="272E26D1"/>
    <w:rsid w:val="27363334"/>
    <w:rsid w:val="27467B25"/>
    <w:rsid w:val="27475541"/>
    <w:rsid w:val="276C144B"/>
    <w:rsid w:val="27716A62"/>
    <w:rsid w:val="277976C4"/>
    <w:rsid w:val="277B343D"/>
    <w:rsid w:val="277F098D"/>
    <w:rsid w:val="278170DB"/>
    <w:rsid w:val="27930786"/>
    <w:rsid w:val="279D4D50"/>
    <w:rsid w:val="27AB3D22"/>
    <w:rsid w:val="27D05536"/>
    <w:rsid w:val="27E11AF8"/>
    <w:rsid w:val="28292E99"/>
    <w:rsid w:val="283005FE"/>
    <w:rsid w:val="28327F9F"/>
    <w:rsid w:val="28331A56"/>
    <w:rsid w:val="28434849"/>
    <w:rsid w:val="28456613"/>
    <w:rsid w:val="286D202F"/>
    <w:rsid w:val="28956780"/>
    <w:rsid w:val="28C52BC1"/>
    <w:rsid w:val="28C606E7"/>
    <w:rsid w:val="28CC69C1"/>
    <w:rsid w:val="28E27A7D"/>
    <w:rsid w:val="29085DCB"/>
    <w:rsid w:val="290D6316"/>
    <w:rsid w:val="291807B8"/>
    <w:rsid w:val="29352E3A"/>
    <w:rsid w:val="293F15D2"/>
    <w:rsid w:val="294A756A"/>
    <w:rsid w:val="295B01BA"/>
    <w:rsid w:val="295B1778"/>
    <w:rsid w:val="296E7D76"/>
    <w:rsid w:val="298F31CF"/>
    <w:rsid w:val="29B260BA"/>
    <w:rsid w:val="29C6285B"/>
    <w:rsid w:val="29D37560"/>
    <w:rsid w:val="29DD3F3B"/>
    <w:rsid w:val="29EF6C8F"/>
    <w:rsid w:val="29F97E4E"/>
    <w:rsid w:val="2A04596B"/>
    <w:rsid w:val="2A1C0F07"/>
    <w:rsid w:val="2A257690"/>
    <w:rsid w:val="2A261D85"/>
    <w:rsid w:val="2A2B739C"/>
    <w:rsid w:val="2A3505EE"/>
    <w:rsid w:val="2A383867"/>
    <w:rsid w:val="2A467D32"/>
    <w:rsid w:val="2A4949BA"/>
    <w:rsid w:val="2A53244F"/>
    <w:rsid w:val="2A5744DB"/>
    <w:rsid w:val="2A5B72A5"/>
    <w:rsid w:val="2A5F7045"/>
    <w:rsid w:val="2A76764D"/>
    <w:rsid w:val="2AA42CAA"/>
    <w:rsid w:val="2ABD3BC6"/>
    <w:rsid w:val="2ACD2201"/>
    <w:rsid w:val="2AE337D3"/>
    <w:rsid w:val="2AF7727E"/>
    <w:rsid w:val="2B04158B"/>
    <w:rsid w:val="2B150495"/>
    <w:rsid w:val="2B177920"/>
    <w:rsid w:val="2B312C19"/>
    <w:rsid w:val="2B5A1960"/>
    <w:rsid w:val="2B637489"/>
    <w:rsid w:val="2B6C01DB"/>
    <w:rsid w:val="2B726905"/>
    <w:rsid w:val="2B8209DE"/>
    <w:rsid w:val="2B8D272F"/>
    <w:rsid w:val="2BA72A52"/>
    <w:rsid w:val="2BD27F42"/>
    <w:rsid w:val="2BE94E19"/>
    <w:rsid w:val="2BE96E2D"/>
    <w:rsid w:val="2BFF6DCF"/>
    <w:rsid w:val="2C3A38C6"/>
    <w:rsid w:val="2C4C16FF"/>
    <w:rsid w:val="2C5E053E"/>
    <w:rsid w:val="2C6721E1"/>
    <w:rsid w:val="2C8608B9"/>
    <w:rsid w:val="2C9E20A7"/>
    <w:rsid w:val="2C9F63A9"/>
    <w:rsid w:val="2CBE62A5"/>
    <w:rsid w:val="2CC80A91"/>
    <w:rsid w:val="2CCE2260"/>
    <w:rsid w:val="2CDE06F5"/>
    <w:rsid w:val="2CE45CBD"/>
    <w:rsid w:val="2CE81574"/>
    <w:rsid w:val="2CF37F79"/>
    <w:rsid w:val="2D216834"/>
    <w:rsid w:val="2D2C4C07"/>
    <w:rsid w:val="2D3C541C"/>
    <w:rsid w:val="2D3C7997"/>
    <w:rsid w:val="2D480265"/>
    <w:rsid w:val="2D617625"/>
    <w:rsid w:val="2D7D6B19"/>
    <w:rsid w:val="2D9172A0"/>
    <w:rsid w:val="2DAA682A"/>
    <w:rsid w:val="2DAF2092"/>
    <w:rsid w:val="2DB5581A"/>
    <w:rsid w:val="2DB94CBF"/>
    <w:rsid w:val="2DC07527"/>
    <w:rsid w:val="2DD37B2E"/>
    <w:rsid w:val="2DE34362"/>
    <w:rsid w:val="2DE51610"/>
    <w:rsid w:val="2DEF20D7"/>
    <w:rsid w:val="2E2A1718"/>
    <w:rsid w:val="2E3422F8"/>
    <w:rsid w:val="2E382ECE"/>
    <w:rsid w:val="2E5A120D"/>
    <w:rsid w:val="2E5E7CC5"/>
    <w:rsid w:val="2E6609A2"/>
    <w:rsid w:val="2E89343E"/>
    <w:rsid w:val="2E9A4AF0"/>
    <w:rsid w:val="2EA75C11"/>
    <w:rsid w:val="2EAE017D"/>
    <w:rsid w:val="2EB01C1E"/>
    <w:rsid w:val="2EB13C87"/>
    <w:rsid w:val="2EC67693"/>
    <w:rsid w:val="2ECE6063"/>
    <w:rsid w:val="2ED753FC"/>
    <w:rsid w:val="2EE70552"/>
    <w:rsid w:val="2EE8585B"/>
    <w:rsid w:val="2EF064BE"/>
    <w:rsid w:val="2EF20488"/>
    <w:rsid w:val="2F0119DF"/>
    <w:rsid w:val="2F07062F"/>
    <w:rsid w:val="2F2717B8"/>
    <w:rsid w:val="2F3A39D1"/>
    <w:rsid w:val="2F3A3BDD"/>
    <w:rsid w:val="2F452CAE"/>
    <w:rsid w:val="2F5051AF"/>
    <w:rsid w:val="2F5922B5"/>
    <w:rsid w:val="2F6F3887"/>
    <w:rsid w:val="2F8224C5"/>
    <w:rsid w:val="2FA06136"/>
    <w:rsid w:val="2FA32702"/>
    <w:rsid w:val="2FC8743B"/>
    <w:rsid w:val="2FCA31B3"/>
    <w:rsid w:val="2FD44032"/>
    <w:rsid w:val="30134B5A"/>
    <w:rsid w:val="302567CF"/>
    <w:rsid w:val="302723B3"/>
    <w:rsid w:val="303C40BD"/>
    <w:rsid w:val="3045283A"/>
    <w:rsid w:val="304E5B92"/>
    <w:rsid w:val="30590093"/>
    <w:rsid w:val="305F7D9F"/>
    <w:rsid w:val="307B625B"/>
    <w:rsid w:val="307D6477"/>
    <w:rsid w:val="309D08C8"/>
    <w:rsid w:val="30A13F14"/>
    <w:rsid w:val="30AD28D7"/>
    <w:rsid w:val="30B30980"/>
    <w:rsid w:val="30E6401D"/>
    <w:rsid w:val="310C55BA"/>
    <w:rsid w:val="31224929"/>
    <w:rsid w:val="31376626"/>
    <w:rsid w:val="315224D4"/>
    <w:rsid w:val="31717D8A"/>
    <w:rsid w:val="3176279D"/>
    <w:rsid w:val="319770C5"/>
    <w:rsid w:val="319D4EF3"/>
    <w:rsid w:val="31A11CF2"/>
    <w:rsid w:val="31B55BDA"/>
    <w:rsid w:val="31C37EBA"/>
    <w:rsid w:val="31D245A1"/>
    <w:rsid w:val="31D9148B"/>
    <w:rsid w:val="31E47BCC"/>
    <w:rsid w:val="320D6B1C"/>
    <w:rsid w:val="32105E6F"/>
    <w:rsid w:val="321109A1"/>
    <w:rsid w:val="321270E3"/>
    <w:rsid w:val="321E1594"/>
    <w:rsid w:val="322841C1"/>
    <w:rsid w:val="323668DE"/>
    <w:rsid w:val="323808A8"/>
    <w:rsid w:val="323B0093"/>
    <w:rsid w:val="323C7F64"/>
    <w:rsid w:val="323E39E4"/>
    <w:rsid w:val="32466E61"/>
    <w:rsid w:val="324A2760"/>
    <w:rsid w:val="32503556"/>
    <w:rsid w:val="325A081E"/>
    <w:rsid w:val="326649B8"/>
    <w:rsid w:val="3278743C"/>
    <w:rsid w:val="32827D75"/>
    <w:rsid w:val="328E0C7D"/>
    <w:rsid w:val="32911D66"/>
    <w:rsid w:val="329C4F37"/>
    <w:rsid w:val="32AB02BD"/>
    <w:rsid w:val="32C83D55"/>
    <w:rsid w:val="32DA184C"/>
    <w:rsid w:val="32E26A66"/>
    <w:rsid w:val="32E620B2"/>
    <w:rsid w:val="32EC580C"/>
    <w:rsid w:val="32F95CB7"/>
    <w:rsid w:val="33010C9A"/>
    <w:rsid w:val="33244988"/>
    <w:rsid w:val="334E5EA9"/>
    <w:rsid w:val="337A64D0"/>
    <w:rsid w:val="33997124"/>
    <w:rsid w:val="33A65CE5"/>
    <w:rsid w:val="33AD7074"/>
    <w:rsid w:val="33B64277"/>
    <w:rsid w:val="33C76378"/>
    <w:rsid w:val="33D17B22"/>
    <w:rsid w:val="33D26ADA"/>
    <w:rsid w:val="33D62126"/>
    <w:rsid w:val="33D9561C"/>
    <w:rsid w:val="33DE722D"/>
    <w:rsid w:val="33E41C73"/>
    <w:rsid w:val="340C3D9A"/>
    <w:rsid w:val="34190265"/>
    <w:rsid w:val="342A6B27"/>
    <w:rsid w:val="34360E17"/>
    <w:rsid w:val="344D7F0F"/>
    <w:rsid w:val="3469049A"/>
    <w:rsid w:val="346E6B7F"/>
    <w:rsid w:val="34766B9C"/>
    <w:rsid w:val="348A18C3"/>
    <w:rsid w:val="3495532D"/>
    <w:rsid w:val="349F41F7"/>
    <w:rsid w:val="350022EF"/>
    <w:rsid w:val="35020CF9"/>
    <w:rsid w:val="35040F15"/>
    <w:rsid w:val="35074561"/>
    <w:rsid w:val="35132F06"/>
    <w:rsid w:val="3522139B"/>
    <w:rsid w:val="352B0250"/>
    <w:rsid w:val="352E1AEE"/>
    <w:rsid w:val="35325A82"/>
    <w:rsid w:val="35411821"/>
    <w:rsid w:val="3558300F"/>
    <w:rsid w:val="3566572C"/>
    <w:rsid w:val="3583585A"/>
    <w:rsid w:val="35904557"/>
    <w:rsid w:val="35935DF5"/>
    <w:rsid w:val="35987004"/>
    <w:rsid w:val="359C73A0"/>
    <w:rsid w:val="359D02E4"/>
    <w:rsid w:val="35B75970"/>
    <w:rsid w:val="35C8513F"/>
    <w:rsid w:val="35D040D0"/>
    <w:rsid w:val="35D11499"/>
    <w:rsid w:val="35E03756"/>
    <w:rsid w:val="3607320C"/>
    <w:rsid w:val="360E0992"/>
    <w:rsid w:val="361707D4"/>
    <w:rsid w:val="361E1B63"/>
    <w:rsid w:val="36271315"/>
    <w:rsid w:val="36296D8F"/>
    <w:rsid w:val="36394BEF"/>
    <w:rsid w:val="36454EF4"/>
    <w:rsid w:val="36480ED6"/>
    <w:rsid w:val="3667784E"/>
    <w:rsid w:val="366D5013"/>
    <w:rsid w:val="366E687E"/>
    <w:rsid w:val="368049F0"/>
    <w:rsid w:val="36897924"/>
    <w:rsid w:val="369B1405"/>
    <w:rsid w:val="36C46BAE"/>
    <w:rsid w:val="36C56482"/>
    <w:rsid w:val="36F9612C"/>
    <w:rsid w:val="370A20E7"/>
    <w:rsid w:val="372C02AF"/>
    <w:rsid w:val="37427DCD"/>
    <w:rsid w:val="374D6BA3"/>
    <w:rsid w:val="376161AB"/>
    <w:rsid w:val="376E062B"/>
    <w:rsid w:val="37700298"/>
    <w:rsid w:val="377527A3"/>
    <w:rsid w:val="3793032E"/>
    <w:rsid w:val="37AB17B4"/>
    <w:rsid w:val="37BA2DCC"/>
    <w:rsid w:val="37C14E9C"/>
    <w:rsid w:val="37FA1CAE"/>
    <w:rsid w:val="38003C16"/>
    <w:rsid w:val="38037262"/>
    <w:rsid w:val="38211DDE"/>
    <w:rsid w:val="382B3A22"/>
    <w:rsid w:val="385B0E4C"/>
    <w:rsid w:val="386717C0"/>
    <w:rsid w:val="38723425"/>
    <w:rsid w:val="38974AF0"/>
    <w:rsid w:val="38C34C43"/>
    <w:rsid w:val="38C95885"/>
    <w:rsid w:val="38E23DE0"/>
    <w:rsid w:val="390019F4"/>
    <w:rsid w:val="391F5EBF"/>
    <w:rsid w:val="391F631E"/>
    <w:rsid w:val="39202096"/>
    <w:rsid w:val="3930052B"/>
    <w:rsid w:val="39422DEA"/>
    <w:rsid w:val="395D29A2"/>
    <w:rsid w:val="39CE1AF2"/>
    <w:rsid w:val="39E676B1"/>
    <w:rsid w:val="39F257E0"/>
    <w:rsid w:val="39F96B6F"/>
    <w:rsid w:val="3A030AC5"/>
    <w:rsid w:val="3A06128C"/>
    <w:rsid w:val="3A3148AB"/>
    <w:rsid w:val="3A347BA7"/>
    <w:rsid w:val="3A476A7B"/>
    <w:rsid w:val="3A542215"/>
    <w:rsid w:val="3A7301ED"/>
    <w:rsid w:val="3AA82343"/>
    <w:rsid w:val="3AB61C66"/>
    <w:rsid w:val="3ABA6326"/>
    <w:rsid w:val="3AD924FC"/>
    <w:rsid w:val="3ADF1DF8"/>
    <w:rsid w:val="3AE315CD"/>
    <w:rsid w:val="3AEF1D20"/>
    <w:rsid w:val="3B29323F"/>
    <w:rsid w:val="3B2C6AD0"/>
    <w:rsid w:val="3B424ED6"/>
    <w:rsid w:val="3B8033E1"/>
    <w:rsid w:val="3BA269FD"/>
    <w:rsid w:val="3BAB20EB"/>
    <w:rsid w:val="3BB379B1"/>
    <w:rsid w:val="3BBD3BCC"/>
    <w:rsid w:val="3BD11425"/>
    <w:rsid w:val="3BD6013A"/>
    <w:rsid w:val="3BF13876"/>
    <w:rsid w:val="3BFF2436"/>
    <w:rsid w:val="3C08753D"/>
    <w:rsid w:val="3C2C6246"/>
    <w:rsid w:val="3C2D083A"/>
    <w:rsid w:val="3C6A3D54"/>
    <w:rsid w:val="3C9E1C4F"/>
    <w:rsid w:val="3CCF40AD"/>
    <w:rsid w:val="3CE05AB2"/>
    <w:rsid w:val="3D1B504E"/>
    <w:rsid w:val="3D22018A"/>
    <w:rsid w:val="3D295E51"/>
    <w:rsid w:val="3D3B124C"/>
    <w:rsid w:val="3D3B2FFA"/>
    <w:rsid w:val="3D485717"/>
    <w:rsid w:val="3D657A24"/>
    <w:rsid w:val="3D6B7484"/>
    <w:rsid w:val="3D791D75"/>
    <w:rsid w:val="3D7D76FE"/>
    <w:rsid w:val="3D967432"/>
    <w:rsid w:val="3DA17C5A"/>
    <w:rsid w:val="3DA94408"/>
    <w:rsid w:val="3DD82F3F"/>
    <w:rsid w:val="3DE6565C"/>
    <w:rsid w:val="3DE6740A"/>
    <w:rsid w:val="3DE93FE1"/>
    <w:rsid w:val="3DEF2039"/>
    <w:rsid w:val="3E38014F"/>
    <w:rsid w:val="3E483C21"/>
    <w:rsid w:val="3E5C147A"/>
    <w:rsid w:val="3E66477A"/>
    <w:rsid w:val="3E6B5B61"/>
    <w:rsid w:val="3E7F160D"/>
    <w:rsid w:val="3E934D3D"/>
    <w:rsid w:val="3EAA6689"/>
    <w:rsid w:val="3F0E2A92"/>
    <w:rsid w:val="3F0F2990"/>
    <w:rsid w:val="3F253F62"/>
    <w:rsid w:val="3F2921E6"/>
    <w:rsid w:val="3F5356B7"/>
    <w:rsid w:val="3F5F6009"/>
    <w:rsid w:val="3F7857D1"/>
    <w:rsid w:val="3F7D5A4F"/>
    <w:rsid w:val="3F7E18C4"/>
    <w:rsid w:val="3F9A21C7"/>
    <w:rsid w:val="3FB13A48"/>
    <w:rsid w:val="3FBF43B6"/>
    <w:rsid w:val="3FCA68B7"/>
    <w:rsid w:val="3FD37E62"/>
    <w:rsid w:val="402D0145"/>
    <w:rsid w:val="403C77B5"/>
    <w:rsid w:val="407D1B7C"/>
    <w:rsid w:val="40884444"/>
    <w:rsid w:val="40A3112D"/>
    <w:rsid w:val="40A35A86"/>
    <w:rsid w:val="40A73B61"/>
    <w:rsid w:val="40BF3F42"/>
    <w:rsid w:val="40D03769"/>
    <w:rsid w:val="40D53EF1"/>
    <w:rsid w:val="40E24001"/>
    <w:rsid w:val="40FB141E"/>
    <w:rsid w:val="411B561D"/>
    <w:rsid w:val="412E12E8"/>
    <w:rsid w:val="4153338C"/>
    <w:rsid w:val="41581D4D"/>
    <w:rsid w:val="41656898"/>
    <w:rsid w:val="418D4040"/>
    <w:rsid w:val="41B86D2C"/>
    <w:rsid w:val="41D028AB"/>
    <w:rsid w:val="41D94E01"/>
    <w:rsid w:val="41F95D14"/>
    <w:rsid w:val="42072045"/>
    <w:rsid w:val="42295B17"/>
    <w:rsid w:val="42336996"/>
    <w:rsid w:val="4239350C"/>
    <w:rsid w:val="42447849"/>
    <w:rsid w:val="426217EC"/>
    <w:rsid w:val="429D6505"/>
    <w:rsid w:val="42BB17B0"/>
    <w:rsid w:val="42CC4BAF"/>
    <w:rsid w:val="42CE4911"/>
    <w:rsid w:val="42DC527F"/>
    <w:rsid w:val="42E171C0"/>
    <w:rsid w:val="42E2739A"/>
    <w:rsid w:val="42ED4D97"/>
    <w:rsid w:val="42F97BDF"/>
    <w:rsid w:val="432A5FEB"/>
    <w:rsid w:val="43452E25"/>
    <w:rsid w:val="43613324"/>
    <w:rsid w:val="4364553F"/>
    <w:rsid w:val="436E09FD"/>
    <w:rsid w:val="4374370A"/>
    <w:rsid w:val="43853221"/>
    <w:rsid w:val="43C81360"/>
    <w:rsid w:val="43E048FB"/>
    <w:rsid w:val="43EA254E"/>
    <w:rsid w:val="43F07682"/>
    <w:rsid w:val="4416031D"/>
    <w:rsid w:val="44167F08"/>
    <w:rsid w:val="44175E76"/>
    <w:rsid w:val="44231A85"/>
    <w:rsid w:val="442A3DC9"/>
    <w:rsid w:val="443973A6"/>
    <w:rsid w:val="445E6A7B"/>
    <w:rsid w:val="44703ED1"/>
    <w:rsid w:val="447A4D50"/>
    <w:rsid w:val="448230D6"/>
    <w:rsid w:val="448636F5"/>
    <w:rsid w:val="449C4CC6"/>
    <w:rsid w:val="449F6565"/>
    <w:rsid w:val="44C304A5"/>
    <w:rsid w:val="44C85ABB"/>
    <w:rsid w:val="44CD1324"/>
    <w:rsid w:val="45187B20"/>
    <w:rsid w:val="451C5E07"/>
    <w:rsid w:val="45237196"/>
    <w:rsid w:val="45275A63"/>
    <w:rsid w:val="4538249B"/>
    <w:rsid w:val="453942C3"/>
    <w:rsid w:val="453C0257"/>
    <w:rsid w:val="453E3FCF"/>
    <w:rsid w:val="45513D03"/>
    <w:rsid w:val="4565673D"/>
    <w:rsid w:val="4574077E"/>
    <w:rsid w:val="45765517"/>
    <w:rsid w:val="45794E9A"/>
    <w:rsid w:val="45795008"/>
    <w:rsid w:val="458915B4"/>
    <w:rsid w:val="459E4A6E"/>
    <w:rsid w:val="45AA241A"/>
    <w:rsid w:val="45BE0C6C"/>
    <w:rsid w:val="45C30031"/>
    <w:rsid w:val="46192347"/>
    <w:rsid w:val="464F6181"/>
    <w:rsid w:val="46671304"/>
    <w:rsid w:val="467342B8"/>
    <w:rsid w:val="46963997"/>
    <w:rsid w:val="46B02CAB"/>
    <w:rsid w:val="46D36999"/>
    <w:rsid w:val="46DD3374"/>
    <w:rsid w:val="46E75FA1"/>
    <w:rsid w:val="46EB7C68"/>
    <w:rsid w:val="47095F17"/>
    <w:rsid w:val="470D1EAB"/>
    <w:rsid w:val="472D4172"/>
    <w:rsid w:val="473B735A"/>
    <w:rsid w:val="47484C91"/>
    <w:rsid w:val="4749496A"/>
    <w:rsid w:val="474D04FA"/>
    <w:rsid w:val="475950F1"/>
    <w:rsid w:val="47633879"/>
    <w:rsid w:val="4766336A"/>
    <w:rsid w:val="47677A6F"/>
    <w:rsid w:val="47737D22"/>
    <w:rsid w:val="47942E2B"/>
    <w:rsid w:val="47C50090"/>
    <w:rsid w:val="47CB7671"/>
    <w:rsid w:val="47D41743"/>
    <w:rsid w:val="47E25E36"/>
    <w:rsid w:val="47FD07FD"/>
    <w:rsid w:val="48074B4D"/>
    <w:rsid w:val="48172BDB"/>
    <w:rsid w:val="48223734"/>
    <w:rsid w:val="483B2A48"/>
    <w:rsid w:val="485960BF"/>
    <w:rsid w:val="486C71BD"/>
    <w:rsid w:val="4873378B"/>
    <w:rsid w:val="488A12DA"/>
    <w:rsid w:val="488E2B78"/>
    <w:rsid w:val="489A151D"/>
    <w:rsid w:val="48B40105"/>
    <w:rsid w:val="48B87BF5"/>
    <w:rsid w:val="48D72771"/>
    <w:rsid w:val="48E56510"/>
    <w:rsid w:val="48FD385A"/>
    <w:rsid w:val="49181A11"/>
    <w:rsid w:val="493A4AAE"/>
    <w:rsid w:val="495C057F"/>
    <w:rsid w:val="497004D0"/>
    <w:rsid w:val="497E0E3E"/>
    <w:rsid w:val="49836455"/>
    <w:rsid w:val="498668DA"/>
    <w:rsid w:val="49A10689"/>
    <w:rsid w:val="49A85EBB"/>
    <w:rsid w:val="49AB1508"/>
    <w:rsid w:val="49EA0597"/>
    <w:rsid w:val="49EF566B"/>
    <w:rsid w:val="49F41101"/>
    <w:rsid w:val="4A0961E3"/>
    <w:rsid w:val="4A183041"/>
    <w:rsid w:val="4A205A52"/>
    <w:rsid w:val="4A5B4CDC"/>
    <w:rsid w:val="4A5E3F5D"/>
    <w:rsid w:val="4A6A1427"/>
    <w:rsid w:val="4A730277"/>
    <w:rsid w:val="4A834233"/>
    <w:rsid w:val="4A8C758B"/>
    <w:rsid w:val="4A965D14"/>
    <w:rsid w:val="4AE42F23"/>
    <w:rsid w:val="4AE83C54"/>
    <w:rsid w:val="4AF97A1B"/>
    <w:rsid w:val="4B06733D"/>
    <w:rsid w:val="4B0B6702"/>
    <w:rsid w:val="4B0C5FD6"/>
    <w:rsid w:val="4B1E0FA9"/>
    <w:rsid w:val="4B206D94"/>
    <w:rsid w:val="4B215F25"/>
    <w:rsid w:val="4B2C3CC2"/>
    <w:rsid w:val="4B321EE0"/>
    <w:rsid w:val="4B49722A"/>
    <w:rsid w:val="4B4C6376"/>
    <w:rsid w:val="4B6127C6"/>
    <w:rsid w:val="4B6776C2"/>
    <w:rsid w:val="4B751DCD"/>
    <w:rsid w:val="4B814C16"/>
    <w:rsid w:val="4B893ACB"/>
    <w:rsid w:val="4B9F32EE"/>
    <w:rsid w:val="4BAB3530"/>
    <w:rsid w:val="4BB053C2"/>
    <w:rsid w:val="4BB40B47"/>
    <w:rsid w:val="4BB548C0"/>
    <w:rsid w:val="4BC36D42"/>
    <w:rsid w:val="4BE40D01"/>
    <w:rsid w:val="4BEB6533"/>
    <w:rsid w:val="4BEC408D"/>
    <w:rsid w:val="4BF076A6"/>
    <w:rsid w:val="4BF6088B"/>
    <w:rsid w:val="4C0A1121"/>
    <w:rsid w:val="4C161AF1"/>
    <w:rsid w:val="4C222B32"/>
    <w:rsid w:val="4C285091"/>
    <w:rsid w:val="4C416153"/>
    <w:rsid w:val="4C417B78"/>
    <w:rsid w:val="4C4A5AF7"/>
    <w:rsid w:val="4C5365B2"/>
    <w:rsid w:val="4C924E2D"/>
    <w:rsid w:val="4C9D5A7F"/>
    <w:rsid w:val="4CE74F4D"/>
    <w:rsid w:val="4D111FCA"/>
    <w:rsid w:val="4D1B2F53"/>
    <w:rsid w:val="4D4B54DB"/>
    <w:rsid w:val="4D565C2E"/>
    <w:rsid w:val="4D61085B"/>
    <w:rsid w:val="4D667004"/>
    <w:rsid w:val="4D6B0035"/>
    <w:rsid w:val="4D6D43F9"/>
    <w:rsid w:val="4D866514"/>
    <w:rsid w:val="4D930C30"/>
    <w:rsid w:val="4D9C7AE5"/>
    <w:rsid w:val="4D9D7994"/>
    <w:rsid w:val="4DB210B7"/>
    <w:rsid w:val="4DC1754C"/>
    <w:rsid w:val="4DD54DA5"/>
    <w:rsid w:val="4DE30687"/>
    <w:rsid w:val="4DE33966"/>
    <w:rsid w:val="4DEB6377"/>
    <w:rsid w:val="4DF06083"/>
    <w:rsid w:val="4DF75F10"/>
    <w:rsid w:val="4DFA2A5E"/>
    <w:rsid w:val="4DFA66E6"/>
    <w:rsid w:val="4E065CB6"/>
    <w:rsid w:val="4E200716"/>
    <w:rsid w:val="4E30022D"/>
    <w:rsid w:val="4E4475CC"/>
    <w:rsid w:val="4E482208"/>
    <w:rsid w:val="4E4F2DA9"/>
    <w:rsid w:val="4E5401B4"/>
    <w:rsid w:val="4E5B57DC"/>
    <w:rsid w:val="4E6D5DEE"/>
    <w:rsid w:val="4E740A62"/>
    <w:rsid w:val="4E766588"/>
    <w:rsid w:val="4EA6788D"/>
    <w:rsid w:val="4EB470B0"/>
    <w:rsid w:val="4EC76DE4"/>
    <w:rsid w:val="4ED90AFF"/>
    <w:rsid w:val="4EFE6975"/>
    <w:rsid w:val="4F1815E2"/>
    <w:rsid w:val="4F183BE6"/>
    <w:rsid w:val="4F336227"/>
    <w:rsid w:val="4F4F73A1"/>
    <w:rsid w:val="4F8E7901"/>
    <w:rsid w:val="4F9B059D"/>
    <w:rsid w:val="4FB87599"/>
    <w:rsid w:val="4FCE41A2"/>
    <w:rsid w:val="4FD866CB"/>
    <w:rsid w:val="4FDC68BF"/>
    <w:rsid w:val="4FE94B38"/>
    <w:rsid w:val="4FEA5EB5"/>
    <w:rsid w:val="4FEB04D3"/>
    <w:rsid w:val="4FF9121F"/>
    <w:rsid w:val="501740DB"/>
    <w:rsid w:val="505B3C87"/>
    <w:rsid w:val="505D7058"/>
    <w:rsid w:val="507A1C34"/>
    <w:rsid w:val="509C7DFC"/>
    <w:rsid w:val="50AD77BE"/>
    <w:rsid w:val="50B43398"/>
    <w:rsid w:val="50C00528"/>
    <w:rsid w:val="50C11611"/>
    <w:rsid w:val="50C25AB5"/>
    <w:rsid w:val="50C35389"/>
    <w:rsid w:val="50D137D5"/>
    <w:rsid w:val="50F84F5E"/>
    <w:rsid w:val="51112598"/>
    <w:rsid w:val="511B732C"/>
    <w:rsid w:val="5120603F"/>
    <w:rsid w:val="51206ED5"/>
    <w:rsid w:val="512C1180"/>
    <w:rsid w:val="51302E35"/>
    <w:rsid w:val="51422684"/>
    <w:rsid w:val="514C35D0"/>
    <w:rsid w:val="51667392"/>
    <w:rsid w:val="51825244"/>
    <w:rsid w:val="51B01DB1"/>
    <w:rsid w:val="51BC4CC0"/>
    <w:rsid w:val="51DA6E2E"/>
    <w:rsid w:val="51F872B4"/>
    <w:rsid w:val="51FC0A11"/>
    <w:rsid w:val="521C7446"/>
    <w:rsid w:val="52417FCB"/>
    <w:rsid w:val="526606C2"/>
    <w:rsid w:val="528172AA"/>
    <w:rsid w:val="529C1904"/>
    <w:rsid w:val="529F12A2"/>
    <w:rsid w:val="52B753C1"/>
    <w:rsid w:val="52D209C6"/>
    <w:rsid w:val="530138E1"/>
    <w:rsid w:val="530F0D59"/>
    <w:rsid w:val="531613D5"/>
    <w:rsid w:val="532145E9"/>
    <w:rsid w:val="5324020D"/>
    <w:rsid w:val="532A5B93"/>
    <w:rsid w:val="533267F6"/>
    <w:rsid w:val="535E4700"/>
    <w:rsid w:val="536B2FE6"/>
    <w:rsid w:val="536E3CD2"/>
    <w:rsid w:val="5373753A"/>
    <w:rsid w:val="537D5CC3"/>
    <w:rsid w:val="53987A46"/>
    <w:rsid w:val="53A414A2"/>
    <w:rsid w:val="53A56FC8"/>
    <w:rsid w:val="53BB4A3D"/>
    <w:rsid w:val="53E24C4B"/>
    <w:rsid w:val="53F37C05"/>
    <w:rsid w:val="540B7EB5"/>
    <w:rsid w:val="540E1011"/>
    <w:rsid w:val="54297BF9"/>
    <w:rsid w:val="5436445F"/>
    <w:rsid w:val="54365B47"/>
    <w:rsid w:val="543F7869"/>
    <w:rsid w:val="544B5DC1"/>
    <w:rsid w:val="545033D7"/>
    <w:rsid w:val="54843546"/>
    <w:rsid w:val="54D20290"/>
    <w:rsid w:val="54D67D81"/>
    <w:rsid w:val="54E2482B"/>
    <w:rsid w:val="54E56216"/>
    <w:rsid w:val="54F47B28"/>
    <w:rsid w:val="550F6DEF"/>
    <w:rsid w:val="553B73E2"/>
    <w:rsid w:val="554051FA"/>
    <w:rsid w:val="55473338"/>
    <w:rsid w:val="55833339"/>
    <w:rsid w:val="55836911"/>
    <w:rsid w:val="559429E6"/>
    <w:rsid w:val="55BC3F54"/>
    <w:rsid w:val="55FC07CB"/>
    <w:rsid w:val="560721BC"/>
    <w:rsid w:val="561E0C30"/>
    <w:rsid w:val="561F12B3"/>
    <w:rsid w:val="562B7C58"/>
    <w:rsid w:val="563D798B"/>
    <w:rsid w:val="56561738"/>
    <w:rsid w:val="56602B8B"/>
    <w:rsid w:val="56617B1E"/>
    <w:rsid w:val="56763E09"/>
    <w:rsid w:val="568071EB"/>
    <w:rsid w:val="568E3A93"/>
    <w:rsid w:val="56B52D87"/>
    <w:rsid w:val="56C1680E"/>
    <w:rsid w:val="56CC00BF"/>
    <w:rsid w:val="56EF6ED8"/>
    <w:rsid w:val="570979E2"/>
    <w:rsid w:val="571C3A45"/>
    <w:rsid w:val="571C57F3"/>
    <w:rsid w:val="571D1826"/>
    <w:rsid w:val="573219E8"/>
    <w:rsid w:val="57362D58"/>
    <w:rsid w:val="573C5E95"/>
    <w:rsid w:val="5743331B"/>
    <w:rsid w:val="57471DDA"/>
    <w:rsid w:val="57541431"/>
    <w:rsid w:val="575431DF"/>
    <w:rsid w:val="576462DE"/>
    <w:rsid w:val="57737EC4"/>
    <w:rsid w:val="5785783C"/>
    <w:rsid w:val="57947A7F"/>
    <w:rsid w:val="57A86BE1"/>
    <w:rsid w:val="57CB5B25"/>
    <w:rsid w:val="57E44562"/>
    <w:rsid w:val="57EB4490"/>
    <w:rsid w:val="57EC1669"/>
    <w:rsid w:val="580449F9"/>
    <w:rsid w:val="581D0F85"/>
    <w:rsid w:val="58296419"/>
    <w:rsid w:val="582C5F09"/>
    <w:rsid w:val="58311772"/>
    <w:rsid w:val="58337298"/>
    <w:rsid w:val="58873140"/>
    <w:rsid w:val="58935F89"/>
    <w:rsid w:val="58A63441"/>
    <w:rsid w:val="58BF28DA"/>
    <w:rsid w:val="58C1144C"/>
    <w:rsid w:val="58CD3249"/>
    <w:rsid w:val="58D00AF4"/>
    <w:rsid w:val="58DE1D8C"/>
    <w:rsid w:val="58F06F37"/>
    <w:rsid w:val="58F44C79"/>
    <w:rsid w:val="5919648E"/>
    <w:rsid w:val="591A5DA5"/>
    <w:rsid w:val="59337D32"/>
    <w:rsid w:val="598A550B"/>
    <w:rsid w:val="599C09DC"/>
    <w:rsid w:val="599D70BF"/>
    <w:rsid w:val="59BA6FCD"/>
    <w:rsid w:val="59CC3500"/>
    <w:rsid w:val="59D14FBA"/>
    <w:rsid w:val="59EE3017"/>
    <w:rsid w:val="59F1323B"/>
    <w:rsid w:val="5A056A12"/>
    <w:rsid w:val="5A0D0436"/>
    <w:rsid w:val="5A2C0443"/>
    <w:rsid w:val="5A434692"/>
    <w:rsid w:val="5A5B2AD6"/>
    <w:rsid w:val="5A7B0A82"/>
    <w:rsid w:val="5A852708"/>
    <w:rsid w:val="5A86410C"/>
    <w:rsid w:val="5A9B2ED2"/>
    <w:rsid w:val="5AAE0E58"/>
    <w:rsid w:val="5AC32B55"/>
    <w:rsid w:val="5ADF3707"/>
    <w:rsid w:val="5AF56A87"/>
    <w:rsid w:val="5AFE1DDF"/>
    <w:rsid w:val="5B1433B1"/>
    <w:rsid w:val="5B1E5FDD"/>
    <w:rsid w:val="5B264B73"/>
    <w:rsid w:val="5B2A2BD4"/>
    <w:rsid w:val="5B5E462C"/>
    <w:rsid w:val="5B5F1393"/>
    <w:rsid w:val="5B5F2152"/>
    <w:rsid w:val="5B687BD4"/>
    <w:rsid w:val="5B6B6D49"/>
    <w:rsid w:val="5B9535F4"/>
    <w:rsid w:val="5B991B08"/>
    <w:rsid w:val="5B9938B6"/>
    <w:rsid w:val="5BC528FD"/>
    <w:rsid w:val="5BC8419B"/>
    <w:rsid w:val="5BD26DC8"/>
    <w:rsid w:val="5BDE576D"/>
    <w:rsid w:val="5C0B4CB9"/>
    <w:rsid w:val="5C0D0AE7"/>
    <w:rsid w:val="5C2018E1"/>
    <w:rsid w:val="5C2C0286"/>
    <w:rsid w:val="5C2C297C"/>
    <w:rsid w:val="5C2E2250"/>
    <w:rsid w:val="5C753B41"/>
    <w:rsid w:val="5C7D31D8"/>
    <w:rsid w:val="5C870D7B"/>
    <w:rsid w:val="5CC76A05"/>
    <w:rsid w:val="5CE05C01"/>
    <w:rsid w:val="5D1C654D"/>
    <w:rsid w:val="5D2015DA"/>
    <w:rsid w:val="5D213B63"/>
    <w:rsid w:val="5D226CFA"/>
    <w:rsid w:val="5D2C2695"/>
    <w:rsid w:val="5D2D69AC"/>
    <w:rsid w:val="5D7719D5"/>
    <w:rsid w:val="5D912C18"/>
    <w:rsid w:val="5D9702C9"/>
    <w:rsid w:val="5DB91FED"/>
    <w:rsid w:val="5DC07B22"/>
    <w:rsid w:val="5DC2175C"/>
    <w:rsid w:val="5DF63972"/>
    <w:rsid w:val="5DFC012C"/>
    <w:rsid w:val="5E047352"/>
    <w:rsid w:val="5E080D42"/>
    <w:rsid w:val="5E0A45F7"/>
    <w:rsid w:val="5E2E0A91"/>
    <w:rsid w:val="5E345B18"/>
    <w:rsid w:val="5E36132D"/>
    <w:rsid w:val="5E451AD3"/>
    <w:rsid w:val="5E792572"/>
    <w:rsid w:val="5EB26905"/>
    <w:rsid w:val="5ED6597D"/>
    <w:rsid w:val="5EDD61AF"/>
    <w:rsid w:val="5EFC6636"/>
    <w:rsid w:val="5F076D88"/>
    <w:rsid w:val="5F31520C"/>
    <w:rsid w:val="5F5F532C"/>
    <w:rsid w:val="5F6D308F"/>
    <w:rsid w:val="5F7466FE"/>
    <w:rsid w:val="5F7A755A"/>
    <w:rsid w:val="5F863542"/>
    <w:rsid w:val="5FAE4D62"/>
    <w:rsid w:val="5FB20274"/>
    <w:rsid w:val="5FEB709A"/>
    <w:rsid w:val="5FFC7BC4"/>
    <w:rsid w:val="60182CB2"/>
    <w:rsid w:val="60287A9B"/>
    <w:rsid w:val="60326810"/>
    <w:rsid w:val="6042451C"/>
    <w:rsid w:val="60687CFB"/>
    <w:rsid w:val="60835BF8"/>
    <w:rsid w:val="60D62EB6"/>
    <w:rsid w:val="60F021CA"/>
    <w:rsid w:val="60FB0B6F"/>
    <w:rsid w:val="610619ED"/>
    <w:rsid w:val="613C6465"/>
    <w:rsid w:val="613D4CE3"/>
    <w:rsid w:val="61442516"/>
    <w:rsid w:val="614D13CA"/>
    <w:rsid w:val="61776447"/>
    <w:rsid w:val="618D5C6B"/>
    <w:rsid w:val="61CD42B9"/>
    <w:rsid w:val="61F555BE"/>
    <w:rsid w:val="61F85405"/>
    <w:rsid w:val="62035F2D"/>
    <w:rsid w:val="62057D23"/>
    <w:rsid w:val="621C5BA9"/>
    <w:rsid w:val="62427522"/>
    <w:rsid w:val="624F23FA"/>
    <w:rsid w:val="62514EEA"/>
    <w:rsid w:val="62736350"/>
    <w:rsid w:val="62763D02"/>
    <w:rsid w:val="628506F0"/>
    <w:rsid w:val="62BE7C21"/>
    <w:rsid w:val="62CC2BB0"/>
    <w:rsid w:val="62EB3A25"/>
    <w:rsid w:val="63185A08"/>
    <w:rsid w:val="6320666B"/>
    <w:rsid w:val="632C5010"/>
    <w:rsid w:val="634B4821"/>
    <w:rsid w:val="63712083"/>
    <w:rsid w:val="63936E3D"/>
    <w:rsid w:val="63BA479C"/>
    <w:rsid w:val="63C139AA"/>
    <w:rsid w:val="63D00091"/>
    <w:rsid w:val="63F35B2D"/>
    <w:rsid w:val="640A5918"/>
    <w:rsid w:val="640D6BEF"/>
    <w:rsid w:val="641F3554"/>
    <w:rsid w:val="64233706"/>
    <w:rsid w:val="64265F03"/>
    <w:rsid w:val="6432550D"/>
    <w:rsid w:val="64371EBE"/>
    <w:rsid w:val="64426DE8"/>
    <w:rsid w:val="644F5459"/>
    <w:rsid w:val="64686B51"/>
    <w:rsid w:val="647C1FC7"/>
    <w:rsid w:val="647D6C6E"/>
    <w:rsid w:val="648D7D30"/>
    <w:rsid w:val="64B140D9"/>
    <w:rsid w:val="64B4710A"/>
    <w:rsid w:val="64B90B25"/>
    <w:rsid w:val="64BE613B"/>
    <w:rsid w:val="64C50E7F"/>
    <w:rsid w:val="64D771FD"/>
    <w:rsid w:val="64DB4F3F"/>
    <w:rsid w:val="65006754"/>
    <w:rsid w:val="651122B9"/>
    <w:rsid w:val="6515681C"/>
    <w:rsid w:val="65202952"/>
    <w:rsid w:val="652E506F"/>
    <w:rsid w:val="65406093"/>
    <w:rsid w:val="65420B1A"/>
    <w:rsid w:val="655C3587"/>
    <w:rsid w:val="65886897"/>
    <w:rsid w:val="659770B8"/>
    <w:rsid w:val="65A2780B"/>
    <w:rsid w:val="65B512EC"/>
    <w:rsid w:val="65C8329B"/>
    <w:rsid w:val="65D01C39"/>
    <w:rsid w:val="65F904A0"/>
    <w:rsid w:val="66044E06"/>
    <w:rsid w:val="66197FF3"/>
    <w:rsid w:val="664509E2"/>
    <w:rsid w:val="66496A71"/>
    <w:rsid w:val="666522DF"/>
    <w:rsid w:val="66682803"/>
    <w:rsid w:val="66956497"/>
    <w:rsid w:val="66967370"/>
    <w:rsid w:val="66C537B1"/>
    <w:rsid w:val="66E005EB"/>
    <w:rsid w:val="66E16111"/>
    <w:rsid w:val="66F37636"/>
    <w:rsid w:val="670A2DA3"/>
    <w:rsid w:val="67177D85"/>
    <w:rsid w:val="671D01C8"/>
    <w:rsid w:val="67472418"/>
    <w:rsid w:val="674F21E0"/>
    <w:rsid w:val="675B0722"/>
    <w:rsid w:val="6762124F"/>
    <w:rsid w:val="676273A8"/>
    <w:rsid w:val="677A0EB9"/>
    <w:rsid w:val="678B2407"/>
    <w:rsid w:val="678D39C1"/>
    <w:rsid w:val="67A4786A"/>
    <w:rsid w:val="67B101D9"/>
    <w:rsid w:val="67B42433"/>
    <w:rsid w:val="67B75B18"/>
    <w:rsid w:val="67B850C4"/>
    <w:rsid w:val="67C972D1"/>
    <w:rsid w:val="67CC0B6F"/>
    <w:rsid w:val="67DD2D7C"/>
    <w:rsid w:val="67E91721"/>
    <w:rsid w:val="67F65BEC"/>
    <w:rsid w:val="68047157"/>
    <w:rsid w:val="68057461"/>
    <w:rsid w:val="680A680D"/>
    <w:rsid w:val="680E1188"/>
    <w:rsid w:val="68264723"/>
    <w:rsid w:val="6828049B"/>
    <w:rsid w:val="68460921"/>
    <w:rsid w:val="68531770"/>
    <w:rsid w:val="68531926"/>
    <w:rsid w:val="68866F70"/>
    <w:rsid w:val="688B4586"/>
    <w:rsid w:val="689A6532"/>
    <w:rsid w:val="689D73CB"/>
    <w:rsid w:val="68A044D6"/>
    <w:rsid w:val="68A35D74"/>
    <w:rsid w:val="68A4505F"/>
    <w:rsid w:val="68BC01F8"/>
    <w:rsid w:val="68E02A60"/>
    <w:rsid w:val="68EC771B"/>
    <w:rsid w:val="69015A74"/>
    <w:rsid w:val="6917406C"/>
    <w:rsid w:val="6942099E"/>
    <w:rsid w:val="695D4175"/>
    <w:rsid w:val="698931BC"/>
    <w:rsid w:val="699D0A15"/>
    <w:rsid w:val="69A00505"/>
    <w:rsid w:val="69A2427D"/>
    <w:rsid w:val="69BA1345"/>
    <w:rsid w:val="69D07FD1"/>
    <w:rsid w:val="69F566F5"/>
    <w:rsid w:val="69FA7C16"/>
    <w:rsid w:val="69FE607E"/>
    <w:rsid w:val="6A170B7C"/>
    <w:rsid w:val="6A2151A2"/>
    <w:rsid w:val="6A2627B9"/>
    <w:rsid w:val="6A2702BC"/>
    <w:rsid w:val="6A331379"/>
    <w:rsid w:val="6A3C1FDC"/>
    <w:rsid w:val="6A577A5F"/>
    <w:rsid w:val="6A647785"/>
    <w:rsid w:val="6A701C86"/>
    <w:rsid w:val="6A894DD0"/>
    <w:rsid w:val="6A8D0A8A"/>
    <w:rsid w:val="6A9E2C97"/>
    <w:rsid w:val="6AAC0510"/>
    <w:rsid w:val="6AB763D1"/>
    <w:rsid w:val="6AB83C70"/>
    <w:rsid w:val="6AC01C35"/>
    <w:rsid w:val="6AC27BFE"/>
    <w:rsid w:val="6AC93F86"/>
    <w:rsid w:val="6ADB13C7"/>
    <w:rsid w:val="6AFE7291"/>
    <w:rsid w:val="6B0D2C0B"/>
    <w:rsid w:val="6B160A7F"/>
    <w:rsid w:val="6B1747F7"/>
    <w:rsid w:val="6B19231D"/>
    <w:rsid w:val="6B2F0E55"/>
    <w:rsid w:val="6B301415"/>
    <w:rsid w:val="6B5965FE"/>
    <w:rsid w:val="6B5C6B1E"/>
    <w:rsid w:val="6B5E41D4"/>
    <w:rsid w:val="6B8005EE"/>
    <w:rsid w:val="6B823440"/>
    <w:rsid w:val="6B83272F"/>
    <w:rsid w:val="6B9B310B"/>
    <w:rsid w:val="6BA51E03"/>
    <w:rsid w:val="6BB65DBE"/>
    <w:rsid w:val="6BB67B6C"/>
    <w:rsid w:val="6BEB5EDE"/>
    <w:rsid w:val="6BF16DF6"/>
    <w:rsid w:val="6C2E3BA6"/>
    <w:rsid w:val="6C375151"/>
    <w:rsid w:val="6C3C47B3"/>
    <w:rsid w:val="6C4909E0"/>
    <w:rsid w:val="6C496C32"/>
    <w:rsid w:val="6C832144"/>
    <w:rsid w:val="6C937EAD"/>
    <w:rsid w:val="6C9D0D2C"/>
    <w:rsid w:val="6CA06AB2"/>
    <w:rsid w:val="6CB85BF5"/>
    <w:rsid w:val="6CD01102"/>
    <w:rsid w:val="6CD75FEC"/>
    <w:rsid w:val="6CDE737B"/>
    <w:rsid w:val="6CE24244"/>
    <w:rsid w:val="6CE36FC8"/>
    <w:rsid w:val="6D176D30"/>
    <w:rsid w:val="6D1F7993"/>
    <w:rsid w:val="6D2232F1"/>
    <w:rsid w:val="6D4A0EB4"/>
    <w:rsid w:val="6D975A3E"/>
    <w:rsid w:val="6D9914F3"/>
    <w:rsid w:val="6DAD528E"/>
    <w:rsid w:val="6DBF7D15"/>
    <w:rsid w:val="6DDB21D3"/>
    <w:rsid w:val="6DDF5000"/>
    <w:rsid w:val="6DE24C48"/>
    <w:rsid w:val="6E160D96"/>
    <w:rsid w:val="6E1F3036"/>
    <w:rsid w:val="6E2C05BA"/>
    <w:rsid w:val="6E3000AA"/>
    <w:rsid w:val="6E3B3456"/>
    <w:rsid w:val="6E453A31"/>
    <w:rsid w:val="6E4E22DE"/>
    <w:rsid w:val="6E645FA5"/>
    <w:rsid w:val="6E751F61"/>
    <w:rsid w:val="6E810366"/>
    <w:rsid w:val="6E881C94"/>
    <w:rsid w:val="6EC364B5"/>
    <w:rsid w:val="6EC407F2"/>
    <w:rsid w:val="6EE449F0"/>
    <w:rsid w:val="6EF62128"/>
    <w:rsid w:val="6F3239AE"/>
    <w:rsid w:val="6F4C2993"/>
    <w:rsid w:val="6F5F0599"/>
    <w:rsid w:val="6F765F90"/>
    <w:rsid w:val="6F7B35A7"/>
    <w:rsid w:val="6FB22D40"/>
    <w:rsid w:val="6FB90620"/>
    <w:rsid w:val="6FDC1B6B"/>
    <w:rsid w:val="6FE0165C"/>
    <w:rsid w:val="6FE90800"/>
    <w:rsid w:val="70036424"/>
    <w:rsid w:val="701D465E"/>
    <w:rsid w:val="7023779A"/>
    <w:rsid w:val="702754DC"/>
    <w:rsid w:val="70281CF1"/>
    <w:rsid w:val="702F4391"/>
    <w:rsid w:val="705B0CE2"/>
    <w:rsid w:val="706C2EEF"/>
    <w:rsid w:val="706E4EB9"/>
    <w:rsid w:val="707B1384"/>
    <w:rsid w:val="70B97A34"/>
    <w:rsid w:val="70BE3020"/>
    <w:rsid w:val="70C42D2B"/>
    <w:rsid w:val="70E178AF"/>
    <w:rsid w:val="70E21403"/>
    <w:rsid w:val="70F84783"/>
    <w:rsid w:val="70F97914"/>
    <w:rsid w:val="71125845"/>
    <w:rsid w:val="7113780F"/>
    <w:rsid w:val="713752AB"/>
    <w:rsid w:val="71561E1E"/>
    <w:rsid w:val="716360A0"/>
    <w:rsid w:val="716F713B"/>
    <w:rsid w:val="719646C8"/>
    <w:rsid w:val="71A1306D"/>
    <w:rsid w:val="71A861A9"/>
    <w:rsid w:val="71D76A8E"/>
    <w:rsid w:val="720C2AB9"/>
    <w:rsid w:val="72182020"/>
    <w:rsid w:val="7218332F"/>
    <w:rsid w:val="72225F5B"/>
    <w:rsid w:val="72273572"/>
    <w:rsid w:val="72281098"/>
    <w:rsid w:val="7238752D"/>
    <w:rsid w:val="723F4D5F"/>
    <w:rsid w:val="72533BCF"/>
    <w:rsid w:val="725620A9"/>
    <w:rsid w:val="725B146D"/>
    <w:rsid w:val="725D3437"/>
    <w:rsid w:val="72617F3F"/>
    <w:rsid w:val="72CB03A1"/>
    <w:rsid w:val="72D03C09"/>
    <w:rsid w:val="72F37EB8"/>
    <w:rsid w:val="72F71196"/>
    <w:rsid w:val="73190D85"/>
    <w:rsid w:val="731F693F"/>
    <w:rsid w:val="732E6B82"/>
    <w:rsid w:val="734C3D25"/>
    <w:rsid w:val="73500C03"/>
    <w:rsid w:val="73634A7D"/>
    <w:rsid w:val="736425A4"/>
    <w:rsid w:val="73662569"/>
    <w:rsid w:val="7372081D"/>
    <w:rsid w:val="738343C3"/>
    <w:rsid w:val="73F90F3E"/>
    <w:rsid w:val="741848C6"/>
    <w:rsid w:val="7419338E"/>
    <w:rsid w:val="74341F76"/>
    <w:rsid w:val="74485A21"/>
    <w:rsid w:val="745D7A02"/>
    <w:rsid w:val="746E5488"/>
    <w:rsid w:val="74BE7A92"/>
    <w:rsid w:val="74D42813"/>
    <w:rsid w:val="750D2EF3"/>
    <w:rsid w:val="751F654B"/>
    <w:rsid w:val="752C3897"/>
    <w:rsid w:val="752D5343"/>
    <w:rsid w:val="75322959"/>
    <w:rsid w:val="753C5586"/>
    <w:rsid w:val="754E3DC6"/>
    <w:rsid w:val="75686BCC"/>
    <w:rsid w:val="75693EA1"/>
    <w:rsid w:val="75752846"/>
    <w:rsid w:val="75842A89"/>
    <w:rsid w:val="75932CCC"/>
    <w:rsid w:val="75955852"/>
    <w:rsid w:val="75A754F8"/>
    <w:rsid w:val="75AF45AE"/>
    <w:rsid w:val="75B275F6"/>
    <w:rsid w:val="75D237F5"/>
    <w:rsid w:val="75DE03EB"/>
    <w:rsid w:val="760D7FB3"/>
    <w:rsid w:val="76391AC6"/>
    <w:rsid w:val="764346F2"/>
    <w:rsid w:val="7645046A"/>
    <w:rsid w:val="764C557E"/>
    <w:rsid w:val="765C57B4"/>
    <w:rsid w:val="767174B1"/>
    <w:rsid w:val="76780840"/>
    <w:rsid w:val="76783F68"/>
    <w:rsid w:val="76793892"/>
    <w:rsid w:val="7687068A"/>
    <w:rsid w:val="76941B1A"/>
    <w:rsid w:val="76AD7DBE"/>
    <w:rsid w:val="76BC6337"/>
    <w:rsid w:val="76DE441B"/>
    <w:rsid w:val="76E45ED5"/>
    <w:rsid w:val="770D1EB1"/>
    <w:rsid w:val="77147E3D"/>
    <w:rsid w:val="771A3ADA"/>
    <w:rsid w:val="7725204A"/>
    <w:rsid w:val="7730111A"/>
    <w:rsid w:val="77391FC6"/>
    <w:rsid w:val="773D3837"/>
    <w:rsid w:val="7746449A"/>
    <w:rsid w:val="77551879"/>
    <w:rsid w:val="776963DA"/>
    <w:rsid w:val="776D0DB5"/>
    <w:rsid w:val="779C40BA"/>
    <w:rsid w:val="779F1CDF"/>
    <w:rsid w:val="77AB69F3"/>
    <w:rsid w:val="77B07A95"/>
    <w:rsid w:val="77C6382D"/>
    <w:rsid w:val="77DF669D"/>
    <w:rsid w:val="77E048EF"/>
    <w:rsid w:val="780C3B22"/>
    <w:rsid w:val="787D038F"/>
    <w:rsid w:val="78960636"/>
    <w:rsid w:val="789F0530"/>
    <w:rsid w:val="78AC169E"/>
    <w:rsid w:val="78B96EEE"/>
    <w:rsid w:val="78C0027C"/>
    <w:rsid w:val="78CA55CE"/>
    <w:rsid w:val="78DC11E9"/>
    <w:rsid w:val="78EF46BD"/>
    <w:rsid w:val="78F9488B"/>
    <w:rsid w:val="78FB12B4"/>
    <w:rsid w:val="79074B53"/>
    <w:rsid w:val="790E7239"/>
    <w:rsid w:val="79257DFE"/>
    <w:rsid w:val="79391B8A"/>
    <w:rsid w:val="793A6280"/>
    <w:rsid w:val="794C5FB4"/>
    <w:rsid w:val="79716072"/>
    <w:rsid w:val="797A667D"/>
    <w:rsid w:val="797D43BF"/>
    <w:rsid w:val="79870D9A"/>
    <w:rsid w:val="79951DB2"/>
    <w:rsid w:val="79993610"/>
    <w:rsid w:val="79B81A3C"/>
    <w:rsid w:val="79C478F8"/>
    <w:rsid w:val="79DD60B2"/>
    <w:rsid w:val="79EA1A55"/>
    <w:rsid w:val="79FA5A10"/>
    <w:rsid w:val="79FF6B82"/>
    <w:rsid w:val="7A2D118F"/>
    <w:rsid w:val="7A356A48"/>
    <w:rsid w:val="7A454EDD"/>
    <w:rsid w:val="7A532341"/>
    <w:rsid w:val="7A551C2F"/>
    <w:rsid w:val="7A5769BE"/>
    <w:rsid w:val="7A5B4CFF"/>
    <w:rsid w:val="7A8157E9"/>
    <w:rsid w:val="7A833F3B"/>
    <w:rsid w:val="7AAF1A3A"/>
    <w:rsid w:val="7AE26947"/>
    <w:rsid w:val="7AF661D7"/>
    <w:rsid w:val="7AF75AAB"/>
    <w:rsid w:val="7B18614D"/>
    <w:rsid w:val="7B220D7A"/>
    <w:rsid w:val="7B2F3497"/>
    <w:rsid w:val="7B2F5245"/>
    <w:rsid w:val="7B430CF1"/>
    <w:rsid w:val="7B5237E2"/>
    <w:rsid w:val="7B786BEC"/>
    <w:rsid w:val="7B940C71"/>
    <w:rsid w:val="7BA7127F"/>
    <w:rsid w:val="7BBA7D61"/>
    <w:rsid w:val="7BC24845"/>
    <w:rsid w:val="7C374C0D"/>
    <w:rsid w:val="7C430CD5"/>
    <w:rsid w:val="7C4371FA"/>
    <w:rsid w:val="7C4E393E"/>
    <w:rsid w:val="7C796B83"/>
    <w:rsid w:val="7C7C270C"/>
    <w:rsid w:val="7C913580"/>
    <w:rsid w:val="7CA659DB"/>
    <w:rsid w:val="7CCB222D"/>
    <w:rsid w:val="7CD24A22"/>
    <w:rsid w:val="7CD930BA"/>
    <w:rsid w:val="7CFE0C47"/>
    <w:rsid w:val="7D006E99"/>
    <w:rsid w:val="7D0C4840"/>
    <w:rsid w:val="7D2C6D56"/>
    <w:rsid w:val="7D4F5B8A"/>
    <w:rsid w:val="7D517499"/>
    <w:rsid w:val="7D6F401F"/>
    <w:rsid w:val="7D752025"/>
    <w:rsid w:val="7D9D0B8C"/>
    <w:rsid w:val="7D9F1E09"/>
    <w:rsid w:val="7DA168CE"/>
    <w:rsid w:val="7DA56368"/>
    <w:rsid w:val="7DBB54B6"/>
    <w:rsid w:val="7DDD542C"/>
    <w:rsid w:val="7E0368D8"/>
    <w:rsid w:val="7E335125"/>
    <w:rsid w:val="7E4159BB"/>
    <w:rsid w:val="7E553215"/>
    <w:rsid w:val="7E7044F2"/>
    <w:rsid w:val="7E7B31DC"/>
    <w:rsid w:val="7E9235AA"/>
    <w:rsid w:val="7ED2135E"/>
    <w:rsid w:val="7EE01021"/>
    <w:rsid w:val="7EE5787B"/>
    <w:rsid w:val="7EED78F1"/>
    <w:rsid w:val="7EFB4FBB"/>
    <w:rsid w:val="7F07123A"/>
    <w:rsid w:val="7F2E23E3"/>
    <w:rsid w:val="7F2F641F"/>
    <w:rsid w:val="7F390F10"/>
    <w:rsid w:val="7F4E65E2"/>
    <w:rsid w:val="7F6C6A68"/>
    <w:rsid w:val="7F7153BB"/>
    <w:rsid w:val="7F871C42"/>
    <w:rsid w:val="7FBB79EF"/>
    <w:rsid w:val="7FBE3022"/>
    <w:rsid w:val="7FBF1CF8"/>
    <w:rsid w:val="7FF058EB"/>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 w:hAnsi="仿宋" w:eastAsia="仿宋" w:cs="仿宋"/>
      <w:sz w:val="30"/>
      <w:szCs w:val="30"/>
      <w:lang w:val="zh-CN" w:eastAsia="zh-CN" w:bidi="zh-CN"/>
    </w:rPr>
  </w:style>
  <w:style w:type="paragraph" w:styleId="4">
    <w:name w:val="Body Text Indent"/>
    <w:basedOn w:val="1"/>
    <w:qFormat/>
    <w:uiPriority w:val="99"/>
    <w:pPr>
      <w:ind w:firstLine="525"/>
      <w:jc w:val="left"/>
    </w:pPr>
    <w:rPr>
      <w:rFonts w:ascii="宋体" w:hAnsi="Times New Roman" w:cs="Times New Roman"/>
      <w:sz w:val="28"/>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1"/>
    <w:pPr>
      <w:spacing w:before="240"/>
      <w:ind w:right="263"/>
      <w:jc w:val="right"/>
    </w:pPr>
    <w:rPr>
      <w:rFonts w:ascii="仿宋" w:hAnsi="仿宋" w:eastAsia="仿宋" w:cs="仿宋"/>
      <w:sz w:val="30"/>
      <w:szCs w:val="30"/>
      <w:lang w:val="zh-CN" w:eastAsia="zh-CN" w:bidi="zh-CN"/>
    </w:rPr>
  </w:style>
  <w:style w:type="paragraph" w:styleId="8">
    <w:name w:val="Body Text First Indent 2"/>
    <w:qFormat/>
    <w:uiPriority w:val="0"/>
    <w:pPr>
      <w:widowControl w:val="0"/>
      <w:tabs>
        <w:tab w:val="left" w:pos="-116"/>
        <w:tab w:val="left" w:pos="420"/>
      </w:tabs>
      <w:ind w:firstLine="420" w:firstLineChars="200"/>
      <w:jc w:val="left"/>
    </w:pPr>
    <w:rPr>
      <w:rFonts w:ascii="宋体" w:hAnsi="Times New Roman" w:eastAsia="宋体" w:cs="Times New Roman"/>
      <w:kern w:val="2"/>
      <w:sz w:val="28"/>
      <w:szCs w:val="20"/>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table" w:customStyle="1" w:styleId="14">
    <w:name w:val="Table Normal"/>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Arial" w:hAnsi="Arial" w:eastAsia="Arial" w:cs="Arial"/>
      <w:sz w:val="21"/>
      <w:szCs w:val="21"/>
      <w:lang w:val="en-US" w:eastAsia="en-US" w:bidi="ar-SA"/>
    </w:rPr>
  </w:style>
  <w:style w:type="character" w:customStyle="1" w:styleId="16">
    <w:name w:val="font112"/>
    <w:basedOn w:val="11"/>
    <w:qFormat/>
    <w:uiPriority w:val="0"/>
    <w:rPr>
      <w:rFonts w:hint="eastAsia" w:ascii="宋体" w:hAnsi="宋体" w:eastAsia="宋体" w:cs="宋体"/>
      <w:color w:val="000000"/>
      <w:sz w:val="22"/>
      <w:szCs w:val="22"/>
      <w:u w:val="none"/>
    </w:rPr>
  </w:style>
  <w:style w:type="character" w:customStyle="1" w:styleId="17">
    <w:name w:val="font151"/>
    <w:basedOn w:val="11"/>
    <w:qFormat/>
    <w:uiPriority w:val="0"/>
    <w:rPr>
      <w:rFonts w:hint="eastAsia" w:ascii="宋体" w:hAnsi="宋体" w:eastAsia="宋体" w:cs="宋体"/>
      <w:color w:val="000000"/>
      <w:sz w:val="22"/>
      <w:szCs w:val="22"/>
      <w:u w:val="single"/>
    </w:rPr>
  </w:style>
  <w:style w:type="character" w:customStyle="1" w:styleId="18">
    <w:name w:val="font121"/>
    <w:basedOn w:val="11"/>
    <w:qFormat/>
    <w:uiPriority w:val="0"/>
    <w:rPr>
      <w:rFonts w:hint="eastAsia" w:ascii="宋体" w:hAnsi="宋体" w:eastAsia="宋体" w:cs="宋体"/>
      <w:color w:val="FF0000"/>
      <w:sz w:val="22"/>
      <w:szCs w:val="22"/>
      <w:u w:val="none"/>
    </w:rPr>
  </w:style>
  <w:style w:type="character" w:customStyle="1" w:styleId="19">
    <w:name w:val="font161"/>
    <w:basedOn w:val="11"/>
    <w:qFormat/>
    <w:uiPriority w:val="0"/>
    <w:rPr>
      <w:rFonts w:hint="eastAsia" w:ascii="宋体" w:hAnsi="宋体" w:eastAsia="宋体" w:cs="宋体"/>
      <w:color w:val="FF0000"/>
      <w:sz w:val="22"/>
      <w:szCs w:val="22"/>
      <w:u w:val="single"/>
    </w:rPr>
  </w:style>
  <w:style w:type="character" w:customStyle="1" w:styleId="20">
    <w:name w:val="font131"/>
    <w:basedOn w:val="1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17376</Words>
  <Characters>18182</Characters>
  <Lines>0</Lines>
  <Paragraphs>0</Paragraphs>
  <TotalTime>36</TotalTime>
  <ScaleCrop>false</ScaleCrop>
  <LinksUpToDate>false</LinksUpToDate>
  <CharactersWithSpaces>19179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2021-11-16T09:54:00Z</dcterms:created>
  <dc:creator>Administrator</dc:creator>
  <cp:lastModifiedBy>招采中心2</cp:lastModifiedBy>
  <cp:lastPrinted>2024-08-21T09:56:00Z</cp:lastPrinted>
  <dcterms:modified xsi:type="dcterms:W3CDTF">2024-08-23T02:00:47Z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2194C4911CD44A03BDD201E4A078BDA9_13</vt:lpwstr>
  </property>
</Properties>
</file>