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A4DAB8">
      <w:pPr>
        <w:jc w:val="both"/>
        <w:rPr>
          <w:rFonts w:hint="eastAsia" w:ascii="仿宋" w:hAnsi="仿宋" w:eastAsia="仿宋" w:cs="仿宋"/>
          <w:color w:val="auto"/>
          <w:highlight w:val="none"/>
          <w:lang w:val="en-US" w:eastAsia="zh-CN"/>
        </w:rPr>
      </w:pPr>
    </w:p>
    <w:p w14:paraId="2466911E">
      <w:pPr>
        <w:jc w:val="both"/>
        <w:rPr>
          <w:rFonts w:hint="eastAsia" w:ascii="仿宋" w:hAnsi="仿宋" w:eastAsia="仿宋" w:cs="仿宋"/>
          <w:b/>
          <w:color w:val="auto"/>
          <w:sz w:val="72"/>
          <w:highlight w:val="none"/>
          <w:lang w:val="en-US" w:eastAsia="zh-CN"/>
        </w:rPr>
      </w:pPr>
      <w:r>
        <w:rPr>
          <w:rFonts w:hint="eastAsia" w:ascii="仿宋" w:hAnsi="仿宋" w:eastAsia="仿宋" w:cs="仿宋"/>
          <w:color w:val="auto"/>
          <w:kern w:val="0"/>
          <w:sz w:val="24"/>
          <w:szCs w:val="24"/>
          <w:highlight w:val="none"/>
        </w:rPr>
        <w:drawing>
          <wp:anchor distT="0" distB="0" distL="114300" distR="114300" simplePos="0" relativeHeight="251660288" behindDoc="0" locked="0" layoutInCell="1" allowOverlap="1">
            <wp:simplePos x="0" y="0"/>
            <wp:positionH relativeFrom="column">
              <wp:posOffset>1161415</wp:posOffset>
            </wp:positionH>
            <wp:positionV relativeFrom="paragraph">
              <wp:posOffset>19685</wp:posOffset>
            </wp:positionV>
            <wp:extent cx="4288790" cy="525780"/>
            <wp:effectExtent l="0" t="0" r="16510" b="7620"/>
            <wp:wrapNone/>
            <wp:docPr id="1" name="图片 2" descr="86619fd34e89ba868d862bb3661b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86619fd34e89ba868d862bb3661be41"/>
                    <pic:cNvPicPr>
                      <a:picLocks noChangeAspect="1"/>
                    </pic:cNvPicPr>
                  </pic:nvPicPr>
                  <pic:blipFill>
                    <a:blip r:embed="rId8"/>
                    <a:stretch>
                      <a:fillRect/>
                    </a:stretch>
                  </pic:blipFill>
                  <pic:spPr>
                    <a:xfrm>
                      <a:off x="0" y="0"/>
                      <a:ext cx="4288790" cy="525780"/>
                    </a:xfrm>
                    <a:prstGeom prst="rect">
                      <a:avLst/>
                    </a:prstGeom>
                    <a:noFill/>
                    <a:ln>
                      <a:noFill/>
                    </a:ln>
                  </pic:spPr>
                </pic:pic>
              </a:graphicData>
            </a:graphic>
          </wp:anchor>
        </w:drawing>
      </w:r>
    </w:p>
    <w:p w14:paraId="424FAA0A">
      <w:pPr>
        <w:jc w:val="center"/>
        <w:rPr>
          <w:rFonts w:hint="eastAsia" w:ascii="仿宋" w:hAnsi="仿宋" w:eastAsia="仿宋" w:cs="仿宋"/>
          <w:b/>
          <w:color w:val="auto"/>
          <w:sz w:val="56"/>
          <w:szCs w:val="22"/>
          <w:highlight w:val="none"/>
          <w:lang w:val="en-US" w:eastAsia="zh-CN"/>
        </w:rPr>
      </w:pPr>
      <w:bookmarkStart w:id="212" w:name="_GoBack"/>
      <w:bookmarkEnd w:id="212"/>
    </w:p>
    <w:p w14:paraId="1598BBFC">
      <w:pPr>
        <w:jc w:val="center"/>
        <w:rPr>
          <w:rFonts w:hint="eastAsia" w:ascii="仿宋" w:hAnsi="仿宋" w:eastAsia="仿宋" w:cs="仿宋"/>
          <w:b/>
          <w:color w:val="auto"/>
          <w:sz w:val="56"/>
          <w:szCs w:val="22"/>
          <w:highlight w:val="none"/>
          <w:lang w:val="en-US" w:eastAsia="zh-CN"/>
        </w:rPr>
      </w:pPr>
    </w:p>
    <w:p w14:paraId="5514C283">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color w:val="auto"/>
          <w:sz w:val="52"/>
          <w:szCs w:val="52"/>
          <w:highlight w:val="none"/>
          <w:u w:val="none"/>
          <w:lang w:val="en-US" w:eastAsia="zh-CN"/>
        </w:rPr>
      </w:pPr>
      <w:r>
        <w:rPr>
          <w:rFonts w:hint="eastAsia" w:ascii="仿宋" w:hAnsi="仿宋" w:eastAsia="仿宋" w:cs="仿宋"/>
          <w:b/>
          <w:color w:val="auto"/>
          <w:sz w:val="52"/>
          <w:szCs w:val="52"/>
          <w:highlight w:val="none"/>
          <w:lang w:val="en-US" w:eastAsia="zh-CN"/>
        </w:rPr>
        <w:t>常平环保专业基地</w:t>
      </w:r>
      <w:r>
        <w:rPr>
          <w:rFonts w:hint="eastAsia" w:ascii="仿宋" w:hAnsi="仿宋" w:eastAsia="仿宋" w:cs="仿宋"/>
          <w:b/>
          <w:color w:val="auto"/>
          <w:sz w:val="52"/>
          <w:szCs w:val="52"/>
          <w:highlight w:val="none"/>
          <w:u w:val="none"/>
          <w:lang w:val="en-US" w:eastAsia="zh-CN"/>
        </w:rPr>
        <w:t>预拌混凝土、预拌砂浆</w:t>
      </w:r>
    </w:p>
    <w:p w14:paraId="46496433">
      <w:pPr>
        <w:keepNext w:val="0"/>
        <w:keepLines w:val="0"/>
        <w:pageBreakBefore w:val="0"/>
        <w:widowControl w:val="0"/>
        <w:kinsoku/>
        <w:wordWrap/>
        <w:overflowPunct/>
        <w:topLinePunct w:val="0"/>
        <w:autoSpaceDE/>
        <w:autoSpaceDN/>
        <w:bidi w:val="0"/>
        <w:adjustRightInd/>
        <w:snapToGrid/>
        <w:spacing w:line="336" w:lineRule="auto"/>
        <w:jc w:val="center"/>
        <w:textAlignment w:val="auto"/>
        <w:outlineLvl w:val="0"/>
        <w:rPr>
          <w:rFonts w:hint="eastAsia" w:ascii="仿宋" w:hAnsi="仿宋" w:eastAsia="仿宋" w:cs="仿宋"/>
          <w:b/>
          <w:color w:val="auto"/>
          <w:sz w:val="52"/>
          <w:szCs w:val="52"/>
          <w:highlight w:val="none"/>
          <w:lang w:val="en-US" w:eastAsia="zh-CN"/>
        </w:rPr>
      </w:pPr>
      <w:bookmarkStart w:id="0" w:name="_Toc15219"/>
      <w:bookmarkStart w:id="1" w:name="_Toc31764"/>
      <w:bookmarkStart w:id="2" w:name="_Toc27693"/>
      <w:bookmarkStart w:id="3" w:name="_Toc782"/>
      <w:bookmarkStart w:id="4" w:name="_Toc28610"/>
      <w:bookmarkStart w:id="5" w:name="_Toc927"/>
      <w:bookmarkStart w:id="6" w:name="_Toc23970"/>
      <w:r>
        <w:rPr>
          <w:rFonts w:hint="eastAsia" w:ascii="仿宋" w:hAnsi="仿宋" w:eastAsia="仿宋" w:cs="仿宋"/>
          <w:b/>
          <w:color w:val="auto"/>
          <w:sz w:val="52"/>
          <w:szCs w:val="52"/>
          <w:highlight w:val="none"/>
          <w:lang w:val="en-US" w:eastAsia="zh-CN"/>
        </w:rPr>
        <w:t>购</w:t>
      </w:r>
      <w:bookmarkEnd w:id="0"/>
      <w:bookmarkEnd w:id="1"/>
      <w:bookmarkEnd w:id="2"/>
      <w:bookmarkEnd w:id="3"/>
      <w:bookmarkEnd w:id="4"/>
      <w:bookmarkEnd w:id="5"/>
      <w:bookmarkEnd w:id="6"/>
    </w:p>
    <w:p w14:paraId="1AF5D405">
      <w:pPr>
        <w:keepNext w:val="0"/>
        <w:keepLines w:val="0"/>
        <w:pageBreakBefore w:val="0"/>
        <w:widowControl w:val="0"/>
        <w:kinsoku/>
        <w:wordWrap/>
        <w:overflowPunct/>
        <w:topLinePunct w:val="0"/>
        <w:autoSpaceDE/>
        <w:autoSpaceDN/>
        <w:bidi w:val="0"/>
        <w:adjustRightInd/>
        <w:snapToGrid/>
        <w:spacing w:line="336" w:lineRule="auto"/>
        <w:jc w:val="center"/>
        <w:textAlignment w:val="auto"/>
        <w:outlineLvl w:val="0"/>
        <w:rPr>
          <w:rFonts w:hint="eastAsia" w:ascii="仿宋" w:hAnsi="仿宋" w:eastAsia="仿宋" w:cs="仿宋"/>
          <w:b/>
          <w:color w:val="auto"/>
          <w:sz w:val="52"/>
          <w:szCs w:val="52"/>
          <w:highlight w:val="none"/>
          <w:lang w:val="en-US" w:eastAsia="zh-CN"/>
        </w:rPr>
      </w:pPr>
      <w:bookmarkStart w:id="7" w:name="_Toc516"/>
      <w:bookmarkStart w:id="8" w:name="_Toc9191"/>
      <w:bookmarkStart w:id="9" w:name="_Toc2828"/>
      <w:bookmarkStart w:id="10" w:name="_Toc28177"/>
      <w:bookmarkStart w:id="11" w:name="_Toc19114"/>
      <w:bookmarkStart w:id="12" w:name="_Toc15725"/>
      <w:bookmarkStart w:id="13" w:name="_Toc23659"/>
      <w:r>
        <w:rPr>
          <w:rFonts w:hint="eastAsia" w:ascii="仿宋" w:hAnsi="仿宋" w:eastAsia="仿宋" w:cs="仿宋"/>
          <w:b/>
          <w:color w:val="auto"/>
          <w:sz w:val="52"/>
          <w:szCs w:val="52"/>
          <w:highlight w:val="none"/>
          <w:lang w:val="en-US" w:eastAsia="zh-CN"/>
        </w:rPr>
        <w:t>销</w:t>
      </w:r>
      <w:bookmarkEnd w:id="7"/>
      <w:bookmarkEnd w:id="8"/>
      <w:bookmarkEnd w:id="9"/>
      <w:bookmarkEnd w:id="10"/>
      <w:bookmarkEnd w:id="11"/>
      <w:bookmarkEnd w:id="12"/>
      <w:bookmarkEnd w:id="13"/>
    </w:p>
    <w:p w14:paraId="75A0D8DA">
      <w:pPr>
        <w:keepNext w:val="0"/>
        <w:keepLines w:val="0"/>
        <w:pageBreakBefore w:val="0"/>
        <w:widowControl w:val="0"/>
        <w:kinsoku/>
        <w:wordWrap/>
        <w:overflowPunct/>
        <w:topLinePunct w:val="0"/>
        <w:autoSpaceDE/>
        <w:autoSpaceDN/>
        <w:bidi w:val="0"/>
        <w:adjustRightInd/>
        <w:snapToGrid/>
        <w:spacing w:line="336" w:lineRule="auto"/>
        <w:jc w:val="center"/>
        <w:textAlignment w:val="auto"/>
        <w:outlineLvl w:val="0"/>
        <w:rPr>
          <w:rFonts w:hint="eastAsia" w:ascii="仿宋" w:hAnsi="仿宋" w:eastAsia="仿宋" w:cs="仿宋"/>
          <w:b/>
          <w:color w:val="auto"/>
          <w:sz w:val="52"/>
          <w:szCs w:val="52"/>
          <w:highlight w:val="none"/>
          <w:lang w:val="en-US" w:eastAsia="zh-CN"/>
        </w:rPr>
      </w:pPr>
      <w:bookmarkStart w:id="14" w:name="_Toc4020"/>
      <w:bookmarkStart w:id="15" w:name="_Toc15292"/>
      <w:bookmarkStart w:id="16" w:name="_Toc22933"/>
      <w:bookmarkStart w:id="17" w:name="_Toc30857"/>
      <w:bookmarkStart w:id="18" w:name="_Toc3249"/>
      <w:bookmarkStart w:id="19" w:name="_Toc16372"/>
      <w:bookmarkStart w:id="20" w:name="_Toc9639"/>
      <w:r>
        <w:rPr>
          <w:rFonts w:hint="eastAsia" w:ascii="仿宋" w:hAnsi="仿宋" w:eastAsia="仿宋" w:cs="仿宋"/>
          <w:b/>
          <w:color w:val="auto"/>
          <w:sz w:val="52"/>
          <w:szCs w:val="52"/>
          <w:highlight w:val="none"/>
          <w:lang w:val="en-US" w:eastAsia="zh-CN"/>
        </w:rPr>
        <w:t>合</w:t>
      </w:r>
      <w:bookmarkEnd w:id="14"/>
      <w:bookmarkEnd w:id="15"/>
      <w:bookmarkEnd w:id="16"/>
      <w:bookmarkEnd w:id="17"/>
      <w:bookmarkEnd w:id="18"/>
      <w:bookmarkEnd w:id="19"/>
      <w:bookmarkEnd w:id="20"/>
    </w:p>
    <w:p w14:paraId="42550735">
      <w:pPr>
        <w:keepNext w:val="0"/>
        <w:keepLines w:val="0"/>
        <w:pageBreakBefore w:val="0"/>
        <w:widowControl w:val="0"/>
        <w:kinsoku/>
        <w:wordWrap/>
        <w:overflowPunct/>
        <w:topLinePunct w:val="0"/>
        <w:autoSpaceDE/>
        <w:autoSpaceDN/>
        <w:bidi w:val="0"/>
        <w:adjustRightInd/>
        <w:snapToGrid/>
        <w:spacing w:line="336" w:lineRule="auto"/>
        <w:jc w:val="center"/>
        <w:textAlignment w:val="auto"/>
        <w:outlineLvl w:val="0"/>
        <w:rPr>
          <w:rFonts w:hint="eastAsia" w:ascii="仿宋" w:hAnsi="仿宋" w:eastAsia="仿宋" w:cs="仿宋"/>
          <w:color w:val="auto"/>
          <w:highlight w:val="none"/>
          <w:lang w:val="en-US" w:eastAsia="zh-CN"/>
        </w:rPr>
      </w:pPr>
      <w:bookmarkStart w:id="21" w:name="_Toc17665"/>
      <w:bookmarkStart w:id="22" w:name="_Toc10614"/>
      <w:bookmarkStart w:id="23" w:name="_Toc2686"/>
      <w:bookmarkStart w:id="24" w:name="_Toc23241"/>
      <w:bookmarkStart w:id="25" w:name="_Toc20513"/>
      <w:bookmarkStart w:id="26" w:name="_Toc105"/>
      <w:bookmarkStart w:id="27" w:name="_Toc6169"/>
      <w:r>
        <w:rPr>
          <w:rFonts w:hint="eastAsia" w:ascii="仿宋" w:hAnsi="仿宋" w:eastAsia="仿宋" w:cs="仿宋"/>
          <w:b/>
          <w:color w:val="auto"/>
          <w:sz w:val="52"/>
          <w:szCs w:val="52"/>
          <w:highlight w:val="none"/>
          <w:lang w:val="en-US" w:eastAsia="zh-CN"/>
        </w:rPr>
        <w:t>同</w:t>
      </w:r>
      <w:bookmarkEnd w:id="21"/>
      <w:bookmarkEnd w:id="22"/>
      <w:bookmarkEnd w:id="23"/>
      <w:bookmarkEnd w:id="24"/>
      <w:bookmarkEnd w:id="25"/>
      <w:bookmarkEnd w:id="26"/>
      <w:bookmarkEnd w:id="27"/>
    </w:p>
    <w:p w14:paraId="50C93E44">
      <w:pPr>
        <w:jc w:val="center"/>
        <w:rPr>
          <w:rFonts w:hint="default"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（20250324版）</w:t>
      </w:r>
    </w:p>
    <w:p w14:paraId="42146617">
      <w:pPr>
        <w:jc w:val="both"/>
        <w:rPr>
          <w:rFonts w:hint="eastAsia" w:ascii="仿宋" w:hAnsi="仿宋" w:eastAsia="仿宋" w:cs="仿宋"/>
          <w:color w:val="auto"/>
          <w:highlight w:val="none"/>
          <w:lang w:val="en-US" w:eastAsia="zh-CN"/>
        </w:rPr>
      </w:pPr>
    </w:p>
    <w:p w14:paraId="1563B371">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color w:val="auto"/>
          <w:sz w:val="28"/>
          <w:szCs w:val="28"/>
          <w:highlight w:val="none"/>
          <w:lang w:val="en-US" w:eastAsia="zh-CN"/>
        </w:rPr>
      </w:pPr>
    </w:p>
    <w:p w14:paraId="18ACED8B">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b w:val="0"/>
          <w:bCs w:val="0"/>
          <w:color w:val="auto"/>
          <w:sz w:val="28"/>
          <w:szCs w:val="28"/>
          <w:highlight w:val="none"/>
          <w:lang w:val="en-US" w:eastAsia="zh-CN"/>
        </w:rPr>
      </w:pPr>
    </w:p>
    <w:p w14:paraId="2A267D58">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lang w:val="en-US" w:eastAsia="zh-CN"/>
        </w:rPr>
        <w:t>合同编号：</w:t>
      </w:r>
    </w:p>
    <w:p w14:paraId="4B79B5E6">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b w:val="0"/>
          <w:bCs w:val="0"/>
          <w:color w:val="auto"/>
          <w:sz w:val="28"/>
          <w:szCs w:val="28"/>
          <w:highlight w:val="none"/>
          <w:u w:val="single"/>
          <w:lang w:val="en-US" w:eastAsia="zh-CN"/>
        </w:rPr>
      </w:pPr>
      <w:r>
        <w:rPr>
          <w:rFonts w:hint="eastAsia" w:ascii="仿宋" w:hAnsi="仿宋" w:eastAsia="仿宋" w:cs="仿宋"/>
          <w:b w:val="0"/>
          <w:bCs w:val="0"/>
          <w:color w:val="auto"/>
          <w:sz w:val="28"/>
          <w:szCs w:val="28"/>
          <w:highlight w:val="none"/>
          <w:lang w:val="en-US" w:eastAsia="zh-CN"/>
        </w:rPr>
        <w:t>甲方（需方）：东莞市中泰建安工程有限公司</w:t>
      </w:r>
    </w:p>
    <w:p w14:paraId="67B1480A">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乙方（供方）：</w:t>
      </w:r>
    </w:p>
    <w:p w14:paraId="45F7EB02">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签订日期：</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u w:val="none"/>
          <w:lang w:val="en-US" w:eastAsia="zh-CN"/>
        </w:rPr>
        <w:t>年</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u w:val="none"/>
          <w:lang w:val="en-US" w:eastAsia="zh-CN"/>
        </w:rPr>
        <w:t>月</w:t>
      </w:r>
      <w:r>
        <w:rPr>
          <w:rFonts w:hint="eastAsia" w:ascii="仿宋" w:hAnsi="仿宋" w:eastAsia="仿宋" w:cs="仿宋"/>
          <w:b w:val="0"/>
          <w:bCs w:val="0"/>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u w:val="none"/>
          <w:lang w:val="en-US" w:eastAsia="zh-CN"/>
        </w:rPr>
        <w:t>日</w:t>
      </w:r>
    </w:p>
    <w:p w14:paraId="62C4B37D">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color w:val="auto"/>
          <w:highlight w:val="none"/>
          <w:lang w:val="en-US" w:eastAsia="zh-CN"/>
        </w:rPr>
      </w:pPr>
      <w:r>
        <w:rPr>
          <w:rFonts w:hint="eastAsia" w:ascii="仿宋" w:hAnsi="仿宋" w:eastAsia="仿宋" w:cs="仿宋"/>
          <w:b w:val="0"/>
          <w:bCs w:val="0"/>
          <w:color w:val="auto"/>
          <w:sz w:val="28"/>
          <w:szCs w:val="28"/>
          <w:highlight w:val="none"/>
          <w:u w:val="none"/>
          <w:lang w:val="en-US" w:eastAsia="zh-CN"/>
        </w:rPr>
        <w:t>签订地点：广东东莞。</w:t>
      </w:r>
    </w:p>
    <w:p w14:paraId="2296728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kern w:val="2"/>
          <w:sz w:val="32"/>
          <w:szCs w:val="32"/>
          <w:highlight w:val="none"/>
          <w:u w:val="none"/>
          <w:lang w:val="en-US" w:eastAsia="zh-CN" w:bidi="ar-SA"/>
        </w:rPr>
        <w:sectPr>
          <w:headerReference r:id="rId3" w:type="default"/>
          <w:footerReference r:id="rId4" w:type="default"/>
          <w:pgSz w:w="11906" w:h="16838"/>
          <w:pgMar w:top="1440" w:right="1080" w:bottom="1440" w:left="1080" w:header="737" w:footer="624" w:gutter="0"/>
          <w:pgBorders>
            <w:top w:val="single" w:color="auto" w:sz="4" w:space="1"/>
            <w:left w:val="single" w:color="auto" w:sz="4" w:space="4"/>
            <w:bottom w:val="single" w:color="auto" w:sz="4" w:space="1"/>
            <w:right w:val="single" w:color="auto" w:sz="4" w:space="4"/>
          </w:pgBorders>
          <w:pgNumType w:fmt="decimal"/>
          <w:cols w:space="720" w:num="1"/>
          <w:docGrid w:type="lines" w:linePitch="312" w:charSpace="0"/>
        </w:sectPr>
      </w:pPr>
    </w:p>
    <w:sdt>
      <w:sdtPr>
        <w:rPr>
          <w:rFonts w:ascii="宋体" w:hAnsi="宋体" w:eastAsia="宋体" w:cs="Times New Roman"/>
          <w:b/>
          <w:bCs/>
          <w:color w:val="auto"/>
          <w:kern w:val="2"/>
          <w:sz w:val="36"/>
          <w:szCs w:val="44"/>
          <w:highlight w:val="none"/>
          <w:lang w:val="en-US" w:eastAsia="zh-CN" w:bidi="ar-SA"/>
        </w:rPr>
        <w:id w:val="147469750"/>
        <w15:color w:val="DBDBDB"/>
        <w:docPartObj>
          <w:docPartGallery w:val="Table of Contents"/>
          <w:docPartUnique/>
        </w:docPartObj>
      </w:sdtPr>
      <w:sdtEndPr>
        <w:rPr>
          <w:rFonts w:hint="eastAsia" w:ascii="仿宋" w:hAnsi="仿宋" w:eastAsia="仿宋" w:cs="仿宋"/>
          <w:b/>
          <w:bCs/>
          <w:color w:val="auto"/>
          <w:kern w:val="2"/>
          <w:sz w:val="21"/>
          <w:szCs w:val="32"/>
          <w:highlight w:val="none"/>
          <w:lang w:val="en-US" w:eastAsia="zh-CN" w:bidi="ar-SA"/>
        </w:rPr>
      </w:sdtEndPr>
      <w:sdtContent>
        <w:p w14:paraId="748C8B6B">
          <w:pPr>
            <w:spacing w:before="0" w:beforeLines="0" w:after="0" w:afterLines="0" w:line="240" w:lineRule="auto"/>
            <w:ind w:left="0" w:leftChars="0" w:right="0" w:rightChars="0" w:firstLine="0" w:firstLineChars="0"/>
            <w:jc w:val="center"/>
            <w:rPr>
              <w:b/>
              <w:bCs/>
              <w:color w:val="auto"/>
              <w:sz w:val="36"/>
              <w:szCs w:val="44"/>
              <w:highlight w:val="none"/>
            </w:rPr>
          </w:pPr>
          <w:r>
            <w:rPr>
              <w:rFonts w:ascii="宋体" w:hAnsi="宋体" w:eastAsia="宋体"/>
              <w:b/>
              <w:bCs/>
              <w:color w:val="auto"/>
              <w:sz w:val="36"/>
              <w:szCs w:val="44"/>
              <w:highlight w:val="none"/>
            </w:rPr>
            <w:t>目录</w:t>
          </w:r>
        </w:p>
        <w:p w14:paraId="05EC472A">
          <w:pPr>
            <w:pStyle w:val="13"/>
            <w:tabs>
              <w:tab w:val="right" w:leader="dot" w:pos="9525"/>
            </w:tabs>
            <w:rPr>
              <w:b/>
              <w:color w:val="auto"/>
              <w:sz w:val="24"/>
              <w:szCs w:val="24"/>
              <w:highlight w:val="none"/>
            </w:rPr>
          </w:pPr>
          <w:r>
            <w:rPr>
              <w:rFonts w:hint="eastAsia" w:ascii="仿宋" w:hAnsi="仿宋" w:eastAsia="仿宋" w:cs="仿宋"/>
              <w:b/>
              <w:bCs/>
              <w:color w:val="auto"/>
              <w:sz w:val="32"/>
              <w:szCs w:val="32"/>
              <w:highlight w:val="none"/>
              <w:lang w:val="en-US" w:eastAsia="zh-CN"/>
            </w:rPr>
            <w:fldChar w:fldCharType="begin"/>
          </w:r>
          <w:r>
            <w:rPr>
              <w:rFonts w:hint="eastAsia" w:ascii="仿宋" w:hAnsi="仿宋" w:eastAsia="仿宋" w:cs="仿宋"/>
              <w:b/>
              <w:bCs/>
              <w:color w:val="auto"/>
              <w:sz w:val="32"/>
              <w:szCs w:val="32"/>
              <w:highlight w:val="none"/>
              <w:lang w:val="en-US" w:eastAsia="zh-CN"/>
            </w:rPr>
            <w:instrText xml:space="preserve">TOC \o "1-2" \h \u </w:instrText>
          </w:r>
          <w:r>
            <w:rPr>
              <w:rFonts w:hint="eastAsia" w:ascii="仿宋" w:hAnsi="仿宋" w:eastAsia="仿宋" w:cs="仿宋"/>
              <w:b/>
              <w:bCs/>
              <w:color w:val="auto"/>
              <w:sz w:val="32"/>
              <w:szCs w:val="32"/>
              <w:highlight w:val="none"/>
              <w:lang w:val="en-US" w:eastAsia="zh-CN"/>
            </w:rPr>
            <w:fldChar w:fldCharType="separate"/>
          </w:r>
        </w:p>
        <w:p w14:paraId="067242F3">
          <w:pPr>
            <w:pStyle w:val="13"/>
            <w:tabs>
              <w:tab w:val="right" w:leader="dot" w:pos="9525"/>
            </w:tabs>
            <w:rPr>
              <w:b/>
              <w:color w:val="auto"/>
              <w:sz w:val="28"/>
              <w:szCs w:val="28"/>
              <w:highlight w:val="none"/>
            </w:rPr>
          </w:pPr>
          <w:r>
            <w:rPr>
              <w:rFonts w:hint="eastAsia" w:ascii="仿宋" w:hAnsi="仿宋" w:eastAsia="仿宋" w:cs="仿宋"/>
              <w:b/>
              <w:bCs/>
              <w:color w:val="auto"/>
              <w:sz w:val="28"/>
              <w:szCs w:val="48"/>
              <w:highlight w:val="none"/>
              <w:lang w:val="en-US" w:eastAsia="zh-CN"/>
            </w:rPr>
            <w:fldChar w:fldCharType="begin"/>
          </w:r>
          <w:r>
            <w:rPr>
              <w:rFonts w:hint="eastAsia" w:ascii="仿宋" w:hAnsi="仿宋" w:eastAsia="仿宋" w:cs="仿宋"/>
              <w:b/>
              <w:bCs/>
              <w:color w:val="auto"/>
              <w:sz w:val="28"/>
              <w:szCs w:val="48"/>
              <w:highlight w:val="none"/>
              <w:lang w:val="en-US" w:eastAsia="zh-CN"/>
            </w:rPr>
            <w:instrText xml:space="preserve"> HYPERLINK \l _Toc23236 </w:instrText>
          </w:r>
          <w:r>
            <w:rPr>
              <w:rFonts w:hint="eastAsia" w:ascii="仿宋" w:hAnsi="仿宋" w:eastAsia="仿宋" w:cs="仿宋"/>
              <w:b/>
              <w:bCs/>
              <w:color w:val="auto"/>
              <w:sz w:val="28"/>
              <w:szCs w:val="48"/>
              <w:highlight w:val="none"/>
              <w:lang w:val="en-US" w:eastAsia="zh-CN"/>
            </w:rPr>
            <w:fldChar w:fldCharType="separate"/>
          </w:r>
          <w:r>
            <w:rPr>
              <w:rFonts w:hint="eastAsia" w:ascii="仿宋" w:hAnsi="仿宋" w:eastAsia="仿宋" w:cs="仿宋"/>
              <w:b/>
              <w:bCs/>
              <w:color w:val="auto"/>
              <w:sz w:val="28"/>
              <w:szCs w:val="48"/>
              <w:highlight w:val="none"/>
              <w:lang w:val="en-US" w:eastAsia="zh-CN"/>
            </w:rPr>
            <w:t>第一部分 协议书</w:t>
          </w:r>
          <w:r>
            <w:rPr>
              <w:b/>
              <w:color w:val="auto"/>
              <w:sz w:val="28"/>
              <w:szCs w:val="28"/>
              <w:highlight w:val="none"/>
            </w:rPr>
            <w:tab/>
          </w:r>
          <w:r>
            <w:rPr>
              <w:b/>
              <w:color w:val="auto"/>
              <w:sz w:val="28"/>
              <w:szCs w:val="28"/>
              <w:highlight w:val="none"/>
            </w:rPr>
            <w:fldChar w:fldCharType="begin"/>
          </w:r>
          <w:r>
            <w:rPr>
              <w:b/>
              <w:color w:val="auto"/>
              <w:sz w:val="28"/>
              <w:szCs w:val="28"/>
              <w:highlight w:val="none"/>
            </w:rPr>
            <w:instrText xml:space="preserve"> PAGEREF _Toc23236 \h </w:instrText>
          </w:r>
          <w:r>
            <w:rPr>
              <w:b/>
              <w:color w:val="auto"/>
              <w:sz w:val="28"/>
              <w:szCs w:val="28"/>
              <w:highlight w:val="none"/>
            </w:rPr>
            <w:fldChar w:fldCharType="separate"/>
          </w:r>
          <w:r>
            <w:rPr>
              <w:b/>
              <w:color w:val="auto"/>
              <w:sz w:val="28"/>
              <w:szCs w:val="28"/>
              <w:highlight w:val="none"/>
            </w:rPr>
            <w:t>1</w:t>
          </w:r>
          <w:r>
            <w:rPr>
              <w:b/>
              <w:color w:val="auto"/>
              <w:sz w:val="28"/>
              <w:szCs w:val="28"/>
              <w:highlight w:val="none"/>
            </w:rPr>
            <w:fldChar w:fldCharType="end"/>
          </w:r>
          <w:r>
            <w:rPr>
              <w:rFonts w:hint="eastAsia" w:ascii="仿宋" w:hAnsi="仿宋" w:eastAsia="仿宋" w:cs="仿宋"/>
              <w:b/>
              <w:bCs/>
              <w:color w:val="auto"/>
              <w:sz w:val="28"/>
              <w:szCs w:val="48"/>
              <w:highlight w:val="none"/>
              <w:lang w:val="en-US" w:eastAsia="zh-CN"/>
            </w:rPr>
            <w:fldChar w:fldCharType="end"/>
          </w:r>
        </w:p>
        <w:p w14:paraId="13CFAB0A">
          <w:pPr>
            <w:pStyle w:val="23"/>
            <w:tabs>
              <w:tab w:val="right" w:leader="dot" w:pos="9525"/>
            </w:tabs>
            <w:rPr>
              <w:color w:val="auto"/>
              <w:sz w:val="28"/>
              <w:szCs w:val="28"/>
              <w:highlight w:val="none"/>
            </w:rPr>
          </w:pPr>
          <w:r>
            <w:rPr>
              <w:rFonts w:hint="eastAsia" w:ascii="仿宋" w:hAnsi="仿宋" w:eastAsia="仿宋" w:cs="仿宋"/>
              <w:bCs/>
              <w:color w:val="auto"/>
              <w:sz w:val="28"/>
              <w:szCs w:val="48"/>
              <w:highlight w:val="none"/>
              <w:lang w:val="en-US" w:eastAsia="zh-CN"/>
            </w:rPr>
            <w:fldChar w:fldCharType="begin"/>
          </w:r>
          <w:r>
            <w:rPr>
              <w:rFonts w:hint="eastAsia" w:ascii="仿宋" w:hAnsi="仿宋" w:eastAsia="仿宋" w:cs="仿宋"/>
              <w:bCs/>
              <w:color w:val="auto"/>
              <w:sz w:val="28"/>
              <w:szCs w:val="48"/>
              <w:highlight w:val="none"/>
              <w:lang w:val="en-US" w:eastAsia="zh-CN"/>
            </w:rPr>
            <w:instrText xml:space="preserve"> HYPERLINK \l _Toc24459 </w:instrText>
          </w:r>
          <w:r>
            <w:rPr>
              <w:rFonts w:hint="eastAsia" w:ascii="仿宋" w:hAnsi="仿宋" w:eastAsia="仿宋" w:cs="仿宋"/>
              <w:bCs/>
              <w:color w:val="auto"/>
              <w:sz w:val="28"/>
              <w:szCs w:val="48"/>
              <w:highlight w:val="none"/>
              <w:lang w:val="en-US" w:eastAsia="zh-CN"/>
            </w:rPr>
            <w:fldChar w:fldCharType="separate"/>
          </w:r>
          <w:r>
            <w:rPr>
              <w:rFonts w:hint="eastAsia" w:ascii="仿宋" w:hAnsi="仿宋" w:eastAsia="仿宋" w:cs="仿宋"/>
              <w:bCs/>
              <w:color w:val="auto"/>
              <w:sz w:val="28"/>
              <w:szCs w:val="44"/>
              <w:highlight w:val="none"/>
              <w:lang w:val="en-US" w:eastAsia="zh-CN"/>
            </w:rPr>
            <w:t>第一章、产品内容及合同价款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_Toc24459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rFonts w:hint="eastAsia" w:ascii="仿宋" w:hAnsi="仿宋" w:eastAsia="仿宋" w:cs="仿宋"/>
              <w:bCs/>
              <w:color w:val="auto"/>
              <w:sz w:val="28"/>
              <w:szCs w:val="48"/>
              <w:highlight w:val="none"/>
              <w:lang w:val="en-US" w:eastAsia="zh-CN"/>
            </w:rPr>
            <w:fldChar w:fldCharType="end"/>
          </w:r>
        </w:p>
        <w:p w14:paraId="3550DAD5">
          <w:pPr>
            <w:pStyle w:val="23"/>
            <w:tabs>
              <w:tab w:val="right" w:leader="dot" w:pos="9525"/>
            </w:tabs>
            <w:rPr>
              <w:color w:val="auto"/>
              <w:sz w:val="28"/>
              <w:szCs w:val="28"/>
              <w:highlight w:val="none"/>
            </w:rPr>
          </w:pPr>
          <w:r>
            <w:rPr>
              <w:rFonts w:hint="eastAsia" w:ascii="仿宋" w:hAnsi="仿宋" w:eastAsia="仿宋" w:cs="仿宋"/>
              <w:bCs/>
              <w:color w:val="auto"/>
              <w:sz w:val="28"/>
              <w:szCs w:val="48"/>
              <w:highlight w:val="none"/>
              <w:lang w:val="en-US" w:eastAsia="zh-CN"/>
            </w:rPr>
            <w:fldChar w:fldCharType="begin"/>
          </w:r>
          <w:r>
            <w:rPr>
              <w:rFonts w:hint="eastAsia" w:ascii="仿宋" w:hAnsi="仿宋" w:eastAsia="仿宋" w:cs="仿宋"/>
              <w:bCs/>
              <w:color w:val="auto"/>
              <w:sz w:val="28"/>
              <w:szCs w:val="48"/>
              <w:highlight w:val="none"/>
              <w:lang w:val="en-US" w:eastAsia="zh-CN"/>
            </w:rPr>
            <w:instrText xml:space="preserve"> HYPERLINK \l _Toc6223 </w:instrText>
          </w:r>
          <w:r>
            <w:rPr>
              <w:rFonts w:hint="eastAsia" w:ascii="仿宋" w:hAnsi="仿宋" w:eastAsia="仿宋" w:cs="仿宋"/>
              <w:bCs/>
              <w:color w:val="auto"/>
              <w:sz w:val="28"/>
              <w:szCs w:val="48"/>
              <w:highlight w:val="none"/>
              <w:lang w:val="en-US" w:eastAsia="zh-CN"/>
            </w:rPr>
            <w:fldChar w:fldCharType="separate"/>
          </w:r>
          <w:r>
            <w:rPr>
              <w:rFonts w:hint="eastAsia" w:ascii="仿宋" w:hAnsi="仿宋" w:eastAsia="仿宋" w:cs="仿宋"/>
              <w:bCs/>
              <w:color w:val="auto"/>
              <w:sz w:val="28"/>
              <w:szCs w:val="44"/>
              <w:highlight w:val="none"/>
              <w:lang w:val="en-US" w:eastAsia="zh-CN"/>
            </w:rPr>
            <w:t>第二章、付款方式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_Toc6223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rFonts w:hint="eastAsia" w:ascii="仿宋" w:hAnsi="仿宋" w:eastAsia="仿宋" w:cs="仿宋"/>
              <w:bCs/>
              <w:color w:val="auto"/>
              <w:sz w:val="28"/>
              <w:szCs w:val="48"/>
              <w:highlight w:val="none"/>
              <w:lang w:val="en-US" w:eastAsia="zh-CN"/>
            </w:rPr>
            <w:fldChar w:fldCharType="end"/>
          </w:r>
        </w:p>
        <w:p w14:paraId="01E1B80F">
          <w:pPr>
            <w:pStyle w:val="23"/>
            <w:tabs>
              <w:tab w:val="right" w:leader="dot" w:pos="9525"/>
            </w:tabs>
            <w:rPr>
              <w:color w:val="auto"/>
              <w:sz w:val="28"/>
              <w:szCs w:val="28"/>
              <w:highlight w:val="none"/>
            </w:rPr>
          </w:pPr>
          <w:r>
            <w:rPr>
              <w:rFonts w:hint="eastAsia" w:ascii="仿宋" w:hAnsi="仿宋" w:eastAsia="仿宋" w:cs="仿宋"/>
              <w:bCs/>
              <w:color w:val="auto"/>
              <w:sz w:val="28"/>
              <w:szCs w:val="48"/>
              <w:highlight w:val="none"/>
              <w:lang w:val="en-US" w:eastAsia="zh-CN"/>
            </w:rPr>
            <w:fldChar w:fldCharType="begin"/>
          </w:r>
          <w:r>
            <w:rPr>
              <w:rFonts w:hint="eastAsia" w:ascii="仿宋" w:hAnsi="仿宋" w:eastAsia="仿宋" w:cs="仿宋"/>
              <w:bCs/>
              <w:color w:val="auto"/>
              <w:sz w:val="28"/>
              <w:szCs w:val="48"/>
              <w:highlight w:val="none"/>
              <w:lang w:val="en-US" w:eastAsia="zh-CN"/>
            </w:rPr>
            <w:instrText xml:space="preserve"> HYPERLINK \l _Toc9514 </w:instrText>
          </w:r>
          <w:r>
            <w:rPr>
              <w:rFonts w:hint="eastAsia" w:ascii="仿宋" w:hAnsi="仿宋" w:eastAsia="仿宋" w:cs="仿宋"/>
              <w:bCs/>
              <w:color w:val="auto"/>
              <w:sz w:val="28"/>
              <w:szCs w:val="48"/>
              <w:highlight w:val="none"/>
              <w:lang w:val="en-US" w:eastAsia="zh-CN"/>
            </w:rPr>
            <w:fldChar w:fldCharType="separate"/>
          </w:r>
          <w:r>
            <w:rPr>
              <w:rFonts w:hint="eastAsia" w:ascii="仿宋" w:hAnsi="仿宋" w:eastAsia="仿宋" w:cs="仿宋"/>
              <w:bCs/>
              <w:color w:val="auto"/>
              <w:sz w:val="28"/>
              <w:szCs w:val="44"/>
              <w:highlight w:val="none"/>
              <w:lang w:val="en-US" w:eastAsia="zh-CN"/>
            </w:rPr>
            <w:t>第三章、交货</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_Toc9514 \h </w:instrText>
          </w:r>
          <w:r>
            <w:rPr>
              <w:color w:val="auto"/>
              <w:sz w:val="28"/>
              <w:szCs w:val="28"/>
              <w:highlight w:val="none"/>
            </w:rPr>
            <w:fldChar w:fldCharType="separate"/>
          </w:r>
          <w:r>
            <w:rPr>
              <w:color w:val="auto"/>
              <w:sz w:val="28"/>
              <w:szCs w:val="28"/>
              <w:highlight w:val="none"/>
            </w:rPr>
            <w:t>2</w:t>
          </w:r>
          <w:r>
            <w:rPr>
              <w:color w:val="auto"/>
              <w:sz w:val="28"/>
              <w:szCs w:val="28"/>
              <w:highlight w:val="none"/>
            </w:rPr>
            <w:fldChar w:fldCharType="end"/>
          </w:r>
          <w:r>
            <w:rPr>
              <w:rFonts w:hint="eastAsia" w:ascii="仿宋" w:hAnsi="仿宋" w:eastAsia="仿宋" w:cs="仿宋"/>
              <w:bCs/>
              <w:color w:val="auto"/>
              <w:sz w:val="28"/>
              <w:szCs w:val="48"/>
              <w:highlight w:val="none"/>
              <w:lang w:val="en-US" w:eastAsia="zh-CN"/>
            </w:rPr>
            <w:fldChar w:fldCharType="end"/>
          </w:r>
        </w:p>
        <w:p w14:paraId="25D43598">
          <w:pPr>
            <w:pStyle w:val="23"/>
            <w:tabs>
              <w:tab w:val="right" w:leader="dot" w:pos="9525"/>
            </w:tabs>
            <w:rPr>
              <w:color w:val="auto"/>
              <w:sz w:val="28"/>
              <w:szCs w:val="28"/>
              <w:highlight w:val="none"/>
            </w:rPr>
          </w:pPr>
          <w:r>
            <w:rPr>
              <w:rFonts w:hint="eastAsia" w:ascii="仿宋" w:hAnsi="仿宋" w:eastAsia="仿宋" w:cs="仿宋"/>
              <w:bCs/>
              <w:color w:val="auto"/>
              <w:sz w:val="28"/>
              <w:szCs w:val="48"/>
              <w:highlight w:val="none"/>
              <w:lang w:val="en-US" w:eastAsia="zh-CN"/>
            </w:rPr>
            <w:fldChar w:fldCharType="begin"/>
          </w:r>
          <w:r>
            <w:rPr>
              <w:rFonts w:hint="eastAsia" w:ascii="仿宋" w:hAnsi="仿宋" w:eastAsia="仿宋" w:cs="仿宋"/>
              <w:bCs/>
              <w:color w:val="auto"/>
              <w:sz w:val="28"/>
              <w:szCs w:val="48"/>
              <w:highlight w:val="none"/>
              <w:lang w:val="en-US" w:eastAsia="zh-CN"/>
            </w:rPr>
            <w:instrText xml:space="preserve"> HYPERLINK \l _Toc6165 </w:instrText>
          </w:r>
          <w:r>
            <w:rPr>
              <w:rFonts w:hint="eastAsia" w:ascii="仿宋" w:hAnsi="仿宋" w:eastAsia="仿宋" w:cs="仿宋"/>
              <w:bCs/>
              <w:color w:val="auto"/>
              <w:sz w:val="28"/>
              <w:szCs w:val="48"/>
              <w:highlight w:val="none"/>
              <w:lang w:val="en-US" w:eastAsia="zh-CN"/>
            </w:rPr>
            <w:fldChar w:fldCharType="separate"/>
          </w:r>
          <w:r>
            <w:rPr>
              <w:rFonts w:hint="eastAsia" w:ascii="仿宋" w:hAnsi="仿宋" w:eastAsia="仿宋" w:cs="仿宋"/>
              <w:bCs/>
              <w:color w:val="auto"/>
              <w:kern w:val="2"/>
              <w:sz w:val="28"/>
              <w:szCs w:val="44"/>
              <w:highlight w:val="none"/>
              <w:lang w:val="en-US" w:eastAsia="zh-CN" w:bidi="ar-SA"/>
            </w:rPr>
            <w:t>第四章、甲乙双方联系人</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_Toc6165 \h </w:instrText>
          </w:r>
          <w:r>
            <w:rPr>
              <w:color w:val="auto"/>
              <w:sz w:val="28"/>
              <w:szCs w:val="28"/>
              <w:highlight w:val="none"/>
            </w:rPr>
            <w:fldChar w:fldCharType="separate"/>
          </w:r>
          <w:r>
            <w:rPr>
              <w:color w:val="auto"/>
              <w:sz w:val="28"/>
              <w:szCs w:val="28"/>
              <w:highlight w:val="none"/>
            </w:rPr>
            <w:t>3</w:t>
          </w:r>
          <w:r>
            <w:rPr>
              <w:color w:val="auto"/>
              <w:sz w:val="28"/>
              <w:szCs w:val="28"/>
              <w:highlight w:val="none"/>
            </w:rPr>
            <w:fldChar w:fldCharType="end"/>
          </w:r>
          <w:r>
            <w:rPr>
              <w:rFonts w:hint="eastAsia" w:ascii="仿宋" w:hAnsi="仿宋" w:eastAsia="仿宋" w:cs="仿宋"/>
              <w:bCs/>
              <w:color w:val="auto"/>
              <w:sz w:val="28"/>
              <w:szCs w:val="48"/>
              <w:highlight w:val="none"/>
              <w:lang w:val="en-US" w:eastAsia="zh-CN"/>
            </w:rPr>
            <w:fldChar w:fldCharType="end"/>
          </w:r>
        </w:p>
        <w:p w14:paraId="43B89C99">
          <w:pPr>
            <w:pStyle w:val="13"/>
            <w:tabs>
              <w:tab w:val="right" w:leader="dot" w:pos="9525"/>
            </w:tabs>
            <w:rPr>
              <w:b/>
              <w:color w:val="auto"/>
              <w:sz w:val="28"/>
              <w:szCs w:val="28"/>
              <w:highlight w:val="none"/>
            </w:rPr>
          </w:pPr>
          <w:r>
            <w:rPr>
              <w:rFonts w:hint="eastAsia" w:ascii="仿宋" w:hAnsi="仿宋" w:eastAsia="仿宋" w:cs="仿宋"/>
              <w:b/>
              <w:bCs/>
              <w:color w:val="auto"/>
              <w:sz w:val="28"/>
              <w:szCs w:val="48"/>
              <w:highlight w:val="none"/>
              <w:lang w:val="en-US" w:eastAsia="zh-CN"/>
            </w:rPr>
            <w:fldChar w:fldCharType="begin"/>
          </w:r>
          <w:r>
            <w:rPr>
              <w:rFonts w:hint="eastAsia" w:ascii="仿宋" w:hAnsi="仿宋" w:eastAsia="仿宋" w:cs="仿宋"/>
              <w:b/>
              <w:bCs/>
              <w:color w:val="auto"/>
              <w:sz w:val="28"/>
              <w:szCs w:val="48"/>
              <w:highlight w:val="none"/>
              <w:lang w:val="en-US" w:eastAsia="zh-CN"/>
            </w:rPr>
            <w:instrText xml:space="preserve"> HYPERLINK \l _Toc27333 </w:instrText>
          </w:r>
          <w:r>
            <w:rPr>
              <w:rFonts w:hint="eastAsia" w:ascii="仿宋" w:hAnsi="仿宋" w:eastAsia="仿宋" w:cs="仿宋"/>
              <w:b/>
              <w:bCs/>
              <w:color w:val="auto"/>
              <w:sz w:val="28"/>
              <w:szCs w:val="48"/>
              <w:highlight w:val="none"/>
              <w:lang w:val="en-US" w:eastAsia="zh-CN"/>
            </w:rPr>
            <w:fldChar w:fldCharType="separate"/>
          </w:r>
          <w:r>
            <w:rPr>
              <w:rFonts w:hint="eastAsia" w:ascii="仿宋" w:hAnsi="仿宋" w:eastAsia="仿宋" w:cs="仿宋"/>
              <w:b/>
              <w:bCs/>
              <w:color w:val="auto"/>
              <w:kern w:val="2"/>
              <w:sz w:val="28"/>
              <w:szCs w:val="48"/>
              <w:highlight w:val="none"/>
              <w:shd w:val="clear" w:fill="auto"/>
              <w:vertAlign w:val="baseline"/>
              <w:lang w:val="en-US" w:eastAsia="zh-CN" w:bidi="ar-SA"/>
            </w:rPr>
            <w:t xml:space="preserve">第二部分 </w:t>
          </w:r>
          <w:r>
            <w:rPr>
              <w:rFonts w:hint="eastAsia" w:ascii="仿宋_GB2312" w:hAnsi="仿宋_GB2312" w:eastAsia="仿宋_GB2312" w:cs="仿宋_GB2312"/>
              <w:b/>
              <w:bCs/>
              <w:i w:val="0"/>
              <w:iCs w:val="0"/>
              <w:color w:val="auto"/>
              <w:kern w:val="0"/>
              <w:sz w:val="28"/>
              <w:szCs w:val="48"/>
              <w:highlight w:val="none"/>
              <w:shd w:val="clear" w:color="auto" w:fill="auto"/>
              <w:lang w:val="en-US" w:eastAsia="zh-CN"/>
            </w:rPr>
            <w:t>合同专用条款</w:t>
          </w:r>
          <w:r>
            <w:rPr>
              <w:b/>
              <w:color w:val="auto"/>
              <w:sz w:val="28"/>
              <w:szCs w:val="28"/>
              <w:highlight w:val="none"/>
            </w:rPr>
            <w:tab/>
          </w:r>
          <w:r>
            <w:rPr>
              <w:b/>
              <w:color w:val="auto"/>
              <w:sz w:val="28"/>
              <w:szCs w:val="28"/>
              <w:highlight w:val="none"/>
            </w:rPr>
            <w:fldChar w:fldCharType="begin"/>
          </w:r>
          <w:r>
            <w:rPr>
              <w:b/>
              <w:color w:val="auto"/>
              <w:sz w:val="28"/>
              <w:szCs w:val="28"/>
              <w:highlight w:val="none"/>
            </w:rPr>
            <w:instrText xml:space="preserve"> PAGEREF _Toc27333 \h </w:instrText>
          </w:r>
          <w:r>
            <w:rPr>
              <w:b/>
              <w:color w:val="auto"/>
              <w:sz w:val="28"/>
              <w:szCs w:val="28"/>
              <w:highlight w:val="none"/>
            </w:rPr>
            <w:fldChar w:fldCharType="separate"/>
          </w:r>
          <w:r>
            <w:rPr>
              <w:b/>
              <w:color w:val="auto"/>
              <w:sz w:val="28"/>
              <w:szCs w:val="28"/>
              <w:highlight w:val="none"/>
            </w:rPr>
            <w:t>4</w:t>
          </w:r>
          <w:r>
            <w:rPr>
              <w:b/>
              <w:color w:val="auto"/>
              <w:sz w:val="28"/>
              <w:szCs w:val="28"/>
              <w:highlight w:val="none"/>
            </w:rPr>
            <w:fldChar w:fldCharType="end"/>
          </w:r>
          <w:r>
            <w:rPr>
              <w:rFonts w:hint="eastAsia" w:ascii="仿宋" w:hAnsi="仿宋" w:eastAsia="仿宋" w:cs="仿宋"/>
              <w:b/>
              <w:bCs/>
              <w:color w:val="auto"/>
              <w:sz w:val="28"/>
              <w:szCs w:val="48"/>
              <w:highlight w:val="none"/>
              <w:lang w:val="en-US" w:eastAsia="zh-CN"/>
            </w:rPr>
            <w:fldChar w:fldCharType="end"/>
          </w:r>
        </w:p>
        <w:p w14:paraId="7F953ED0">
          <w:pPr>
            <w:pStyle w:val="23"/>
            <w:tabs>
              <w:tab w:val="right" w:leader="dot" w:pos="9525"/>
            </w:tabs>
            <w:rPr>
              <w:color w:val="auto"/>
              <w:sz w:val="28"/>
              <w:szCs w:val="28"/>
              <w:highlight w:val="none"/>
            </w:rPr>
          </w:pPr>
          <w:r>
            <w:rPr>
              <w:rFonts w:hint="eastAsia" w:ascii="仿宋" w:hAnsi="仿宋" w:eastAsia="仿宋" w:cs="仿宋"/>
              <w:bCs/>
              <w:color w:val="auto"/>
              <w:sz w:val="28"/>
              <w:szCs w:val="48"/>
              <w:highlight w:val="none"/>
              <w:lang w:val="en-US" w:eastAsia="zh-CN"/>
            </w:rPr>
            <w:fldChar w:fldCharType="begin"/>
          </w:r>
          <w:r>
            <w:rPr>
              <w:rFonts w:hint="eastAsia" w:ascii="仿宋" w:hAnsi="仿宋" w:eastAsia="仿宋" w:cs="仿宋"/>
              <w:bCs/>
              <w:color w:val="auto"/>
              <w:sz w:val="28"/>
              <w:szCs w:val="48"/>
              <w:highlight w:val="none"/>
              <w:lang w:val="en-US" w:eastAsia="zh-CN"/>
            </w:rPr>
            <w:instrText xml:space="preserve"> HYPERLINK \l _Toc9158 </w:instrText>
          </w:r>
          <w:r>
            <w:rPr>
              <w:rFonts w:hint="eastAsia" w:ascii="仿宋" w:hAnsi="仿宋" w:eastAsia="仿宋" w:cs="仿宋"/>
              <w:bCs/>
              <w:color w:val="auto"/>
              <w:sz w:val="28"/>
              <w:szCs w:val="48"/>
              <w:highlight w:val="none"/>
              <w:lang w:val="en-US" w:eastAsia="zh-CN"/>
            </w:rPr>
            <w:fldChar w:fldCharType="separate"/>
          </w:r>
          <w:r>
            <w:rPr>
              <w:rFonts w:hint="eastAsia" w:ascii="仿宋" w:hAnsi="仿宋" w:eastAsia="仿宋" w:cs="仿宋"/>
              <w:bCs/>
              <w:color w:val="auto"/>
              <w:sz w:val="28"/>
              <w:szCs w:val="44"/>
              <w:highlight w:val="none"/>
              <w:lang w:val="en-US" w:eastAsia="zh-CN"/>
            </w:rPr>
            <w:t>第一章、计量方法</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_Toc9158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rFonts w:hint="eastAsia" w:ascii="仿宋" w:hAnsi="仿宋" w:eastAsia="仿宋" w:cs="仿宋"/>
              <w:bCs/>
              <w:color w:val="auto"/>
              <w:sz w:val="28"/>
              <w:szCs w:val="48"/>
              <w:highlight w:val="none"/>
              <w:lang w:val="en-US" w:eastAsia="zh-CN"/>
            </w:rPr>
            <w:fldChar w:fldCharType="end"/>
          </w:r>
        </w:p>
        <w:p w14:paraId="6D8206F0">
          <w:pPr>
            <w:pStyle w:val="23"/>
            <w:tabs>
              <w:tab w:val="right" w:leader="dot" w:pos="9525"/>
            </w:tabs>
            <w:rPr>
              <w:color w:val="auto"/>
              <w:sz w:val="28"/>
              <w:szCs w:val="28"/>
              <w:highlight w:val="none"/>
            </w:rPr>
          </w:pPr>
          <w:r>
            <w:rPr>
              <w:rFonts w:hint="eastAsia" w:ascii="仿宋" w:hAnsi="仿宋" w:eastAsia="仿宋" w:cs="仿宋"/>
              <w:bCs/>
              <w:color w:val="auto"/>
              <w:sz w:val="28"/>
              <w:szCs w:val="48"/>
              <w:highlight w:val="none"/>
              <w:lang w:val="en-US" w:eastAsia="zh-CN"/>
            </w:rPr>
            <w:fldChar w:fldCharType="begin"/>
          </w:r>
          <w:r>
            <w:rPr>
              <w:rFonts w:hint="eastAsia" w:ascii="仿宋" w:hAnsi="仿宋" w:eastAsia="仿宋" w:cs="仿宋"/>
              <w:bCs/>
              <w:color w:val="auto"/>
              <w:sz w:val="28"/>
              <w:szCs w:val="48"/>
              <w:highlight w:val="none"/>
              <w:lang w:val="en-US" w:eastAsia="zh-CN"/>
            </w:rPr>
            <w:instrText xml:space="preserve"> HYPERLINK \l _Toc22337 </w:instrText>
          </w:r>
          <w:r>
            <w:rPr>
              <w:rFonts w:hint="eastAsia" w:ascii="仿宋" w:hAnsi="仿宋" w:eastAsia="仿宋" w:cs="仿宋"/>
              <w:bCs/>
              <w:color w:val="auto"/>
              <w:sz w:val="28"/>
              <w:szCs w:val="48"/>
              <w:highlight w:val="none"/>
              <w:lang w:val="en-US" w:eastAsia="zh-CN"/>
            </w:rPr>
            <w:fldChar w:fldCharType="separate"/>
          </w:r>
          <w:r>
            <w:rPr>
              <w:rFonts w:hint="eastAsia" w:ascii="仿宋" w:hAnsi="仿宋" w:eastAsia="仿宋" w:cs="仿宋"/>
              <w:bCs/>
              <w:color w:val="auto"/>
              <w:sz w:val="28"/>
              <w:szCs w:val="44"/>
              <w:highlight w:val="none"/>
              <w:lang w:val="en-US" w:eastAsia="zh-CN"/>
            </w:rPr>
            <w:t>第二章、产品</w:t>
          </w:r>
          <w:r>
            <w:rPr>
              <w:rFonts w:hint="eastAsia" w:ascii="仿宋" w:hAnsi="仿宋" w:eastAsia="仿宋" w:cs="仿宋"/>
              <w:bCs/>
              <w:color w:val="auto"/>
              <w:sz w:val="28"/>
              <w:szCs w:val="44"/>
              <w:highlight w:val="none"/>
            </w:rPr>
            <w:t>质量</w:t>
          </w:r>
          <w:r>
            <w:rPr>
              <w:rFonts w:hint="eastAsia" w:ascii="仿宋" w:hAnsi="仿宋" w:eastAsia="仿宋" w:cs="仿宋"/>
              <w:bCs/>
              <w:color w:val="auto"/>
              <w:sz w:val="28"/>
              <w:szCs w:val="44"/>
              <w:highlight w:val="none"/>
              <w:lang w:val="en-US" w:eastAsia="zh-CN"/>
            </w:rPr>
            <w:t>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_Toc22337 \h </w:instrText>
          </w:r>
          <w:r>
            <w:rPr>
              <w:color w:val="auto"/>
              <w:sz w:val="28"/>
              <w:szCs w:val="28"/>
              <w:highlight w:val="none"/>
            </w:rPr>
            <w:fldChar w:fldCharType="separate"/>
          </w:r>
          <w:r>
            <w:rPr>
              <w:color w:val="auto"/>
              <w:sz w:val="28"/>
              <w:szCs w:val="28"/>
              <w:highlight w:val="none"/>
            </w:rPr>
            <w:t>5</w:t>
          </w:r>
          <w:r>
            <w:rPr>
              <w:color w:val="auto"/>
              <w:sz w:val="28"/>
              <w:szCs w:val="28"/>
              <w:highlight w:val="none"/>
            </w:rPr>
            <w:fldChar w:fldCharType="end"/>
          </w:r>
          <w:r>
            <w:rPr>
              <w:rFonts w:hint="eastAsia" w:ascii="仿宋" w:hAnsi="仿宋" w:eastAsia="仿宋" w:cs="仿宋"/>
              <w:bCs/>
              <w:color w:val="auto"/>
              <w:sz w:val="28"/>
              <w:szCs w:val="48"/>
              <w:highlight w:val="none"/>
              <w:lang w:val="en-US" w:eastAsia="zh-CN"/>
            </w:rPr>
            <w:fldChar w:fldCharType="end"/>
          </w:r>
        </w:p>
        <w:p w14:paraId="3DFE0D69">
          <w:pPr>
            <w:pStyle w:val="23"/>
            <w:tabs>
              <w:tab w:val="right" w:leader="dot" w:pos="9525"/>
            </w:tabs>
            <w:rPr>
              <w:color w:val="auto"/>
              <w:sz w:val="28"/>
              <w:szCs w:val="28"/>
              <w:highlight w:val="none"/>
            </w:rPr>
          </w:pPr>
          <w:r>
            <w:rPr>
              <w:rFonts w:hint="eastAsia" w:ascii="仿宋" w:hAnsi="仿宋" w:eastAsia="仿宋" w:cs="仿宋"/>
              <w:bCs/>
              <w:color w:val="auto"/>
              <w:sz w:val="28"/>
              <w:szCs w:val="48"/>
              <w:highlight w:val="none"/>
              <w:lang w:val="en-US" w:eastAsia="zh-CN"/>
            </w:rPr>
            <w:fldChar w:fldCharType="begin"/>
          </w:r>
          <w:r>
            <w:rPr>
              <w:rFonts w:hint="eastAsia" w:ascii="仿宋" w:hAnsi="仿宋" w:eastAsia="仿宋" w:cs="仿宋"/>
              <w:bCs/>
              <w:color w:val="auto"/>
              <w:sz w:val="28"/>
              <w:szCs w:val="48"/>
              <w:highlight w:val="none"/>
              <w:lang w:val="en-US" w:eastAsia="zh-CN"/>
            </w:rPr>
            <w:instrText xml:space="preserve"> HYPERLINK \l _Toc3144 </w:instrText>
          </w:r>
          <w:r>
            <w:rPr>
              <w:rFonts w:hint="eastAsia" w:ascii="仿宋" w:hAnsi="仿宋" w:eastAsia="仿宋" w:cs="仿宋"/>
              <w:bCs/>
              <w:color w:val="auto"/>
              <w:sz w:val="28"/>
              <w:szCs w:val="48"/>
              <w:highlight w:val="none"/>
              <w:lang w:val="en-US" w:eastAsia="zh-CN"/>
            </w:rPr>
            <w:fldChar w:fldCharType="separate"/>
          </w:r>
          <w:r>
            <w:rPr>
              <w:rFonts w:hint="eastAsia" w:ascii="仿宋" w:hAnsi="仿宋" w:eastAsia="仿宋" w:cs="仿宋"/>
              <w:bCs/>
              <w:color w:val="auto"/>
              <w:sz w:val="28"/>
              <w:szCs w:val="44"/>
              <w:highlight w:val="none"/>
              <w:lang w:val="en-US" w:eastAsia="zh-CN"/>
            </w:rPr>
            <w:t>第三章、交货及验收</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_Toc3144 \h </w:instrText>
          </w:r>
          <w:r>
            <w:rPr>
              <w:color w:val="auto"/>
              <w:sz w:val="28"/>
              <w:szCs w:val="28"/>
              <w:highlight w:val="none"/>
            </w:rPr>
            <w:fldChar w:fldCharType="separate"/>
          </w:r>
          <w:r>
            <w:rPr>
              <w:color w:val="auto"/>
              <w:sz w:val="28"/>
              <w:szCs w:val="28"/>
              <w:highlight w:val="none"/>
            </w:rPr>
            <w:t>6</w:t>
          </w:r>
          <w:r>
            <w:rPr>
              <w:color w:val="auto"/>
              <w:sz w:val="28"/>
              <w:szCs w:val="28"/>
              <w:highlight w:val="none"/>
            </w:rPr>
            <w:fldChar w:fldCharType="end"/>
          </w:r>
          <w:r>
            <w:rPr>
              <w:rFonts w:hint="eastAsia" w:ascii="仿宋" w:hAnsi="仿宋" w:eastAsia="仿宋" w:cs="仿宋"/>
              <w:bCs/>
              <w:color w:val="auto"/>
              <w:sz w:val="28"/>
              <w:szCs w:val="48"/>
              <w:highlight w:val="none"/>
              <w:lang w:val="en-US" w:eastAsia="zh-CN"/>
            </w:rPr>
            <w:fldChar w:fldCharType="end"/>
          </w:r>
        </w:p>
        <w:p w14:paraId="6B30E0DF">
          <w:pPr>
            <w:pStyle w:val="23"/>
            <w:tabs>
              <w:tab w:val="right" w:leader="dot" w:pos="9525"/>
            </w:tabs>
            <w:rPr>
              <w:color w:val="auto"/>
              <w:sz w:val="28"/>
              <w:szCs w:val="28"/>
              <w:highlight w:val="none"/>
            </w:rPr>
          </w:pPr>
          <w:r>
            <w:rPr>
              <w:rFonts w:hint="eastAsia" w:ascii="仿宋" w:hAnsi="仿宋" w:eastAsia="仿宋" w:cs="仿宋"/>
              <w:bCs/>
              <w:color w:val="auto"/>
              <w:sz w:val="28"/>
              <w:szCs w:val="48"/>
              <w:highlight w:val="none"/>
              <w:lang w:val="en-US" w:eastAsia="zh-CN"/>
            </w:rPr>
            <w:fldChar w:fldCharType="begin"/>
          </w:r>
          <w:r>
            <w:rPr>
              <w:rFonts w:hint="eastAsia" w:ascii="仿宋" w:hAnsi="仿宋" w:eastAsia="仿宋" w:cs="仿宋"/>
              <w:bCs/>
              <w:color w:val="auto"/>
              <w:sz w:val="28"/>
              <w:szCs w:val="48"/>
              <w:highlight w:val="none"/>
              <w:lang w:val="en-US" w:eastAsia="zh-CN"/>
            </w:rPr>
            <w:instrText xml:space="preserve"> HYPERLINK \l _Toc32257 </w:instrText>
          </w:r>
          <w:r>
            <w:rPr>
              <w:rFonts w:hint="eastAsia" w:ascii="仿宋" w:hAnsi="仿宋" w:eastAsia="仿宋" w:cs="仿宋"/>
              <w:bCs/>
              <w:color w:val="auto"/>
              <w:sz w:val="28"/>
              <w:szCs w:val="48"/>
              <w:highlight w:val="none"/>
              <w:lang w:val="en-US" w:eastAsia="zh-CN"/>
            </w:rPr>
            <w:fldChar w:fldCharType="separate"/>
          </w:r>
          <w:r>
            <w:rPr>
              <w:rFonts w:hint="eastAsia" w:ascii="仿宋" w:hAnsi="仿宋" w:eastAsia="仿宋" w:cs="仿宋"/>
              <w:bCs/>
              <w:color w:val="auto"/>
              <w:sz w:val="28"/>
              <w:szCs w:val="44"/>
              <w:highlight w:val="none"/>
              <w:lang w:val="en-US" w:eastAsia="zh-CN"/>
            </w:rPr>
            <w:t>第四章、双方责任、义务</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_Toc32257 \h </w:instrText>
          </w:r>
          <w:r>
            <w:rPr>
              <w:color w:val="auto"/>
              <w:sz w:val="28"/>
              <w:szCs w:val="28"/>
              <w:highlight w:val="none"/>
            </w:rPr>
            <w:fldChar w:fldCharType="separate"/>
          </w:r>
          <w:r>
            <w:rPr>
              <w:color w:val="auto"/>
              <w:sz w:val="28"/>
              <w:szCs w:val="28"/>
              <w:highlight w:val="none"/>
            </w:rPr>
            <w:t>8</w:t>
          </w:r>
          <w:r>
            <w:rPr>
              <w:color w:val="auto"/>
              <w:sz w:val="28"/>
              <w:szCs w:val="28"/>
              <w:highlight w:val="none"/>
            </w:rPr>
            <w:fldChar w:fldCharType="end"/>
          </w:r>
          <w:r>
            <w:rPr>
              <w:rFonts w:hint="eastAsia" w:ascii="仿宋" w:hAnsi="仿宋" w:eastAsia="仿宋" w:cs="仿宋"/>
              <w:bCs/>
              <w:color w:val="auto"/>
              <w:sz w:val="28"/>
              <w:szCs w:val="48"/>
              <w:highlight w:val="none"/>
              <w:lang w:val="en-US" w:eastAsia="zh-CN"/>
            </w:rPr>
            <w:fldChar w:fldCharType="end"/>
          </w:r>
        </w:p>
        <w:p w14:paraId="1E66CBE1">
          <w:pPr>
            <w:pStyle w:val="13"/>
            <w:tabs>
              <w:tab w:val="right" w:leader="dot" w:pos="9525"/>
            </w:tabs>
            <w:rPr>
              <w:b/>
              <w:color w:val="auto"/>
              <w:sz w:val="28"/>
              <w:szCs w:val="28"/>
              <w:highlight w:val="none"/>
            </w:rPr>
          </w:pPr>
          <w:r>
            <w:rPr>
              <w:rFonts w:hint="eastAsia" w:ascii="仿宋" w:hAnsi="仿宋" w:eastAsia="仿宋" w:cs="仿宋"/>
              <w:b/>
              <w:bCs/>
              <w:color w:val="auto"/>
              <w:sz w:val="28"/>
              <w:szCs w:val="48"/>
              <w:highlight w:val="none"/>
              <w:lang w:val="en-US" w:eastAsia="zh-CN"/>
            </w:rPr>
            <w:fldChar w:fldCharType="begin"/>
          </w:r>
          <w:r>
            <w:rPr>
              <w:rFonts w:hint="eastAsia" w:ascii="仿宋" w:hAnsi="仿宋" w:eastAsia="仿宋" w:cs="仿宋"/>
              <w:b/>
              <w:bCs/>
              <w:color w:val="auto"/>
              <w:sz w:val="28"/>
              <w:szCs w:val="48"/>
              <w:highlight w:val="none"/>
              <w:lang w:val="en-US" w:eastAsia="zh-CN"/>
            </w:rPr>
            <w:instrText xml:space="preserve"> HYPERLINK \l _Toc14555 </w:instrText>
          </w:r>
          <w:r>
            <w:rPr>
              <w:rFonts w:hint="eastAsia" w:ascii="仿宋" w:hAnsi="仿宋" w:eastAsia="仿宋" w:cs="仿宋"/>
              <w:b/>
              <w:bCs/>
              <w:color w:val="auto"/>
              <w:sz w:val="28"/>
              <w:szCs w:val="48"/>
              <w:highlight w:val="none"/>
              <w:lang w:val="en-US" w:eastAsia="zh-CN"/>
            </w:rPr>
            <w:fldChar w:fldCharType="separate"/>
          </w:r>
          <w:r>
            <w:rPr>
              <w:rFonts w:hint="eastAsia" w:ascii="仿宋_GB2312" w:hAnsi="仿宋_GB2312" w:eastAsia="仿宋_GB2312" w:cs="仿宋_GB2312"/>
              <w:b/>
              <w:bCs/>
              <w:i w:val="0"/>
              <w:iCs w:val="0"/>
              <w:color w:val="auto"/>
              <w:kern w:val="0"/>
              <w:sz w:val="28"/>
              <w:szCs w:val="48"/>
              <w:highlight w:val="none"/>
              <w:shd w:val="clear" w:fill="auto"/>
              <w:lang w:val="en-US" w:eastAsia="zh-CN" w:bidi="ar-SA"/>
            </w:rPr>
            <w:t xml:space="preserve">第三部分 </w:t>
          </w:r>
          <w:r>
            <w:rPr>
              <w:rFonts w:hint="eastAsia" w:ascii="仿宋_GB2312" w:hAnsi="仿宋_GB2312" w:eastAsia="仿宋_GB2312" w:cs="仿宋_GB2312"/>
              <w:b/>
              <w:bCs/>
              <w:i w:val="0"/>
              <w:iCs w:val="0"/>
              <w:color w:val="auto"/>
              <w:kern w:val="0"/>
              <w:sz w:val="28"/>
              <w:szCs w:val="48"/>
              <w:highlight w:val="none"/>
              <w:shd w:val="clear" w:color="auto" w:fill="auto"/>
              <w:lang w:val="en-US" w:eastAsia="zh-CN"/>
            </w:rPr>
            <w:t>合同通用条款</w:t>
          </w:r>
          <w:r>
            <w:rPr>
              <w:b/>
              <w:color w:val="auto"/>
              <w:sz w:val="28"/>
              <w:szCs w:val="28"/>
              <w:highlight w:val="none"/>
            </w:rPr>
            <w:tab/>
          </w:r>
          <w:r>
            <w:rPr>
              <w:b/>
              <w:color w:val="auto"/>
              <w:sz w:val="28"/>
              <w:szCs w:val="28"/>
              <w:highlight w:val="none"/>
            </w:rPr>
            <w:fldChar w:fldCharType="begin"/>
          </w:r>
          <w:r>
            <w:rPr>
              <w:b/>
              <w:color w:val="auto"/>
              <w:sz w:val="28"/>
              <w:szCs w:val="28"/>
              <w:highlight w:val="none"/>
            </w:rPr>
            <w:instrText xml:space="preserve"> PAGEREF _Toc14555 \h </w:instrText>
          </w:r>
          <w:r>
            <w:rPr>
              <w:b/>
              <w:color w:val="auto"/>
              <w:sz w:val="28"/>
              <w:szCs w:val="28"/>
              <w:highlight w:val="none"/>
            </w:rPr>
            <w:fldChar w:fldCharType="separate"/>
          </w:r>
          <w:r>
            <w:rPr>
              <w:b/>
              <w:color w:val="auto"/>
              <w:sz w:val="28"/>
              <w:szCs w:val="28"/>
              <w:highlight w:val="none"/>
            </w:rPr>
            <w:t>13</w:t>
          </w:r>
          <w:r>
            <w:rPr>
              <w:b/>
              <w:color w:val="auto"/>
              <w:sz w:val="28"/>
              <w:szCs w:val="28"/>
              <w:highlight w:val="none"/>
            </w:rPr>
            <w:fldChar w:fldCharType="end"/>
          </w:r>
          <w:r>
            <w:rPr>
              <w:rFonts w:hint="eastAsia" w:ascii="仿宋" w:hAnsi="仿宋" w:eastAsia="仿宋" w:cs="仿宋"/>
              <w:b/>
              <w:bCs/>
              <w:color w:val="auto"/>
              <w:sz w:val="28"/>
              <w:szCs w:val="48"/>
              <w:highlight w:val="none"/>
              <w:lang w:val="en-US" w:eastAsia="zh-CN"/>
            </w:rPr>
            <w:fldChar w:fldCharType="end"/>
          </w:r>
        </w:p>
        <w:p w14:paraId="27EEF880">
          <w:pPr>
            <w:pStyle w:val="23"/>
            <w:tabs>
              <w:tab w:val="right" w:leader="dot" w:pos="9525"/>
            </w:tabs>
            <w:rPr>
              <w:color w:val="auto"/>
              <w:sz w:val="28"/>
              <w:szCs w:val="28"/>
              <w:highlight w:val="none"/>
            </w:rPr>
          </w:pPr>
          <w:r>
            <w:rPr>
              <w:rFonts w:hint="eastAsia" w:ascii="仿宋" w:hAnsi="仿宋" w:eastAsia="仿宋" w:cs="仿宋"/>
              <w:bCs/>
              <w:color w:val="auto"/>
              <w:sz w:val="28"/>
              <w:szCs w:val="48"/>
              <w:highlight w:val="none"/>
              <w:lang w:val="en-US" w:eastAsia="zh-CN"/>
            </w:rPr>
            <w:fldChar w:fldCharType="begin"/>
          </w:r>
          <w:r>
            <w:rPr>
              <w:rFonts w:hint="eastAsia" w:ascii="仿宋" w:hAnsi="仿宋" w:eastAsia="仿宋" w:cs="仿宋"/>
              <w:bCs/>
              <w:color w:val="auto"/>
              <w:sz w:val="28"/>
              <w:szCs w:val="48"/>
              <w:highlight w:val="none"/>
              <w:lang w:val="en-US" w:eastAsia="zh-CN"/>
            </w:rPr>
            <w:instrText xml:space="preserve"> HYPERLINK \l _Toc20715 </w:instrText>
          </w:r>
          <w:r>
            <w:rPr>
              <w:rFonts w:hint="eastAsia" w:ascii="仿宋" w:hAnsi="仿宋" w:eastAsia="仿宋" w:cs="仿宋"/>
              <w:bCs/>
              <w:color w:val="auto"/>
              <w:sz w:val="28"/>
              <w:szCs w:val="48"/>
              <w:highlight w:val="none"/>
              <w:lang w:val="en-US" w:eastAsia="zh-CN"/>
            </w:rPr>
            <w:fldChar w:fldCharType="separate"/>
          </w:r>
          <w:r>
            <w:rPr>
              <w:rFonts w:hint="eastAsia" w:ascii="仿宋" w:hAnsi="仿宋" w:eastAsia="仿宋" w:cs="仿宋"/>
              <w:bCs/>
              <w:color w:val="auto"/>
              <w:sz w:val="28"/>
              <w:szCs w:val="28"/>
              <w:highlight w:val="none"/>
              <w:lang w:val="en-US" w:eastAsia="zh-CN"/>
            </w:rPr>
            <w:t>第一章、对账及发票要求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_Toc20715 \h </w:instrText>
          </w:r>
          <w:r>
            <w:rPr>
              <w:color w:val="auto"/>
              <w:sz w:val="28"/>
              <w:szCs w:val="28"/>
              <w:highlight w:val="none"/>
            </w:rPr>
            <w:fldChar w:fldCharType="separate"/>
          </w:r>
          <w:r>
            <w:rPr>
              <w:color w:val="auto"/>
              <w:sz w:val="28"/>
              <w:szCs w:val="28"/>
              <w:highlight w:val="none"/>
            </w:rPr>
            <w:t>13</w:t>
          </w:r>
          <w:r>
            <w:rPr>
              <w:color w:val="auto"/>
              <w:sz w:val="28"/>
              <w:szCs w:val="28"/>
              <w:highlight w:val="none"/>
            </w:rPr>
            <w:fldChar w:fldCharType="end"/>
          </w:r>
          <w:r>
            <w:rPr>
              <w:rFonts w:hint="eastAsia" w:ascii="仿宋" w:hAnsi="仿宋" w:eastAsia="仿宋" w:cs="仿宋"/>
              <w:bCs/>
              <w:color w:val="auto"/>
              <w:sz w:val="28"/>
              <w:szCs w:val="48"/>
              <w:highlight w:val="none"/>
              <w:lang w:val="en-US" w:eastAsia="zh-CN"/>
            </w:rPr>
            <w:fldChar w:fldCharType="end"/>
          </w:r>
        </w:p>
        <w:p w14:paraId="7ACF7B5F">
          <w:pPr>
            <w:pStyle w:val="23"/>
            <w:tabs>
              <w:tab w:val="right" w:leader="dot" w:pos="9525"/>
            </w:tabs>
            <w:rPr>
              <w:color w:val="auto"/>
              <w:sz w:val="28"/>
              <w:szCs w:val="28"/>
              <w:highlight w:val="none"/>
            </w:rPr>
          </w:pPr>
          <w:r>
            <w:rPr>
              <w:rFonts w:hint="eastAsia" w:ascii="仿宋" w:hAnsi="仿宋" w:eastAsia="仿宋" w:cs="仿宋"/>
              <w:bCs/>
              <w:color w:val="auto"/>
              <w:sz w:val="28"/>
              <w:szCs w:val="48"/>
              <w:highlight w:val="none"/>
              <w:lang w:val="en-US" w:eastAsia="zh-CN"/>
            </w:rPr>
            <w:fldChar w:fldCharType="begin"/>
          </w:r>
          <w:r>
            <w:rPr>
              <w:rFonts w:hint="eastAsia" w:ascii="仿宋" w:hAnsi="仿宋" w:eastAsia="仿宋" w:cs="仿宋"/>
              <w:bCs/>
              <w:color w:val="auto"/>
              <w:sz w:val="28"/>
              <w:szCs w:val="48"/>
              <w:highlight w:val="none"/>
              <w:lang w:val="en-US" w:eastAsia="zh-CN"/>
            </w:rPr>
            <w:instrText xml:space="preserve"> HYPERLINK \l _Toc1237 </w:instrText>
          </w:r>
          <w:r>
            <w:rPr>
              <w:rFonts w:hint="eastAsia" w:ascii="仿宋" w:hAnsi="仿宋" w:eastAsia="仿宋" w:cs="仿宋"/>
              <w:bCs/>
              <w:color w:val="auto"/>
              <w:sz w:val="28"/>
              <w:szCs w:val="48"/>
              <w:highlight w:val="none"/>
              <w:lang w:val="en-US" w:eastAsia="zh-CN"/>
            </w:rPr>
            <w:fldChar w:fldCharType="separate"/>
          </w:r>
          <w:r>
            <w:rPr>
              <w:rFonts w:hint="eastAsia" w:ascii="仿宋" w:hAnsi="仿宋" w:eastAsia="仿宋" w:cs="仿宋"/>
              <w:bCs/>
              <w:color w:val="auto"/>
              <w:sz w:val="28"/>
              <w:szCs w:val="28"/>
              <w:highlight w:val="none"/>
              <w:lang w:val="en-US" w:eastAsia="zh-CN"/>
            </w:rPr>
            <w:t>第二章、收货、验收流程及标准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_Toc1237 \h </w:instrText>
          </w:r>
          <w:r>
            <w:rPr>
              <w:color w:val="auto"/>
              <w:sz w:val="28"/>
              <w:szCs w:val="28"/>
              <w:highlight w:val="none"/>
            </w:rPr>
            <w:fldChar w:fldCharType="separate"/>
          </w:r>
          <w:r>
            <w:rPr>
              <w:color w:val="auto"/>
              <w:sz w:val="28"/>
              <w:szCs w:val="28"/>
              <w:highlight w:val="none"/>
            </w:rPr>
            <w:t>15</w:t>
          </w:r>
          <w:r>
            <w:rPr>
              <w:color w:val="auto"/>
              <w:sz w:val="28"/>
              <w:szCs w:val="28"/>
              <w:highlight w:val="none"/>
            </w:rPr>
            <w:fldChar w:fldCharType="end"/>
          </w:r>
          <w:r>
            <w:rPr>
              <w:rFonts w:hint="eastAsia" w:ascii="仿宋" w:hAnsi="仿宋" w:eastAsia="仿宋" w:cs="仿宋"/>
              <w:bCs/>
              <w:color w:val="auto"/>
              <w:sz w:val="28"/>
              <w:szCs w:val="48"/>
              <w:highlight w:val="none"/>
              <w:lang w:val="en-US" w:eastAsia="zh-CN"/>
            </w:rPr>
            <w:fldChar w:fldCharType="end"/>
          </w:r>
        </w:p>
        <w:p w14:paraId="48140F57">
          <w:pPr>
            <w:pStyle w:val="23"/>
            <w:tabs>
              <w:tab w:val="right" w:leader="dot" w:pos="9525"/>
            </w:tabs>
            <w:rPr>
              <w:color w:val="auto"/>
              <w:sz w:val="28"/>
              <w:szCs w:val="28"/>
              <w:highlight w:val="none"/>
            </w:rPr>
          </w:pPr>
          <w:r>
            <w:rPr>
              <w:rFonts w:hint="eastAsia" w:ascii="仿宋" w:hAnsi="仿宋" w:eastAsia="仿宋" w:cs="仿宋"/>
              <w:bCs/>
              <w:color w:val="auto"/>
              <w:sz w:val="28"/>
              <w:szCs w:val="48"/>
              <w:highlight w:val="none"/>
              <w:lang w:val="en-US" w:eastAsia="zh-CN"/>
            </w:rPr>
            <w:fldChar w:fldCharType="begin"/>
          </w:r>
          <w:r>
            <w:rPr>
              <w:rFonts w:hint="eastAsia" w:ascii="仿宋" w:hAnsi="仿宋" w:eastAsia="仿宋" w:cs="仿宋"/>
              <w:bCs/>
              <w:color w:val="auto"/>
              <w:sz w:val="28"/>
              <w:szCs w:val="48"/>
              <w:highlight w:val="none"/>
              <w:lang w:val="en-US" w:eastAsia="zh-CN"/>
            </w:rPr>
            <w:instrText xml:space="preserve"> HYPERLINK \l _Toc13048 </w:instrText>
          </w:r>
          <w:r>
            <w:rPr>
              <w:rFonts w:hint="eastAsia" w:ascii="仿宋" w:hAnsi="仿宋" w:eastAsia="仿宋" w:cs="仿宋"/>
              <w:bCs/>
              <w:color w:val="auto"/>
              <w:sz w:val="28"/>
              <w:szCs w:val="48"/>
              <w:highlight w:val="none"/>
              <w:lang w:val="en-US" w:eastAsia="zh-CN"/>
            </w:rPr>
            <w:fldChar w:fldCharType="separate"/>
          </w:r>
          <w:r>
            <w:rPr>
              <w:rFonts w:hint="eastAsia" w:ascii="仿宋" w:hAnsi="仿宋" w:eastAsia="仿宋" w:cs="仿宋"/>
              <w:bCs/>
              <w:color w:val="auto"/>
              <w:sz w:val="28"/>
              <w:szCs w:val="28"/>
              <w:highlight w:val="none"/>
              <w:lang w:val="en-US" w:eastAsia="zh-CN"/>
            </w:rPr>
            <w:t>第三章、保修</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_Toc13048 \h </w:instrText>
          </w:r>
          <w:r>
            <w:rPr>
              <w:color w:val="auto"/>
              <w:sz w:val="28"/>
              <w:szCs w:val="28"/>
              <w:highlight w:val="none"/>
            </w:rPr>
            <w:fldChar w:fldCharType="separate"/>
          </w:r>
          <w:r>
            <w:rPr>
              <w:color w:val="auto"/>
              <w:sz w:val="28"/>
              <w:szCs w:val="28"/>
              <w:highlight w:val="none"/>
            </w:rPr>
            <w:t>18</w:t>
          </w:r>
          <w:r>
            <w:rPr>
              <w:color w:val="auto"/>
              <w:sz w:val="28"/>
              <w:szCs w:val="28"/>
              <w:highlight w:val="none"/>
            </w:rPr>
            <w:fldChar w:fldCharType="end"/>
          </w:r>
          <w:r>
            <w:rPr>
              <w:rFonts w:hint="eastAsia" w:ascii="仿宋" w:hAnsi="仿宋" w:eastAsia="仿宋" w:cs="仿宋"/>
              <w:bCs/>
              <w:color w:val="auto"/>
              <w:sz w:val="28"/>
              <w:szCs w:val="48"/>
              <w:highlight w:val="none"/>
              <w:lang w:val="en-US" w:eastAsia="zh-CN"/>
            </w:rPr>
            <w:fldChar w:fldCharType="end"/>
          </w:r>
        </w:p>
        <w:p w14:paraId="5AD93D9F">
          <w:pPr>
            <w:pStyle w:val="23"/>
            <w:tabs>
              <w:tab w:val="right" w:leader="dot" w:pos="9525"/>
            </w:tabs>
            <w:rPr>
              <w:color w:val="auto"/>
              <w:sz w:val="28"/>
              <w:szCs w:val="28"/>
              <w:highlight w:val="none"/>
            </w:rPr>
          </w:pPr>
          <w:r>
            <w:rPr>
              <w:rFonts w:hint="eastAsia" w:ascii="仿宋" w:hAnsi="仿宋" w:eastAsia="仿宋" w:cs="仿宋"/>
              <w:bCs/>
              <w:color w:val="auto"/>
              <w:sz w:val="28"/>
              <w:szCs w:val="48"/>
              <w:highlight w:val="none"/>
              <w:lang w:val="en-US" w:eastAsia="zh-CN"/>
            </w:rPr>
            <w:fldChar w:fldCharType="begin"/>
          </w:r>
          <w:r>
            <w:rPr>
              <w:rFonts w:hint="eastAsia" w:ascii="仿宋" w:hAnsi="仿宋" w:eastAsia="仿宋" w:cs="仿宋"/>
              <w:bCs/>
              <w:color w:val="auto"/>
              <w:sz w:val="28"/>
              <w:szCs w:val="48"/>
              <w:highlight w:val="none"/>
              <w:lang w:val="en-US" w:eastAsia="zh-CN"/>
            </w:rPr>
            <w:instrText xml:space="preserve"> HYPERLINK \l _Toc20567 </w:instrText>
          </w:r>
          <w:r>
            <w:rPr>
              <w:rFonts w:hint="eastAsia" w:ascii="仿宋" w:hAnsi="仿宋" w:eastAsia="仿宋" w:cs="仿宋"/>
              <w:bCs/>
              <w:color w:val="auto"/>
              <w:sz w:val="28"/>
              <w:szCs w:val="48"/>
              <w:highlight w:val="none"/>
              <w:lang w:val="en-US" w:eastAsia="zh-CN"/>
            </w:rPr>
            <w:fldChar w:fldCharType="separate"/>
          </w:r>
          <w:r>
            <w:rPr>
              <w:rFonts w:hint="eastAsia" w:ascii="仿宋" w:hAnsi="仿宋" w:eastAsia="仿宋" w:cs="仿宋"/>
              <w:bCs/>
              <w:color w:val="auto"/>
              <w:sz w:val="28"/>
              <w:szCs w:val="44"/>
              <w:highlight w:val="none"/>
              <w:lang w:val="en-US" w:eastAsia="zh-CN"/>
            </w:rPr>
            <w:t>第四章、违约责任</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_Toc20567 \h </w:instrText>
          </w:r>
          <w:r>
            <w:rPr>
              <w:color w:val="auto"/>
              <w:sz w:val="28"/>
              <w:szCs w:val="28"/>
              <w:highlight w:val="none"/>
            </w:rPr>
            <w:fldChar w:fldCharType="separate"/>
          </w:r>
          <w:r>
            <w:rPr>
              <w:color w:val="auto"/>
              <w:sz w:val="28"/>
              <w:szCs w:val="28"/>
              <w:highlight w:val="none"/>
            </w:rPr>
            <w:t>19</w:t>
          </w:r>
          <w:r>
            <w:rPr>
              <w:color w:val="auto"/>
              <w:sz w:val="28"/>
              <w:szCs w:val="28"/>
              <w:highlight w:val="none"/>
            </w:rPr>
            <w:fldChar w:fldCharType="end"/>
          </w:r>
          <w:r>
            <w:rPr>
              <w:rFonts w:hint="eastAsia" w:ascii="仿宋" w:hAnsi="仿宋" w:eastAsia="仿宋" w:cs="仿宋"/>
              <w:bCs/>
              <w:color w:val="auto"/>
              <w:sz w:val="28"/>
              <w:szCs w:val="48"/>
              <w:highlight w:val="none"/>
              <w:lang w:val="en-US" w:eastAsia="zh-CN"/>
            </w:rPr>
            <w:fldChar w:fldCharType="end"/>
          </w:r>
        </w:p>
        <w:p w14:paraId="1B7D8A4D">
          <w:pPr>
            <w:pStyle w:val="23"/>
            <w:tabs>
              <w:tab w:val="right" w:leader="dot" w:pos="9525"/>
            </w:tabs>
            <w:rPr>
              <w:color w:val="auto"/>
              <w:sz w:val="28"/>
              <w:szCs w:val="28"/>
              <w:highlight w:val="none"/>
            </w:rPr>
          </w:pPr>
          <w:r>
            <w:rPr>
              <w:rFonts w:hint="eastAsia" w:ascii="仿宋" w:hAnsi="仿宋" w:eastAsia="仿宋" w:cs="仿宋"/>
              <w:bCs/>
              <w:color w:val="auto"/>
              <w:sz w:val="28"/>
              <w:szCs w:val="48"/>
              <w:highlight w:val="none"/>
              <w:lang w:val="en-US" w:eastAsia="zh-CN"/>
            </w:rPr>
            <w:fldChar w:fldCharType="begin"/>
          </w:r>
          <w:r>
            <w:rPr>
              <w:rFonts w:hint="eastAsia" w:ascii="仿宋" w:hAnsi="仿宋" w:eastAsia="仿宋" w:cs="仿宋"/>
              <w:bCs/>
              <w:color w:val="auto"/>
              <w:sz w:val="28"/>
              <w:szCs w:val="48"/>
              <w:highlight w:val="none"/>
              <w:lang w:val="en-US" w:eastAsia="zh-CN"/>
            </w:rPr>
            <w:instrText xml:space="preserve"> HYPERLINK \l _Toc12434 </w:instrText>
          </w:r>
          <w:r>
            <w:rPr>
              <w:rFonts w:hint="eastAsia" w:ascii="仿宋" w:hAnsi="仿宋" w:eastAsia="仿宋" w:cs="仿宋"/>
              <w:bCs/>
              <w:color w:val="auto"/>
              <w:sz w:val="28"/>
              <w:szCs w:val="48"/>
              <w:highlight w:val="none"/>
              <w:lang w:val="en-US" w:eastAsia="zh-CN"/>
            </w:rPr>
            <w:fldChar w:fldCharType="separate"/>
          </w:r>
          <w:r>
            <w:rPr>
              <w:rFonts w:hint="eastAsia" w:ascii="仿宋" w:hAnsi="仿宋" w:eastAsia="仿宋" w:cs="仿宋"/>
              <w:bCs/>
              <w:color w:val="auto"/>
              <w:sz w:val="28"/>
              <w:szCs w:val="44"/>
              <w:highlight w:val="none"/>
              <w:lang w:eastAsia="zh-CN"/>
            </w:rPr>
            <w:t>第</w:t>
          </w:r>
          <w:r>
            <w:rPr>
              <w:rFonts w:hint="eastAsia" w:ascii="仿宋" w:hAnsi="仿宋" w:eastAsia="仿宋" w:cs="仿宋"/>
              <w:bCs/>
              <w:color w:val="auto"/>
              <w:sz w:val="28"/>
              <w:szCs w:val="44"/>
              <w:highlight w:val="none"/>
              <w:lang w:val="en-US" w:eastAsia="zh-CN"/>
            </w:rPr>
            <w:t>五</w:t>
          </w:r>
          <w:r>
            <w:rPr>
              <w:rFonts w:hint="eastAsia" w:ascii="仿宋" w:hAnsi="仿宋" w:eastAsia="仿宋" w:cs="仿宋"/>
              <w:bCs/>
              <w:color w:val="auto"/>
              <w:sz w:val="28"/>
              <w:szCs w:val="44"/>
              <w:highlight w:val="none"/>
              <w:lang w:eastAsia="zh-CN"/>
            </w:rPr>
            <w:t>章、廉洁条款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_Toc12434 \h </w:instrText>
          </w:r>
          <w:r>
            <w:rPr>
              <w:color w:val="auto"/>
              <w:sz w:val="28"/>
              <w:szCs w:val="28"/>
              <w:highlight w:val="none"/>
            </w:rPr>
            <w:fldChar w:fldCharType="separate"/>
          </w:r>
          <w:r>
            <w:rPr>
              <w:color w:val="auto"/>
              <w:sz w:val="28"/>
              <w:szCs w:val="28"/>
              <w:highlight w:val="none"/>
            </w:rPr>
            <w:t>22</w:t>
          </w:r>
          <w:r>
            <w:rPr>
              <w:color w:val="auto"/>
              <w:sz w:val="28"/>
              <w:szCs w:val="28"/>
              <w:highlight w:val="none"/>
            </w:rPr>
            <w:fldChar w:fldCharType="end"/>
          </w:r>
          <w:r>
            <w:rPr>
              <w:rFonts w:hint="eastAsia" w:ascii="仿宋" w:hAnsi="仿宋" w:eastAsia="仿宋" w:cs="仿宋"/>
              <w:bCs/>
              <w:color w:val="auto"/>
              <w:sz w:val="28"/>
              <w:szCs w:val="48"/>
              <w:highlight w:val="none"/>
              <w:lang w:val="en-US" w:eastAsia="zh-CN"/>
            </w:rPr>
            <w:fldChar w:fldCharType="end"/>
          </w:r>
        </w:p>
        <w:p w14:paraId="0042566F">
          <w:pPr>
            <w:pStyle w:val="23"/>
            <w:tabs>
              <w:tab w:val="right" w:leader="dot" w:pos="9525"/>
            </w:tabs>
            <w:rPr>
              <w:color w:val="auto"/>
              <w:sz w:val="28"/>
              <w:szCs w:val="28"/>
              <w:highlight w:val="none"/>
            </w:rPr>
          </w:pPr>
          <w:r>
            <w:rPr>
              <w:rFonts w:hint="eastAsia" w:ascii="仿宋" w:hAnsi="仿宋" w:eastAsia="仿宋" w:cs="仿宋"/>
              <w:bCs/>
              <w:color w:val="auto"/>
              <w:sz w:val="28"/>
              <w:szCs w:val="48"/>
              <w:highlight w:val="none"/>
              <w:lang w:val="en-US" w:eastAsia="zh-CN"/>
            </w:rPr>
            <w:fldChar w:fldCharType="begin"/>
          </w:r>
          <w:r>
            <w:rPr>
              <w:rFonts w:hint="eastAsia" w:ascii="仿宋" w:hAnsi="仿宋" w:eastAsia="仿宋" w:cs="仿宋"/>
              <w:bCs/>
              <w:color w:val="auto"/>
              <w:sz w:val="28"/>
              <w:szCs w:val="48"/>
              <w:highlight w:val="none"/>
              <w:lang w:val="en-US" w:eastAsia="zh-CN"/>
            </w:rPr>
            <w:instrText xml:space="preserve"> HYPERLINK \l _Toc6091 </w:instrText>
          </w:r>
          <w:r>
            <w:rPr>
              <w:rFonts w:hint="eastAsia" w:ascii="仿宋" w:hAnsi="仿宋" w:eastAsia="仿宋" w:cs="仿宋"/>
              <w:bCs/>
              <w:color w:val="auto"/>
              <w:sz w:val="28"/>
              <w:szCs w:val="48"/>
              <w:highlight w:val="none"/>
              <w:lang w:val="en-US" w:eastAsia="zh-CN"/>
            </w:rPr>
            <w:fldChar w:fldCharType="separate"/>
          </w:r>
          <w:r>
            <w:rPr>
              <w:rFonts w:hint="eastAsia" w:ascii="仿宋" w:hAnsi="仿宋" w:eastAsia="仿宋" w:cs="仿宋"/>
              <w:bCs/>
              <w:color w:val="auto"/>
              <w:sz w:val="28"/>
              <w:szCs w:val="44"/>
              <w:highlight w:val="none"/>
              <w:lang w:val="en-US" w:eastAsia="zh-CN"/>
            </w:rPr>
            <w:t>第六章、甲乙双方联系人权限</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_Toc6091 \h </w:instrText>
          </w:r>
          <w:r>
            <w:rPr>
              <w:color w:val="auto"/>
              <w:sz w:val="28"/>
              <w:szCs w:val="28"/>
              <w:highlight w:val="none"/>
            </w:rPr>
            <w:fldChar w:fldCharType="separate"/>
          </w:r>
          <w:r>
            <w:rPr>
              <w:color w:val="auto"/>
              <w:sz w:val="28"/>
              <w:szCs w:val="28"/>
              <w:highlight w:val="none"/>
            </w:rPr>
            <w:t>23</w:t>
          </w:r>
          <w:r>
            <w:rPr>
              <w:color w:val="auto"/>
              <w:sz w:val="28"/>
              <w:szCs w:val="28"/>
              <w:highlight w:val="none"/>
            </w:rPr>
            <w:fldChar w:fldCharType="end"/>
          </w:r>
          <w:r>
            <w:rPr>
              <w:rFonts w:hint="eastAsia" w:ascii="仿宋" w:hAnsi="仿宋" w:eastAsia="仿宋" w:cs="仿宋"/>
              <w:bCs/>
              <w:color w:val="auto"/>
              <w:sz w:val="28"/>
              <w:szCs w:val="48"/>
              <w:highlight w:val="none"/>
              <w:lang w:val="en-US" w:eastAsia="zh-CN"/>
            </w:rPr>
            <w:fldChar w:fldCharType="end"/>
          </w:r>
        </w:p>
        <w:p w14:paraId="36776E59">
          <w:pPr>
            <w:pStyle w:val="23"/>
            <w:tabs>
              <w:tab w:val="right" w:leader="dot" w:pos="9525"/>
            </w:tabs>
            <w:rPr>
              <w:color w:val="auto"/>
              <w:sz w:val="28"/>
              <w:szCs w:val="28"/>
              <w:highlight w:val="none"/>
            </w:rPr>
          </w:pPr>
          <w:r>
            <w:rPr>
              <w:rFonts w:hint="eastAsia" w:ascii="仿宋" w:hAnsi="仿宋" w:eastAsia="仿宋" w:cs="仿宋"/>
              <w:bCs/>
              <w:color w:val="auto"/>
              <w:sz w:val="28"/>
              <w:szCs w:val="48"/>
              <w:highlight w:val="none"/>
              <w:lang w:val="en-US" w:eastAsia="zh-CN"/>
            </w:rPr>
            <w:fldChar w:fldCharType="begin"/>
          </w:r>
          <w:r>
            <w:rPr>
              <w:rFonts w:hint="eastAsia" w:ascii="仿宋" w:hAnsi="仿宋" w:eastAsia="仿宋" w:cs="仿宋"/>
              <w:bCs/>
              <w:color w:val="auto"/>
              <w:sz w:val="28"/>
              <w:szCs w:val="48"/>
              <w:highlight w:val="none"/>
              <w:lang w:val="en-US" w:eastAsia="zh-CN"/>
            </w:rPr>
            <w:instrText xml:space="preserve"> HYPERLINK \l _Toc30612 </w:instrText>
          </w:r>
          <w:r>
            <w:rPr>
              <w:rFonts w:hint="eastAsia" w:ascii="仿宋" w:hAnsi="仿宋" w:eastAsia="仿宋" w:cs="仿宋"/>
              <w:bCs/>
              <w:color w:val="auto"/>
              <w:sz w:val="28"/>
              <w:szCs w:val="48"/>
              <w:highlight w:val="none"/>
              <w:lang w:val="en-US" w:eastAsia="zh-CN"/>
            </w:rPr>
            <w:fldChar w:fldCharType="separate"/>
          </w:r>
          <w:r>
            <w:rPr>
              <w:rFonts w:hint="eastAsia" w:ascii="仿宋" w:hAnsi="仿宋" w:eastAsia="仿宋" w:cs="仿宋"/>
              <w:bCs/>
              <w:color w:val="auto"/>
              <w:sz w:val="28"/>
              <w:szCs w:val="44"/>
              <w:highlight w:val="none"/>
              <w:lang w:val="en-US" w:eastAsia="zh-CN"/>
            </w:rPr>
            <w:t>第七章、其他</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_Toc30612 \h </w:instrText>
          </w:r>
          <w:r>
            <w:rPr>
              <w:color w:val="auto"/>
              <w:sz w:val="28"/>
              <w:szCs w:val="28"/>
              <w:highlight w:val="none"/>
            </w:rPr>
            <w:fldChar w:fldCharType="separate"/>
          </w:r>
          <w:r>
            <w:rPr>
              <w:color w:val="auto"/>
              <w:sz w:val="28"/>
              <w:szCs w:val="28"/>
              <w:highlight w:val="none"/>
            </w:rPr>
            <w:t>24</w:t>
          </w:r>
          <w:r>
            <w:rPr>
              <w:color w:val="auto"/>
              <w:sz w:val="28"/>
              <w:szCs w:val="28"/>
              <w:highlight w:val="none"/>
            </w:rPr>
            <w:fldChar w:fldCharType="end"/>
          </w:r>
          <w:r>
            <w:rPr>
              <w:rFonts w:hint="eastAsia" w:ascii="仿宋" w:hAnsi="仿宋" w:eastAsia="仿宋" w:cs="仿宋"/>
              <w:bCs/>
              <w:color w:val="auto"/>
              <w:sz w:val="28"/>
              <w:szCs w:val="48"/>
              <w:highlight w:val="none"/>
              <w:lang w:val="en-US" w:eastAsia="zh-CN"/>
            </w:rPr>
            <w:fldChar w:fldCharType="end"/>
          </w:r>
        </w:p>
        <w:p w14:paraId="74436393">
          <w:pPr>
            <w:pStyle w:val="13"/>
            <w:tabs>
              <w:tab w:val="right" w:leader="dot" w:pos="9525"/>
            </w:tabs>
            <w:rPr>
              <w:b/>
              <w:color w:val="auto"/>
              <w:highlight w:val="none"/>
            </w:rPr>
          </w:pPr>
        </w:p>
        <w:p w14:paraId="406B0C4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kern w:val="2"/>
              <w:sz w:val="21"/>
              <w:szCs w:val="32"/>
              <w:highlight w:val="none"/>
              <w:lang w:val="en-US" w:eastAsia="zh-CN" w:bidi="ar-SA"/>
            </w:rPr>
          </w:pPr>
          <w:r>
            <w:rPr>
              <w:rFonts w:hint="eastAsia" w:ascii="仿宋" w:hAnsi="仿宋" w:eastAsia="仿宋" w:cs="仿宋"/>
              <w:b/>
              <w:bCs/>
              <w:color w:val="auto"/>
              <w:szCs w:val="32"/>
              <w:highlight w:val="none"/>
              <w:lang w:val="en-US" w:eastAsia="zh-CN"/>
            </w:rPr>
            <w:fldChar w:fldCharType="end"/>
          </w:r>
        </w:p>
      </w:sdtContent>
    </w:sdt>
    <w:p w14:paraId="6599EC4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color w:val="auto"/>
          <w:kern w:val="2"/>
          <w:sz w:val="21"/>
          <w:szCs w:val="32"/>
          <w:highlight w:val="none"/>
          <w:lang w:val="en-US" w:eastAsia="zh-CN" w:bidi="ar-SA"/>
        </w:rPr>
      </w:pPr>
    </w:p>
    <w:p w14:paraId="0CB7BC42">
      <w:pPr>
        <w:keepNext w:val="0"/>
        <w:keepLines w:val="0"/>
        <w:pageBreakBefore w:val="0"/>
        <w:kinsoku/>
        <w:wordWrap/>
        <w:overflowPunct/>
        <w:topLinePunct w:val="0"/>
        <w:autoSpaceDE/>
        <w:autoSpaceDN/>
        <w:bidi w:val="0"/>
        <w:adjustRightInd/>
        <w:snapToGrid/>
        <w:spacing w:line="240" w:lineRule="auto"/>
        <w:jc w:val="both"/>
        <w:textAlignment w:val="auto"/>
        <w:outlineLvl w:val="0"/>
        <w:rPr>
          <w:rFonts w:hint="eastAsia" w:ascii="仿宋" w:hAnsi="仿宋" w:eastAsia="仿宋" w:cs="仿宋"/>
          <w:b/>
          <w:bCs/>
          <w:color w:val="auto"/>
          <w:sz w:val="32"/>
          <w:szCs w:val="32"/>
          <w:highlight w:val="none"/>
          <w:lang w:val="en-US" w:eastAsia="zh-CN"/>
        </w:rPr>
      </w:pPr>
      <w:bookmarkStart w:id="28" w:name="_Toc23236"/>
    </w:p>
    <w:p w14:paraId="6A1DE66D">
      <w:pPr>
        <w:keepNext w:val="0"/>
        <w:keepLines w:val="0"/>
        <w:pageBreakBefore w:val="0"/>
        <w:kinsoku/>
        <w:wordWrap/>
        <w:overflowPunct/>
        <w:topLinePunct w:val="0"/>
        <w:autoSpaceDE/>
        <w:autoSpaceDN/>
        <w:bidi w:val="0"/>
        <w:adjustRightInd/>
        <w:snapToGrid/>
        <w:spacing w:line="240" w:lineRule="auto"/>
        <w:jc w:val="both"/>
        <w:textAlignment w:val="auto"/>
        <w:outlineLvl w:val="0"/>
        <w:rPr>
          <w:rFonts w:hint="eastAsia" w:ascii="仿宋" w:hAnsi="仿宋" w:eastAsia="仿宋" w:cs="仿宋"/>
          <w:b/>
          <w:bCs/>
          <w:color w:val="auto"/>
          <w:sz w:val="32"/>
          <w:szCs w:val="32"/>
          <w:highlight w:val="none"/>
          <w:lang w:val="en-US" w:eastAsia="zh-CN"/>
        </w:rPr>
      </w:pPr>
    </w:p>
    <w:p w14:paraId="786CEE14">
      <w:pPr>
        <w:keepNext w:val="0"/>
        <w:keepLines w:val="0"/>
        <w:pageBreakBefore w:val="0"/>
        <w:kinsoku/>
        <w:wordWrap/>
        <w:overflowPunct/>
        <w:topLinePunct w:val="0"/>
        <w:autoSpaceDE/>
        <w:autoSpaceDN/>
        <w:bidi w:val="0"/>
        <w:adjustRightInd/>
        <w:snapToGrid/>
        <w:spacing w:line="240" w:lineRule="auto"/>
        <w:jc w:val="both"/>
        <w:textAlignment w:val="auto"/>
        <w:outlineLvl w:val="0"/>
        <w:rPr>
          <w:rFonts w:hint="eastAsia" w:ascii="仿宋" w:hAnsi="仿宋" w:eastAsia="仿宋" w:cs="仿宋"/>
          <w:b/>
          <w:bCs/>
          <w:color w:val="auto"/>
          <w:sz w:val="32"/>
          <w:szCs w:val="32"/>
          <w:highlight w:val="none"/>
          <w:lang w:val="en-US" w:eastAsia="zh-CN"/>
        </w:rPr>
      </w:pPr>
    </w:p>
    <w:p w14:paraId="000C35AE">
      <w:pPr>
        <w:keepNext w:val="0"/>
        <w:keepLines w:val="0"/>
        <w:pageBreakBefore w:val="0"/>
        <w:kinsoku/>
        <w:wordWrap/>
        <w:overflowPunct/>
        <w:topLinePunct w:val="0"/>
        <w:autoSpaceDE/>
        <w:autoSpaceDN/>
        <w:bidi w:val="0"/>
        <w:adjustRightInd/>
        <w:snapToGrid/>
        <w:spacing w:line="240" w:lineRule="auto"/>
        <w:jc w:val="center"/>
        <w:textAlignment w:val="auto"/>
        <w:outlineLvl w:val="0"/>
        <w:rPr>
          <w:rFonts w:hint="eastAsia" w:ascii="仿宋" w:hAnsi="仿宋" w:eastAsia="仿宋" w:cs="仿宋"/>
          <w:b/>
          <w:bCs/>
          <w:color w:val="auto"/>
          <w:sz w:val="32"/>
          <w:szCs w:val="32"/>
          <w:highlight w:val="none"/>
          <w:lang w:val="en-US" w:eastAsia="zh-CN"/>
        </w:rPr>
        <w:sectPr>
          <w:footerReference r:id="rId5" w:type="default"/>
          <w:pgSz w:w="11906" w:h="16838"/>
          <w:pgMar w:top="964" w:right="1134" w:bottom="964" w:left="1134" w:header="737" w:footer="624" w:gutter="0"/>
          <w:pgBorders>
            <w:top w:val="none" w:sz="0" w:space="0"/>
            <w:left w:val="none" w:sz="0" w:space="0"/>
            <w:bottom w:val="none" w:sz="0" w:space="0"/>
            <w:right w:val="none" w:sz="0" w:space="0"/>
          </w:pgBorders>
          <w:pgNumType w:fmt="decimal" w:start="1"/>
          <w:cols w:space="720" w:num="1"/>
          <w:rtlGutter w:val="0"/>
          <w:docGrid w:type="lines" w:linePitch="312" w:charSpace="0"/>
        </w:sectPr>
      </w:pPr>
    </w:p>
    <w:p w14:paraId="1491C560">
      <w:pPr>
        <w:keepNext w:val="0"/>
        <w:keepLines w:val="0"/>
        <w:pageBreakBefore w:val="0"/>
        <w:kinsoku/>
        <w:wordWrap/>
        <w:overflowPunct/>
        <w:topLinePunct w:val="0"/>
        <w:autoSpaceDE/>
        <w:autoSpaceDN/>
        <w:bidi w:val="0"/>
        <w:adjustRightInd/>
        <w:snapToGrid/>
        <w:spacing w:line="240" w:lineRule="auto"/>
        <w:jc w:val="center"/>
        <w:textAlignment w:val="auto"/>
        <w:outlineLvl w:val="0"/>
        <w:rPr>
          <w:rFonts w:hint="default"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第一部分 协议书</w:t>
      </w:r>
      <w:bookmarkEnd w:id="28"/>
    </w:p>
    <w:p w14:paraId="2CE68785">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依据《中华人民共和国民法典》《中华人民共和国产品质量法》及其他有关法律法规，乙方确认并承诺满足项目所在地住建主管部门资质和要求的情况下，甲乙双方在平等、自愿、公平和诚实信用的基础上，就拟用于</w:t>
      </w:r>
      <w:r>
        <w:rPr>
          <w:rFonts w:hint="eastAsia" w:ascii="仿宋" w:hAnsi="仿宋" w:eastAsia="仿宋" w:cs="仿宋"/>
          <w:color w:val="auto"/>
          <w:sz w:val="28"/>
          <w:szCs w:val="28"/>
          <w:highlight w:val="none"/>
          <w:u w:val="single"/>
          <w:lang w:val="en-US" w:eastAsia="zh-CN"/>
        </w:rPr>
        <w:t>常平环保专业基地项目</w:t>
      </w:r>
      <w:r>
        <w:rPr>
          <w:rFonts w:hint="eastAsia" w:ascii="仿宋" w:hAnsi="仿宋" w:eastAsia="仿宋" w:cs="仿宋"/>
          <w:color w:val="auto"/>
          <w:sz w:val="28"/>
          <w:szCs w:val="28"/>
          <w:highlight w:val="none"/>
          <w:lang w:val="en-US" w:eastAsia="zh-CN"/>
        </w:rPr>
        <w:t>（以下简称“本项目”）的</w:t>
      </w:r>
      <w:r>
        <w:rPr>
          <w:rFonts w:hint="eastAsia" w:ascii="仿宋" w:hAnsi="仿宋" w:eastAsia="仿宋" w:cs="仿宋"/>
          <w:color w:val="auto"/>
          <w:sz w:val="28"/>
          <w:szCs w:val="28"/>
          <w:highlight w:val="none"/>
          <w:u w:val="single"/>
          <w:lang w:val="en-US" w:eastAsia="zh-CN"/>
        </w:rPr>
        <w:t>预拌混凝土和预拌砂浆</w:t>
      </w:r>
      <w:r>
        <w:rPr>
          <w:rFonts w:hint="eastAsia" w:ascii="仿宋" w:hAnsi="仿宋" w:eastAsia="仿宋" w:cs="仿宋"/>
          <w:color w:val="auto"/>
          <w:sz w:val="28"/>
          <w:szCs w:val="28"/>
          <w:highlight w:val="none"/>
          <w:lang w:val="en-US" w:eastAsia="zh-CN"/>
        </w:rPr>
        <w:t>（以下简称“产品”）购销事宜协商一致，特签订本合同。（本合同范围内，对以</w:t>
      </w:r>
      <w:r>
        <w:rPr>
          <w:rFonts w:hint="eastAsia" w:ascii="仿宋" w:hAnsi="仿宋" w:eastAsia="仿宋" w:cs="仿宋"/>
          <w:color w:val="auto"/>
          <w:sz w:val="28"/>
          <w:szCs w:val="28"/>
          <w:highlight w:val="none"/>
          <w:lang w:val="en-US" w:eastAsia="zh-CN"/>
        </w:rPr>
        <w:sym w:font="Wingdings" w:char="00A8"/>
      </w:r>
      <w:r>
        <w:rPr>
          <w:rFonts w:hint="eastAsia" w:ascii="仿宋" w:hAnsi="仿宋" w:eastAsia="仿宋" w:cs="仿宋"/>
          <w:color w:val="auto"/>
          <w:sz w:val="28"/>
          <w:szCs w:val="28"/>
          <w:highlight w:val="none"/>
          <w:lang w:val="en-US" w:eastAsia="zh-CN"/>
        </w:rPr>
        <w:t>或</w:t>
      </w:r>
      <w:r>
        <w:rPr>
          <w:rFonts w:hint="eastAsia" w:ascii="仿宋" w:hAnsi="仿宋" w:eastAsia="仿宋" w:cs="仿宋"/>
          <w:color w:val="auto"/>
          <w:sz w:val="28"/>
          <w:szCs w:val="28"/>
          <w:highlight w:val="none"/>
          <w:lang w:val="en-US" w:eastAsia="zh-CN"/>
        </w:rPr>
        <w:sym w:font="Wingdings" w:char="00FE"/>
      </w:r>
      <w:r>
        <w:rPr>
          <w:rFonts w:hint="eastAsia" w:ascii="仿宋" w:hAnsi="仿宋" w:eastAsia="仿宋" w:cs="仿宋"/>
          <w:color w:val="auto"/>
          <w:sz w:val="28"/>
          <w:szCs w:val="28"/>
          <w:highlight w:val="none"/>
          <w:lang w:val="en-US" w:eastAsia="zh-CN"/>
        </w:rPr>
        <w:t>开头的内容，以</w:t>
      </w:r>
      <w:r>
        <w:rPr>
          <w:rFonts w:hint="eastAsia" w:ascii="仿宋" w:hAnsi="仿宋" w:eastAsia="仿宋" w:cs="仿宋"/>
          <w:color w:val="auto"/>
          <w:sz w:val="28"/>
          <w:szCs w:val="28"/>
          <w:highlight w:val="none"/>
          <w:lang w:val="en-US" w:eastAsia="zh-CN"/>
        </w:rPr>
        <w:sym w:font="Wingdings" w:char="00FE"/>
      </w:r>
      <w:r>
        <w:rPr>
          <w:rFonts w:hint="eastAsia" w:ascii="仿宋" w:hAnsi="仿宋" w:eastAsia="仿宋" w:cs="仿宋"/>
          <w:color w:val="auto"/>
          <w:sz w:val="28"/>
          <w:szCs w:val="28"/>
          <w:highlight w:val="none"/>
          <w:lang w:val="en-US" w:eastAsia="zh-CN"/>
        </w:rPr>
        <w:t>开头的内容为准。）</w:t>
      </w:r>
      <w:r>
        <w:rPr>
          <w:rFonts w:hint="eastAsia" w:ascii="仿宋" w:hAnsi="仿宋" w:eastAsia="仿宋" w:cs="仿宋"/>
          <w:color w:val="auto"/>
          <w:sz w:val="28"/>
          <w:szCs w:val="28"/>
          <w:highlight w:val="none"/>
          <w:lang w:val="en-US" w:eastAsia="zh-CN"/>
        </w:rPr>
        <w:tab/>
      </w:r>
    </w:p>
    <w:p w14:paraId="4710B667">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仿宋" w:hAnsi="仿宋" w:eastAsia="仿宋" w:cs="仿宋"/>
          <w:b/>
          <w:bCs/>
          <w:color w:val="auto"/>
          <w:sz w:val="28"/>
          <w:szCs w:val="28"/>
          <w:highlight w:val="none"/>
          <w:lang w:val="en-US" w:eastAsia="zh-CN"/>
        </w:rPr>
      </w:pPr>
      <w:bookmarkStart w:id="29" w:name="_Toc24459"/>
      <w:bookmarkStart w:id="30" w:name="_Toc29857"/>
      <w:bookmarkStart w:id="31" w:name="_Toc20142"/>
      <w:bookmarkStart w:id="32" w:name="_Toc21761"/>
      <w:bookmarkStart w:id="33" w:name="_Toc29161"/>
      <w:bookmarkStart w:id="34" w:name="_Toc30413"/>
      <w:bookmarkStart w:id="35" w:name="_Toc5311"/>
      <w:bookmarkStart w:id="36" w:name="_Toc26009"/>
      <w:bookmarkStart w:id="37" w:name="_Toc30517"/>
      <w:r>
        <w:rPr>
          <w:rFonts w:hint="eastAsia" w:ascii="仿宋" w:hAnsi="仿宋" w:eastAsia="仿宋" w:cs="仿宋"/>
          <w:b/>
          <w:bCs/>
          <w:color w:val="auto"/>
          <w:sz w:val="28"/>
          <w:szCs w:val="28"/>
          <w:highlight w:val="none"/>
          <w:lang w:val="en-US" w:eastAsia="zh-CN"/>
        </w:rPr>
        <w:t>第一章、产品内容及合同价款</w:t>
      </w:r>
      <w:bookmarkEnd w:id="29"/>
      <w:bookmarkEnd w:id="30"/>
      <w:bookmarkEnd w:id="31"/>
      <w:bookmarkEnd w:id="32"/>
      <w:bookmarkEnd w:id="33"/>
      <w:bookmarkEnd w:id="34"/>
      <w:r>
        <w:rPr>
          <w:rFonts w:hint="eastAsia" w:ascii="仿宋" w:hAnsi="仿宋" w:eastAsia="仿宋" w:cs="仿宋"/>
          <w:b/>
          <w:bCs/>
          <w:color w:val="auto"/>
          <w:sz w:val="28"/>
          <w:szCs w:val="28"/>
          <w:highlight w:val="none"/>
          <w:lang w:val="en-US" w:eastAsia="zh-CN"/>
        </w:rPr>
        <w:tab/>
      </w:r>
      <w:bookmarkEnd w:id="35"/>
      <w:bookmarkEnd w:id="36"/>
      <w:bookmarkEnd w:id="37"/>
      <w:bookmarkStart w:id="38" w:name="_Toc7579"/>
      <w:bookmarkStart w:id="39" w:name="_Toc2086"/>
    </w:p>
    <w:p w14:paraId="440F659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1.1本合同为固定单价合同，合同单价详见附件《报价清单》，本合同暂定总价为人民币</w:t>
      </w:r>
      <w:r>
        <w:rPr>
          <w:rFonts w:hint="eastAsia" w:ascii="仿宋" w:hAnsi="仿宋" w:eastAsia="仿宋" w:cs="仿宋"/>
          <w:color w:val="auto"/>
          <w:sz w:val="28"/>
          <w:highlight w:val="none"/>
          <w:u w:val="single"/>
          <w:lang w:val="en-US" w:eastAsia="zh-CN"/>
        </w:rPr>
        <w:t xml:space="preserve">        </w:t>
      </w:r>
      <w:r>
        <w:rPr>
          <w:rFonts w:hint="eastAsia" w:ascii="仿宋" w:hAnsi="仿宋" w:eastAsia="仿宋" w:cs="仿宋"/>
          <w:color w:val="auto"/>
          <w:sz w:val="28"/>
          <w:highlight w:val="none"/>
          <w:lang w:val="en-US" w:eastAsia="zh-CN"/>
        </w:rPr>
        <w:t>元，合同暂定总价仅供参考，不作结算用途。乙方开具税率</w:t>
      </w:r>
      <w:r>
        <w:rPr>
          <w:rFonts w:hint="eastAsia" w:ascii="仿宋" w:hAnsi="仿宋" w:eastAsia="仿宋" w:cs="仿宋"/>
          <w:color w:val="auto"/>
          <w:sz w:val="28"/>
          <w:highlight w:val="none"/>
          <w:u w:val="single"/>
          <w:lang w:val="en-US" w:eastAsia="zh-CN"/>
        </w:rPr>
        <w:t xml:space="preserve">    %</w:t>
      </w:r>
      <w:r>
        <w:rPr>
          <w:rFonts w:hint="eastAsia" w:ascii="仿宋" w:hAnsi="仿宋" w:eastAsia="仿宋" w:cs="仿宋"/>
          <w:color w:val="auto"/>
          <w:sz w:val="28"/>
          <w:highlight w:val="none"/>
          <w:lang w:val="en-US" w:eastAsia="zh-CN"/>
        </w:rPr>
        <w:t>的增值税专用发票，税率按国家政策执行，如税率调整，合同单价随之调整。除合同另有约定外，合同单价不作任何调整。</w:t>
      </w:r>
    </w:p>
    <w:p w14:paraId="161E942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1.2合同单价含材料原价、材料运杂费、运输费、损耗费、采购保管费等运至施工现场的各项费用和人工费，也包含税金、提供检验检测所需材料费（数量按当地送检取样要求)、检验检测费(材料移交甲方前的所有检验检测费用，检验检测结果须符合工程所在地政府主管部门要求)、装卸费、风险费、保险费、利润、管理费、税金等承担合同义务、责任、风险所涉及的全部费用。</w:t>
      </w:r>
    </w:p>
    <w:p w14:paraId="43D6DC7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1.3本合同单价均不包含泵车费，如需泵送机械，双方另行协商租赁。</w:t>
      </w:r>
    </w:p>
    <w:p w14:paraId="6E79969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1.4乙方的送货数量、品牌、规格由甲方决定，乙方无条件配合，否则甲方有权单方取消该批订单或解除本合同且不违约。乙方每次送货时须在送货单上注明该批产品的品牌、规格、数量，否则甲方有权自行决定该批产品的结算价格。产品购销数量按甲方实际接收并验收合格的产品数量结算。乙方必须按甲方要求现场办理签收单确认收货入库数量的签字手续，乙方逾期办理的视同乙方违约，按违约条款处理。</w:t>
      </w:r>
    </w:p>
    <w:p w14:paraId="72F1BCF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1.5本项目合同价格在本合同生效直至本项目全部工程在政府住建主管部门竣工备案完成为止，乙方不得上调合同单价。</w:t>
      </w:r>
    </w:p>
    <w:p w14:paraId="28E8311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highlight w:val="none"/>
          <w:lang w:val="en-US" w:eastAsia="zh-CN"/>
        </w:rPr>
        <w:t>1.6乙方供货范围由甲方指定，乙方须无条件服从，否则视为乙方违约且甲方有权单方解除合同并安排其他单位供货。</w:t>
      </w:r>
    </w:p>
    <w:p w14:paraId="11632E20">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1"/>
        <w:rPr>
          <w:rFonts w:hint="eastAsia" w:ascii="仿宋" w:hAnsi="仿宋" w:eastAsia="仿宋" w:cs="仿宋"/>
          <w:b/>
          <w:bCs/>
          <w:color w:val="auto"/>
          <w:sz w:val="28"/>
          <w:szCs w:val="28"/>
          <w:highlight w:val="none"/>
          <w:u w:val="none"/>
          <w:lang w:val="en-US" w:eastAsia="zh-CN"/>
        </w:rPr>
      </w:pPr>
      <w:bookmarkStart w:id="40" w:name="_Toc13685"/>
      <w:bookmarkStart w:id="41" w:name="_Toc12182"/>
      <w:bookmarkStart w:id="42" w:name="_Toc6223"/>
      <w:bookmarkStart w:id="43" w:name="_Toc2954"/>
      <w:r>
        <w:rPr>
          <w:rFonts w:hint="eastAsia" w:ascii="仿宋" w:hAnsi="仿宋" w:eastAsia="仿宋" w:cs="仿宋"/>
          <w:b/>
          <w:bCs/>
          <w:color w:val="auto"/>
          <w:sz w:val="28"/>
          <w:szCs w:val="28"/>
          <w:highlight w:val="none"/>
          <w:u w:val="none"/>
          <w:lang w:val="en-US" w:eastAsia="zh-CN"/>
        </w:rPr>
        <w:t>第二章、付款方式</w:t>
      </w:r>
      <w:bookmarkEnd w:id="40"/>
      <w:bookmarkEnd w:id="41"/>
      <w:bookmarkEnd w:id="42"/>
      <w:bookmarkEnd w:id="43"/>
    </w:p>
    <w:p w14:paraId="602E5DD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☑办法一</w:t>
      </w:r>
    </w:p>
    <w:p w14:paraId="52B2A53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2.1每月货款在该月起的第五个月底前付清（即五月份付一月份的货款，六月份付二月份的货款，依此类推）。乙方按合同约定的时间交齐当月对账资料且与甲方完成对账的，甲方则按合同约定时限完成付款，若乙方逾期交齐对账资料或完成对账，甲方付款时间则按完成对账月对应的付款节点支付。甲乙双方须每月对账并确认对账结果，对账结果须经甲方项目成本管理员签认。</w:t>
      </w:r>
    </w:p>
    <w:p w14:paraId="6060DFA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b w:val="0"/>
          <w:bCs w:val="0"/>
          <w:color w:val="auto"/>
          <w:sz w:val="28"/>
          <w:szCs w:val="28"/>
          <w:highlight w:val="none"/>
          <w:u w:val="none"/>
          <w:lang w:val="en-US" w:eastAsia="zh-CN"/>
        </w:rPr>
        <w:t>□办法二</w:t>
      </w:r>
    </w:p>
    <w:p w14:paraId="3DE3080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2.1</w:t>
      </w:r>
      <w:r>
        <w:rPr>
          <w:rFonts w:hint="eastAsia" w:ascii="仿宋" w:hAnsi="仿宋" w:eastAsia="仿宋" w:cs="仿宋"/>
          <w:color w:val="auto"/>
          <w:sz w:val="28"/>
          <w:highlight w:val="none"/>
          <w:u w:val="single"/>
          <w:lang w:val="en-US" w:eastAsia="zh-CN"/>
        </w:rPr>
        <w:t xml:space="preserve"> （根据与乙方议定的实际情况填写） 。</w:t>
      </w:r>
    </w:p>
    <w:p w14:paraId="2CFCA88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highlight w:val="none"/>
          <w:lang w:val="en-US" w:eastAsia="zh-CN"/>
        </w:rPr>
        <w:t>2.2付款形式：优先使用网银、银行承兑汇票等，支票、电汇视情况而定。甲方选择其中任</w:t>
      </w:r>
      <w:r>
        <w:rPr>
          <w:rFonts w:hint="eastAsia" w:ascii="仿宋" w:hAnsi="仿宋" w:eastAsia="仿宋" w:cs="仿宋"/>
          <w:color w:val="auto"/>
          <w:sz w:val="28"/>
          <w:szCs w:val="28"/>
          <w:highlight w:val="none"/>
          <w:lang w:val="en-US" w:eastAsia="zh-CN"/>
        </w:rPr>
        <w:t>意一种支付形式给乙方合同款，均视为乙方收到该货款。乙方可以接收银行承兑汇票的百分比为100%。</w:t>
      </w:r>
    </w:p>
    <w:p w14:paraId="611AE59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2.3对账日期：乙方在每月25日前一次性提交上月25日至本月24日供货的对账资料至甲方项目部，并在同月28日前（遇节假日则顺延）与甲方完成对账，同月31日（如同月无31日，以同月30日为准）前开具发票。如乙方逾期交齐对账资料，则对账日期顺延至次月的25日至28日，次月乙方对账的同时须提供“延迟付款声明函”（格式详见附件），依此类推。例：乙方在5月25日前交齐4月25日至5月24日货款的对账资料给甲方项目部并在5月28日完成对账，且在5月31日前甲方收到开票金额与对账金额一致的发票后，则甲方在9月30日前支付4月25日至5月24日货款。若乙方5月26日（或更迟）交齐4月25日至5月24日货款的对账资料给甲方，则4月25日至5月24日货款的对账时间顺延至6月25日至28日，付款顺延至10月31日前。）</w:t>
      </w:r>
    </w:p>
    <w:p w14:paraId="6140EFE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color w:val="auto"/>
          <w:sz w:val="28"/>
          <w:highlight w:val="none"/>
          <w:lang w:val="en-US" w:eastAsia="zh-CN"/>
        </w:rPr>
        <w:t>2.4合同履</w:t>
      </w:r>
      <w:r>
        <w:rPr>
          <w:rFonts w:hint="eastAsia" w:ascii="仿宋" w:hAnsi="仿宋" w:eastAsia="仿宋" w:cs="仿宋"/>
          <w:b w:val="0"/>
          <w:bCs w:val="0"/>
          <w:color w:val="auto"/>
          <w:sz w:val="28"/>
          <w:szCs w:val="28"/>
          <w:highlight w:val="none"/>
          <w:u w:val="none"/>
          <w:lang w:val="en-US" w:eastAsia="zh-CN"/>
        </w:rPr>
        <w:t>约保证金为人民币</w:t>
      </w:r>
      <w:r>
        <w:rPr>
          <w:rFonts w:hint="eastAsia" w:ascii="仿宋" w:hAnsi="仿宋" w:eastAsia="仿宋" w:cs="仿宋"/>
          <w:b/>
          <w:bCs/>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u w:val="single"/>
          <w:lang w:val="en-US" w:eastAsia="zh-CN"/>
        </w:rPr>
        <w:t>贰万</w:t>
      </w:r>
      <w:r>
        <w:rPr>
          <w:rFonts w:hint="eastAsia" w:ascii="仿宋" w:hAnsi="仿宋" w:eastAsia="仿宋" w:cs="仿宋"/>
          <w:b/>
          <w:bCs/>
          <w:color w:val="auto"/>
          <w:sz w:val="28"/>
          <w:szCs w:val="28"/>
          <w:highlight w:val="none"/>
          <w:u w:val="single"/>
          <w:lang w:val="en-US" w:eastAsia="zh-CN"/>
        </w:rPr>
        <w:t xml:space="preserve"> </w:t>
      </w:r>
      <w:r>
        <w:rPr>
          <w:rFonts w:hint="eastAsia" w:ascii="仿宋" w:hAnsi="仿宋" w:eastAsia="仿宋" w:cs="仿宋"/>
          <w:b w:val="0"/>
          <w:bCs w:val="0"/>
          <w:color w:val="auto"/>
          <w:sz w:val="28"/>
          <w:szCs w:val="28"/>
          <w:highlight w:val="none"/>
          <w:u w:val="none"/>
          <w:lang w:val="en-US" w:eastAsia="zh-CN"/>
        </w:rPr>
        <w:t xml:space="preserve">元整（由乙方的投标保证金无息转成）。如乙方在合同有效期内发生违约事宜，甲方可从履约保证金内提取相应款项作为违约金（若履约保证金不足，乙方须自甲方要求之日起十天内向甲方补足）。如乙方原因致使合同无法履行，履约保证金全额不予返还，乙方承担违约责任并赔偿甲方的损失。如乙方在合同履行期间无违约行为，则甲方在支付本合同的第一笔合同款时一并无息原路退回剩余的履约保证金。  </w:t>
      </w:r>
    </w:p>
    <w:p w14:paraId="3B151EAD">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textAlignment w:val="auto"/>
        <w:outlineLvl w:val="1"/>
        <w:rPr>
          <w:rFonts w:hint="default" w:ascii="仿宋" w:hAnsi="仿宋" w:eastAsia="仿宋" w:cs="仿宋"/>
          <w:b/>
          <w:bCs/>
          <w:color w:val="auto"/>
          <w:sz w:val="28"/>
          <w:szCs w:val="28"/>
          <w:highlight w:val="none"/>
          <w:u w:val="none"/>
          <w:lang w:val="en-US" w:eastAsia="zh-CN"/>
        </w:rPr>
      </w:pPr>
      <w:bookmarkStart w:id="44" w:name="_Toc22304"/>
      <w:bookmarkStart w:id="45" w:name="_Toc7339"/>
      <w:bookmarkStart w:id="46" w:name="_Toc9514"/>
      <w:r>
        <w:rPr>
          <w:rFonts w:hint="eastAsia" w:ascii="仿宋" w:hAnsi="仿宋" w:eastAsia="仿宋" w:cs="仿宋"/>
          <w:b/>
          <w:bCs/>
          <w:color w:val="auto"/>
          <w:sz w:val="28"/>
          <w:szCs w:val="28"/>
          <w:highlight w:val="none"/>
          <w:u w:val="none"/>
          <w:lang w:val="en-US" w:eastAsia="zh-CN"/>
        </w:rPr>
        <w:t>交货</w:t>
      </w:r>
      <w:bookmarkEnd w:id="44"/>
      <w:bookmarkEnd w:id="45"/>
      <w:bookmarkEnd w:id="46"/>
    </w:p>
    <w:p w14:paraId="71D1FFF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bookmarkStart w:id="47" w:name="_Toc14225"/>
      <w:bookmarkStart w:id="48" w:name="_Toc29652"/>
      <w:bookmarkStart w:id="49" w:name="_Toc32105"/>
      <w:bookmarkStart w:id="50" w:name="_Toc1140"/>
      <w:r>
        <w:rPr>
          <w:rFonts w:hint="eastAsia" w:ascii="仿宋" w:hAnsi="仿宋" w:eastAsia="仿宋" w:cs="仿宋"/>
          <w:color w:val="auto"/>
          <w:sz w:val="28"/>
          <w:highlight w:val="none"/>
          <w:lang w:val="en-US" w:eastAsia="zh-CN"/>
        </w:rPr>
        <w:t>3.1交货地点</w:t>
      </w:r>
      <w:r>
        <w:rPr>
          <w:rFonts w:hint="eastAsia" w:ascii="仿宋" w:hAnsi="仿宋" w:eastAsia="仿宋" w:cs="仿宋"/>
          <w:color w:val="auto"/>
          <w:sz w:val="28"/>
          <w:highlight w:val="none"/>
          <w:u w:val="single"/>
          <w:lang w:val="en-US" w:eastAsia="zh-CN"/>
        </w:rPr>
        <w:t xml:space="preserve">：常平环保专业基地项目部 </w:t>
      </w:r>
      <w:r>
        <w:rPr>
          <w:rFonts w:hint="eastAsia" w:ascii="仿宋" w:hAnsi="仿宋" w:eastAsia="仿宋" w:cs="仿宋"/>
          <w:color w:val="auto"/>
          <w:sz w:val="28"/>
          <w:highlight w:val="none"/>
          <w:lang w:val="en-US" w:eastAsia="zh-CN"/>
        </w:rPr>
        <w:t>甲方指定地点。</w:t>
      </w:r>
      <w:bookmarkEnd w:id="47"/>
      <w:bookmarkEnd w:id="48"/>
      <w:bookmarkEnd w:id="49"/>
      <w:bookmarkEnd w:id="50"/>
      <w:r>
        <w:rPr>
          <w:rFonts w:hint="eastAsia" w:ascii="仿宋" w:hAnsi="仿宋" w:eastAsia="仿宋" w:cs="仿宋"/>
          <w:color w:val="auto"/>
          <w:sz w:val="28"/>
          <w:highlight w:val="none"/>
          <w:lang w:val="en-US" w:eastAsia="zh-CN"/>
        </w:rPr>
        <w:tab/>
      </w:r>
      <w:r>
        <w:rPr>
          <w:rFonts w:hint="eastAsia" w:ascii="仿宋" w:hAnsi="仿宋" w:eastAsia="仿宋" w:cs="仿宋"/>
          <w:color w:val="auto"/>
          <w:sz w:val="28"/>
          <w:highlight w:val="none"/>
          <w:lang w:val="en-US" w:eastAsia="zh-CN"/>
        </w:rPr>
        <w:tab/>
      </w:r>
    </w:p>
    <w:p w14:paraId="197AC6D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3.2交货</w:t>
      </w:r>
      <w:r>
        <w:rPr>
          <w:rFonts w:hint="eastAsia" w:ascii="仿宋" w:hAnsi="仿宋" w:eastAsia="仿宋" w:cs="仿宋"/>
          <w:color w:val="auto"/>
          <w:sz w:val="28"/>
          <w:szCs w:val="28"/>
          <w:highlight w:val="none"/>
        </w:rPr>
        <w:t>期限</w:t>
      </w:r>
      <w:r>
        <w:rPr>
          <w:rFonts w:hint="eastAsia" w:ascii="仿宋" w:hAnsi="仿宋" w:eastAsia="仿宋" w:cs="仿宋"/>
          <w:color w:val="auto"/>
          <w:sz w:val="28"/>
          <w:szCs w:val="28"/>
          <w:highlight w:val="none"/>
          <w:lang w:eastAsia="zh-CN"/>
        </w:rPr>
        <w:t>：乙方自</w:t>
      </w:r>
      <w:r>
        <w:rPr>
          <w:rFonts w:hint="eastAsia" w:ascii="仿宋" w:hAnsi="仿宋" w:eastAsia="仿宋" w:cs="仿宋"/>
          <w:color w:val="auto"/>
          <w:sz w:val="28"/>
          <w:szCs w:val="28"/>
          <w:highlight w:val="none"/>
          <w:lang w:val="en-US" w:eastAsia="zh-CN"/>
        </w:rPr>
        <w:t>甲方通知起</w:t>
      </w:r>
      <w:r>
        <w:rPr>
          <w:rFonts w:hint="eastAsia" w:ascii="仿宋" w:hAnsi="仿宋" w:eastAsia="仿宋" w:cs="仿宋"/>
          <w:color w:val="auto"/>
          <w:sz w:val="28"/>
          <w:szCs w:val="28"/>
          <w:highlight w:val="none"/>
          <w:u w:val="single"/>
          <w:lang w:val="en-US" w:eastAsia="zh-CN"/>
        </w:rPr>
        <w:t xml:space="preserve">  （以定标结果为准）  </w:t>
      </w:r>
      <w:r>
        <w:rPr>
          <w:rFonts w:hint="eastAsia" w:ascii="仿宋" w:hAnsi="仿宋" w:eastAsia="仿宋" w:cs="仿宋"/>
          <w:color w:val="auto"/>
          <w:sz w:val="28"/>
          <w:szCs w:val="28"/>
          <w:highlight w:val="none"/>
          <w:lang w:val="en-US" w:eastAsia="zh-CN"/>
        </w:rPr>
        <w:t>分钟</w:t>
      </w:r>
      <w:r>
        <w:rPr>
          <w:rFonts w:hint="eastAsia" w:ascii="仿宋" w:hAnsi="仿宋" w:eastAsia="仿宋" w:cs="仿宋"/>
          <w:color w:val="auto"/>
          <w:sz w:val="28"/>
          <w:szCs w:val="28"/>
          <w:highlight w:val="none"/>
        </w:rPr>
        <w:t>内</w:t>
      </w:r>
      <w:r>
        <w:rPr>
          <w:rFonts w:hint="eastAsia" w:ascii="仿宋" w:hAnsi="仿宋" w:eastAsia="仿宋" w:cs="仿宋"/>
          <w:color w:val="auto"/>
          <w:sz w:val="28"/>
          <w:szCs w:val="28"/>
          <w:highlight w:val="none"/>
          <w:lang w:eastAsia="zh-CN"/>
        </w:rPr>
        <w:t>把</w:t>
      </w:r>
      <w:r>
        <w:rPr>
          <w:rFonts w:hint="eastAsia" w:ascii="仿宋" w:hAnsi="仿宋" w:eastAsia="仿宋" w:cs="仿宋"/>
          <w:color w:val="auto"/>
          <w:sz w:val="28"/>
          <w:szCs w:val="28"/>
          <w:highlight w:val="none"/>
          <w:lang w:val="en-US" w:eastAsia="zh-CN"/>
        </w:rPr>
        <w:t>订单对</w:t>
      </w:r>
      <w:r>
        <w:rPr>
          <w:rFonts w:hint="eastAsia" w:ascii="仿宋" w:hAnsi="仿宋" w:eastAsia="仿宋" w:cs="仿宋"/>
          <w:color w:val="auto"/>
          <w:sz w:val="28"/>
          <w:highlight w:val="none"/>
          <w:lang w:val="en-US" w:eastAsia="zh-CN"/>
        </w:rPr>
        <w:t>应的该批产品送齐至交货地点。</w:t>
      </w:r>
    </w:p>
    <w:p w14:paraId="0766DB0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3.3订单确认方式：甲方在产品使用之日的前一个日历天17：00前，将符合甲方相关制度规定、有甲方相关人员签字完善的“物料申购单”（格式详见附件）发送给合同约定的乙方合同执行代表。甲方发送方式包括但不限于传真、短信、微信等方式。</w:t>
      </w:r>
    </w:p>
    <w:p w14:paraId="6AC5353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outlineLvl w:val="1"/>
        <w:rPr>
          <w:rFonts w:hint="eastAsia" w:ascii="仿宋" w:hAnsi="仿宋" w:eastAsia="仿宋" w:cs="仿宋"/>
          <w:b/>
          <w:bCs/>
          <w:color w:val="auto"/>
          <w:kern w:val="2"/>
          <w:sz w:val="28"/>
          <w:szCs w:val="28"/>
          <w:highlight w:val="none"/>
          <w:u w:val="none"/>
          <w:lang w:val="en-US" w:eastAsia="zh-CN" w:bidi="ar-SA"/>
        </w:rPr>
      </w:pPr>
      <w:bookmarkStart w:id="51" w:name="_Toc6165"/>
      <w:bookmarkStart w:id="52" w:name="_Toc18701"/>
      <w:bookmarkStart w:id="53" w:name="_Toc21565"/>
      <w:r>
        <w:rPr>
          <w:rFonts w:hint="eastAsia" w:ascii="仿宋" w:hAnsi="仿宋" w:eastAsia="仿宋" w:cs="仿宋"/>
          <w:b/>
          <w:bCs/>
          <w:color w:val="auto"/>
          <w:kern w:val="2"/>
          <w:sz w:val="28"/>
          <w:szCs w:val="28"/>
          <w:highlight w:val="none"/>
          <w:u w:val="none"/>
          <w:lang w:val="en-US" w:eastAsia="zh-CN" w:bidi="ar-SA"/>
        </w:rPr>
        <w:t>第四章、甲乙双方联系人</w:t>
      </w:r>
      <w:bookmarkEnd w:id="51"/>
      <w:bookmarkEnd w:id="52"/>
      <w:bookmarkEnd w:id="53"/>
    </w:p>
    <w:p w14:paraId="7C6C12D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4.1甲方联系人</w:t>
      </w:r>
    </w:p>
    <w:p w14:paraId="0808F98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甲方指定</w:t>
      </w:r>
      <w:r>
        <w:rPr>
          <w:rFonts w:hint="eastAsia" w:ascii="仿宋" w:hAnsi="仿宋" w:eastAsia="仿宋" w:cs="仿宋"/>
          <w:color w:val="auto"/>
          <w:sz w:val="28"/>
          <w:highlight w:val="none"/>
          <w:u w:val="single"/>
          <w:lang w:val="en-US" w:eastAsia="zh-CN"/>
        </w:rPr>
        <w:t xml:space="preserve"> 林易国（联系电话：13929204778）</w:t>
      </w:r>
      <w:r>
        <w:rPr>
          <w:rFonts w:hint="eastAsia" w:ascii="仿宋" w:hAnsi="仿宋" w:eastAsia="仿宋" w:cs="仿宋"/>
          <w:color w:val="auto"/>
          <w:sz w:val="28"/>
          <w:highlight w:val="none"/>
          <w:lang w:val="en-US" w:eastAsia="zh-CN"/>
        </w:rPr>
        <w:t>为本合同甲方执行联系人，指定</w:t>
      </w:r>
      <w:r>
        <w:rPr>
          <w:rFonts w:hint="eastAsia" w:ascii="仿宋" w:hAnsi="仿宋" w:eastAsia="仿宋" w:cs="仿宋"/>
          <w:color w:val="auto"/>
          <w:sz w:val="28"/>
          <w:highlight w:val="none"/>
          <w:u w:val="single"/>
          <w:lang w:val="en-US" w:eastAsia="zh-CN"/>
        </w:rPr>
        <w:t xml:space="preserve"> 何先满 </w:t>
      </w:r>
      <w:r>
        <w:rPr>
          <w:rFonts w:hint="eastAsia" w:ascii="仿宋" w:hAnsi="仿宋" w:eastAsia="仿宋" w:cs="仿宋"/>
          <w:color w:val="auto"/>
          <w:sz w:val="28"/>
          <w:highlight w:val="none"/>
          <w:lang w:val="en-US" w:eastAsia="zh-CN"/>
        </w:rPr>
        <w:t>为产品签收人，联系电话:</w:t>
      </w:r>
      <w:r>
        <w:rPr>
          <w:rFonts w:hint="eastAsia" w:ascii="仿宋" w:hAnsi="仿宋" w:eastAsia="仿宋" w:cs="仿宋"/>
          <w:color w:val="auto"/>
          <w:sz w:val="28"/>
          <w:highlight w:val="none"/>
          <w:u w:val="single"/>
          <w:lang w:val="en-US" w:eastAsia="zh-CN"/>
        </w:rPr>
        <w:t xml:space="preserve"> 19119268100</w:t>
      </w:r>
      <w:r>
        <w:rPr>
          <w:rFonts w:hint="eastAsia" w:ascii="仿宋" w:hAnsi="仿宋" w:eastAsia="仿宋" w:cs="仿宋"/>
          <w:color w:val="auto"/>
          <w:sz w:val="28"/>
          <w:highlight w:val="none"/>
          <w:lang w:val="en-US" w:eastAsia="zh-CN"/>
        </w:rPr>
        <w:t>。未经甲方加盖公章确认，甲方项目负责人及执行联系人、签约代表及其他职员均无权代表甲方做出减损、放弃甲方权利、乙方义务、乙方责任的行为，也无权做出增加甲方义务的行为。</w:t>
      </w:r>
    </w:p>
    <w:p w14:paraId="4219CEE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4.2乙方联系人</w:t>
      </w:r>
    </w:p>
    <w:p w14:paraId="3496130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乙方指定</w:t>
      </w:r>
      <w:r>
        <w:rPr>
          <w:rFonts w:hint="eastAsia" w:ascii="仿宋" w:hAnsi="仿宋" w:eastAsia="仿宋" w:cs="仿宋"/>
          <w:color w:val="auto"/>
          <w:sz w:val="28"/>
          <w:highlight w:val="none"/>
          <w:u w:val="single"/>
          <w:lang w:val="en-US" w:eastAsia="zh-CN"/>
        </w:rPr>
        <w:t xml:space="preserve">     （身份证号码：        ；手机号码：    ；电子邮箱：             ；微信号：          ）</w:t>
      </w:r>
      <w:r>
        <w:rPr>
          <w:rFonts w:hint="eastAsia" w:ascii="仿宋" w:hAnsi="仿宋" w:eastAsia="仿宋" w:cs="仿宋"/>
          <w:color w:val="auto"/>
          <w:sz w:val="28"/>
          <w:highlight w:val="none"/>
          <w:lang w:val="en-US" w:eastAsia="zh-CN"/>
        </w:rPr>
        <w:t>作为其授权代表，在本合同有效期内执行与本合同有关的事项。</w:t>
      </w:r>
    </w:p>
    <w:p w14:paraId="2D0C429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乙方指定</w:t>
      </w:r>
      <w:r>
        <w:rPr>
          <w:rFonts w:hint="eastAsia" w:ascii="仿宋" w:hAnsi="仿宋" w:eastAsia="仿宋" w:cs="仿宋"/>
          <w:color w:val="auto"/>
          <w:sz w:val="28"/>
          <w:highlight w:val="none"/>
          <w:u w:val="single"/>
          <w:lang w:val="en-US" w:eastAsia="zh-CN"/>
        </w:rPr>
        <w:t xml:space="preserve">       （身份证号码：         ；手机号码：      ；电子邮箱：             ；微信号：          ）</w:t>
      </w:r>
      <w:r>
        <w:rPr>
          <w:rFonts w:hint="eastAsia" w:ascii="仿宋" w:hAnsi="仿宋" w:eastAsia="仿宋" w:cs="仿宋"/>
          <w:color w:val="auto"/>
          <w:sz w:val="28"/>
          <w:highlight w:val="none"/>
          <w:lang w:val="en-US" w:eastAsia="zh-CN"/>
        </w:rPr>
        <w:t>为本合同的乙方现场负责人，合同有效期内其为乙方授权处理本项目施工现场相关事项代表，负责与甲方项目现场的工作签认、安排等全部事务。</w:t>
      </w:r>
    </w:p>
    <w:p w14:paraId="55A3E90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p>
    <w:p w14:paraId="79FB4E05">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甲方(盖章):东莞市中泰建安工程有限公司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乙方(盖章):  </w:t>
      </w:r>
    </w:p>
    <w:p w14:paraId="13A7F76E">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p>
    <w:p w14:paraId="6C75841F">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 xml:space="preserve">签约代表: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签约代表:</w:t>
      </w:r>
    </w:p>
    <w:p w14:paraId="41B95325">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lang w:val="en-US" w:eastAsia="zh-CN"/>
        </w:rPr>
        <w:t>统一社会信用代码</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shd w:val="clear" w:color="auto" w:fill="auto"/>
        </w:rPr>
        <w:t>91441900732168546R</w:t>
      </w:r>
      <w:r>
        <w:rPr>
          <w:rFonts w:hint="eastAsia" w:ascii="仿宋" w:hAnsi="仿宋" w:eastAsia="仿宋" w:cs="仿宋"/>
          <w:b/>
          <w:bCs/>
          <w:color w:val="auto"/>
          <w:sz w:val="24"/>
          <w:szCs w:val="24"/>
          <w:highlight w:val="none"/>
          <w:shd w:val="clear" w:color="auto" w:fill="auto"/>
        </w:rPr>
        <w:tab/>
      </w:r>
      <w:r>
        <w:rPr>
          <w:rFonts w:hint="eastAsia" w:ascii="仿宋" w:hAnsi="仿宋" w:eastAsia="仿宋" w:cs="仿宋"/>
          <w:b/>
          <w:bCs/>
          <w:color w:val="auto"/>
          <w:sz w:val="24"/>
          <w:szCs w:val="24"/>
          <w:highlight w:val="none"/>
          <w:shd w:val="clear" w:color="auto" w:fill="auto"/>
        </w:rPr>
        <w:tab/>
      </w:r>
      <w:r>
        <w:rPr>
          <w:rFonts w:hint="eastAsia" w:ascii="仿宋" w:hAnsi="仿宋" w:eastAsia="仿宋" w:cs="仿宋"/>
          <w:b/>
          <w:bCs/>
          <w:color w:val="auto"/>
          <w:sz w:val="24"/>
          <w:szCs w:val="24"/>
          <w:highlight w:val="none"/>
          <w:shd w:val="clear" w:color="auto" w:fill="auto"/>
          <w:lang w:val="en-US" w:eastAsia="zh-CN"/>
        </w:rPr>
        <w:t xml:space="preserve">  </w:t>
      </w:r>
      <w:r>
        <w:rPr>
          <w:rFonts w:hint="eastAsia" w:ascii="仿宋" w:hAnsi="仿宋" w:eastAsia="仿宋" w:cs="仿宋"/>
          <w:b/>
          <w:bCs/>
          <w:color w:val="auto"/>
          <w:sz w:val="24"/>
          <w:szCs w:val="24"/>
          <w:highlight w:val="none"/>
          <w:lang w:val="en-US" w:eastAsia="zh-CN"/>
        </w:rPr>
        <w:t>统一社会信用代码</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shd w:val="clear" w:color="auto" w:fill="auto"/>
        </w:rPr>
        <w:tab/>
      </w:r>
    </w:p>
    <w:p w14:paraId="310AD3E8">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账  号：548000013639239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账  号：</w:t>
      </w:r>
    </w:p>
    <w:p w14:paraId="694A1783">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开户行：东莞银行股份有限公司元美支行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开户行：               </w:t>
      </w:r>
    </w:p>
    <w:p w14:paraId="02D3C6DB">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地 址：广东省东莞市南城街道鸿福路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地  址：</w:t>
      </w:r>
    </w:p>
    <w:p w14:paraId="641FC38B">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106号1栋1712室01                                  </w:t>
      </w:r>
    </w:p>
    <w:p w14:paraId="1AEE63D0">
      <w:pPr>
        <w:spacing w:line="240" w:lineRule="auto"/>
        <w:rPr>
          <w:rFonts w:hint="eastAsia" w:ascii="仿宋" w:hAnsi="仿宋" w:eastAsia="仿宋" w:cs="仿宋"/>
          <w:color w:val="auto"/>
          <w:sz w:val="28"/>
          <w:szCs w:val="28"/>
          <w:highlight w:val="none"/>
        </w:rPr>
      </w:pPr>
      <w:r>
        <w:rPr>
          <w:rFonts w:hint="eastAsia" w:ascii="仿宋" w:hAnsi="仿宋" w:eastAsia="仿宋" w:cs="仿宋"/>
          <w:b/>
          <w:bCs/>
          <w:color w:val="auto"/>
          <w:sz w:val="24"/>
          <w:szCs w:val="24"/>
          <w:highlight w:val="none"/>
        </w:rPr>
        <w:t xml:space="preserve">电  话：0769-22311322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 电  话:</w:t>
      </w:r>
    </w:p>
    <w:p w14:paraId="73DDA862">
      <w:pPr>
        <w:spacing w:line="24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【甲方人员如有营私舞弊、吃拿卡要等损害乙方合法权益的行为，乙方可拨打投诉专线 4000968086或发邮件至投诉邮箱:zhglzx@nanfeng.cn，也可至广东省东莞市南城街道鸿福路 106 号南峰中心 12楼内控中心办公室面诉。】</w:t>
      </w:r>
      <w:bookmarkStart w:id="54" w:name="_Toc3944"/>
      <w:bookmarkStart w:id="55" w:name="_Toc28683"/>
      <w:bookmarkStart w:id="56" w:name="_Toc11314"/>
    </w:p>
    <w:p w14:paraId="0DE5ADF2">
      <w:pPr>
        <w:spacing w:line="240" w:lineRule="auto"/>
        <w:rPr>
          <w:rFonts w:hint="eastAsia" w:ascii="仿宋" w:hAnsi="仿宋" w:eastAsia="仿宋" w:cs="仿宋"/>
          <w:b/>
          <w:bCs/>
          <w:color w:val="auto"/>
          <w:sz w:val="24"/>
          <w:szCs w:val="24"/>
          <w:highlight w:val="none"/>
          <w:lang w:val="en-US" w:eastAsia="zh-CN"/>
        </w:rPr>
      </w:pPr>
    </w:p>
    <w:p w14:paraId="03D3925A">
      <w:pPr>
        <w:spacing w:line="240" w:lineRule="auto"/>
        <w:rPr>
          <w:rFonts w:hint="eastAsia" w:ascii="仿宋" w:hAnsi="仿宋" w:eastAsia="仿宋" w:cs="仿宋"/>
          <w:b/>
          <w:bCs/>
          <w:color w:val="auto"/>
          <w:sz w:val="24"/>
          <w:szCs w:val="24"/>
          <w:highlight w:val="none"/>
          <w:lang w:val="en-US" w:eastAsia="zh-CN"/>
        </w:rPr>
      </w:pPr>
    </w:p>
    <w:p w14:paraId="3E69FC03">
      <w:pPr>
        <w:spacing w:line="240" w:lineRule="auto"/>
        <w:rPr>
          <w:rFonts w:hint="eastAsia" w:ascii="仿宋" w:hAnsi="仿宋" w:eastAsia="仿宋" w:cs="仿宋"/>
          <w:b/>
          <w:bCs/>
          <w:color w:val="auto"/>
          <w:sz w:val="24"/>
          <w:szCs w:val="24"/>
          <w:highlight w:val="none"/>
          <w:lang w:val="en-US" w:eastAsia="zh-CN"/>
        </w:rPr>
      </w:pPr>
    </w:p>
    <w:p w14:paraId="7C2A2551">
      <w:pPr>
        <w:spacing w:line="240" w:lineRule="auto"/>
        <w:rPr>
          <w:rFonts w:hint="eastAsia" w:ascii="仿宋" w:hAnsi="仿宋" w:eastAsia="仿宋" w:cs="仿宋"/>
          <w:b/>
          <w:bCs/>
          <w:color w:val="auto"/>
          <w:sz w:val="24"/>
          <w:szCs w:val="24"/>
          <w:highlight w:val="none"/>
          <w:lang w:val="en-US" w:eastAsia="zh-CN"/>
        </w:rPr>
      </w:pPr>
    </w:p>
    <w:p w14:paraId="50832726">
      <w:pPr>
        <w:spacing w:line="240" w:lineRule="auto"/>
        <w:rPr>
          <w:rFonts w:hint="eastAsia" w:ascii="仿宋" w:hAnsi="仿宋" w:eastAsia="仿宋" w:cs="仿宋"/>
          <w:b/>
          <w:bCs/>
          <w:color w:val="auto"/>
          <w:sz w:val="24"/>
          <w:szCs w:val="24"/>
          <w:highlight w:val="none"/>
          <w:lang w:val="en-US" w:eastAsia="zh-CN"/>
        </w:rPr>
      </w:pPr>
    </w:p>
    <w:p w14:paraId="682793A0">
      <w:pPr>
        <w:spacing w:line="240" w:lineRule="auto"/>
        <w:rPr>
          <w:rFonts w:hint="eastAsia" w:ascii="仿宋" w:hAnsi="仿宋" w:eastAsia="仿宋" w:cs="仿宋"/>
          <w:b/>
          <w:bCs/>
          <w:color w:val="auto"/>
          <w:sz w:val="24"/>
          <w:szCs w:val="24"/>
          <w:highlight w:val="none"/>
          <w:lang w:val="en-US" w:eastAsia="zh-CN"/>
        </w:rPr>
      </w:pPr>
    </w:p>
    <w:p w14:paraId="5AB5B164">
      <w:pPr>
        <w:spacing w:line="240" w:lineRule="auto"/>
        <w:rPr>
          <w:rFonts w:hint="eastAsia" w:ascii="仿宋" w:hAnsi="仿宋" w:eastAsia="仿宋" w:cs="仿宋"/>
          <w:b/>
          <w:bCs/>
          <w:color w:val="auto"/>
          <w:sz w:val="24"/>
          <w:szCs w:val="24"/>
          <w:highlight w:val="none"/>
          <w:lang w:val="en-US" w:eastAsia="zh-CN"/>
        </w:rPr>
      </w:pPr>
    </w:p>
    <w:p w14:paraId="3960AF04">
      <w:pPr>
        <w:spacing w:line="240" w:lineRule="auto"/>
        <w:rPr>
          <w:rFonts w:hint="eastAsia" w:ascii="仿宋" w:hAnsi="仿宋" w:eastAsia="仿宋" w:cs="仿宋"/>
          <w:b/>
          <w:bCs/>
          <w:color w:val="auto"/>
          <w:sz w:val="24"/>
          <w:szCs w:val="24"/>
          <w:highlight w:val="none"/>
          <w:lang w:val="en-US" w:eastAsia="zh-CN"/>
        </w:rPr>
      </w:pPr>
    </w:p>
    <w:p w14:paraId="713DE14E">
      <w:pPr>
        <w:spacing w:line="240" w:lineRule="auto"/>
        <w:rPr>
          <w:rFonts w:hint="eastAsia" w:ascii="仿宋" w:hAnsi="仿宋" w:eastAsia="仿宋" w:cs="仿宋"/>
          <w:b/>
          <w:bCs/>
          <w:color w:val="auto"/>
          <w:sz w:val="24"/>
          <w:szCs w:val="24"/>
          <w:highlight w:val="none"/>
          <w:lang w:val="en-US" w:eastAsia="zh-CN"/>
        </w:rPr>
      </w:pPr>
    </w:p>
    <w:p w14:paraId="01F49969">
      <w:pPr>
        <w:spacing w:line="240" w:lineRule="auto"/>
        <w:rPr>
          <w:rFonts w:hint="eastAsia" w:ascii="仿宋" w:hAnsi="仿宋" w:eastAsia="仿宋" w:cs="仿宋"/>
          <w:b/>
          <w:bCs/>
          <w:color w:val="auto"/>
          <w:sz w:val="24"/>
          <w:szCs w:val="24"/>
          <w:highlight w:val="none"/>
          <w:lang w:val="en-US" w:eastAsia="zh-CN"/>
        </w:rPr>
      </w:pPr>
    </w:p>
    <w:p w14:paraId="4BC3B31A">
      <w:pPr>
        <w:spacing w:line="240" w:lineRule="auto"/>
        <w:rPr>
          <w:rFonts w:hint="eastAsia" w:ascii="仿宋" w:hAnsi="仿宋" w:eastAsia="仿宋" w:cs="仿宋"/>
          <w:b/>
          <w:bCs/>
          <w:color w:val="auto"/>
          <w:sz w:val="24"/>
          <w:szCs w:val="24"/>
          <w:highlight w:val="none"/>
          <w:lang w:val="en-US" w:eastAsia="zh-CN"/>
        </w:rPr>
      </w:pPr>
    </w:p>
    <w:p w14:paraId="39D6A022">
      <w:pPr>
        <w:spacing w:line="240" w:lineRule="auto"/>
        <w:rPr>
          <w:rFonts w:hint="eastAsia" w:ascii="仿宋" w:hAnsi="仿宋" w:eastAsia="仿宋" w:cs="仿宋"/>
          <w:b/>
          <w:bCs/>
          <w:color w:val="auto"/>
          <w:sz w:val="24"/>
          <w:szCs w:val="24"/>
          <w:highlight w:val="none"/>
          <w:lang w:val="en-US" w:eastAsia="zh-CN"/>
        </w:rPr>
      </w:pPr>
    </w:p>
    <w:p w14:paraId="10286235">
      <w:pPr>
        <w:spacing w:line="240" w:lineRule="auto"/>
        <w:rPr>
          <w:rFonts w:hint="eastAsia" w:ascii="仿宋" w:hAnsi="仿宋" w:eastAsia="仿宋" w:cs="仿宋"/>
          <w:b/>
          <w:bCs/>
          <w:color w:val="auto"/>
          <w:sz w:val="24"/>
          <w:szCs w:val="24"/>
          <w:highlight w:val="none"/>
          <w:lang w:val="en-US" w:eastAsia="zh-CN"/>
        </w:rPr>
      </w:pPr>
    </w:p>
    <w:p w14:paraId="5A33B250">
      <w:pPr>
        <w:spacing w:line="240" w:lineRule="auto"/>
        <w:rPr>
          <w:rFonts w:hint="eastAsia" w:ascii="仿宋" w:hAnsi="仿宋" w:eastAsia="仿宋" w:cs="仿宋"/>
          <w:b/>
          <w:bCs/>
          <w:color w:val="auto"/>
          <w:sz w:val="24"/>
          <w:szCs w:val="24"/>
          <w:highlight w:val="none"/>
          <w:lang w:val="en-US" w:eastAsia="zh-CN"/>
        </w:rPr>
      </w:pPr>
    </w:p>
    <w:p w14:paraId="7534A1F0">
      <w:pPr>
        <w:spacing w:line="240" w:lineRule="auto"/>
        <w:rPr>
          <w:rFonts w:hint="eastAsia" w:ascii="仿宋" w:hAnsi="仿宋" w:eastAsia="仿宋" w:cs="仿宋"/>
          <w:b/>
          <w:bCs/>
          <w:color w:val="auto"/>
          <w:sz w:val="24"/>
          <w:szCs w:val="24"/>
          <w:highlight w:val="none"/>
          <w:lang w:val="en-US" w:eastAsia="zh-CN"/>
        </w:rPr>
      </w:pPr>
    </w:p>
    <w:p w14:paraId="6415E8D7">
      <w:pPr>
        <w:spacing w:line="240" w:lineRule="auto"/>
        <w:rPr>
          <w:rFonts w:hint="eastAsia" w:ascii="仿宋" w:hAnsi="仿宋" w:eastAsia="仿宋" w:cs="仿宋"/>
          <w:b/>
          <w:bCs/>
          <w:color w:val="auto"/>
          <w:sz w:val="24"/>
          <w:szCs w:val="24"/>
          <w:highlight w:val="none"/>
          <w:lang w:val="en-US" w:eastAsia="zh-CN"/>
        </w:rPr>
      </w:pPr>
    </w:p>
    <w:p w14:paraId="7975CC92">
      <w:pPr>
        <w:spacing w:line="240" w:lineRule="auto"/>
        <w:rPr>
          <w:rFonts w:hint="eastAsia" w:ascii="仿宋" w:hAnsi="仿宋" w:eastAsia="仿宋" w:cs="仿宋"/>
          <w:b/>
          <w:bCs/>
          <w:color w:val="auto"/>
          <w:sz w:val="24"/>
          <w:szCs w:val="24"/>
          <w:highlight w:val="none"/>
          <w:lang w:val="en-US" w:eastAsia="zh-CN"/>
        </w:rPr>
      </w:pPr>
    </w:p>
    <w:p w14:paraId="144B0651">
      <w:pPr>
        <w:spacing w:line="240" w:lineRule="auto"/>
        <w:rPr>
          <w:rFonts w:hint="eastAsia" w:ascii="仿宋" w:hAnsi="仿宋" w:eastAsia="仿宋" w:cs="仿宋"/>
          <w:b/>
          <w:bCs/>
          <w:color w:val="auto"/>
          <w:sz w:val="24"/>
          <w:szCs w:val="24"/>
          <w:highlight w:val="none"/>
          <w:lang w:val="en-US" w:eastAsia="zh-CN"/>
        </w:rPr>
      </w:pPr>
    </w:p>
    <w:p w14:paraId="524B7488">
      <w:pPr>
        <w:spacing w:line="240" w:lineRule="auto"/>
        <w:rPr>
          <w:rFonts w:hint="eastAsia" w:ascii="仿宋" w:hAnsi="仿宋" w:eastAsia="仿宋" w:cs="仿宋"/>
          <w:b/>
          <w:bCs/>
          <w:color w:val="auto"/>
          <w:sz w:val="24"/>
          <w:szCs w:val="24"/>
          <w:highlight w:val="none"/>
          <w:lang w:val="en-US" w:eastAsia="zh-CN"/>
        </w:rPr>
      </w:pPr>
    </w:p>
    <w:p w14:paraId="5A0D9E5C">
      <w:pPr>
        <w:spacing w:line="240" w:lineRule="auto"/>
        <w:rPr>
          <w:rFonts w:hint="eastAsia" w:ascii="仿宋" w:hAnsi="仿宋" w:eastAsia="仿宋" w:cs="仿宋"/>
          <w:b/>
          <w:bCs/>
          <w:color w:val="auto"/>
          <w:sz w:val="24"/>
          <w:szCs w:val="24"/>
          <w:highlight w:val="none"/>
          <w:lang w:val="en-US" w:eastAsia="zh-CN"/>
        </w:rPr>
      </w:pPr>
    </w:p>
    <w:p w14:paraId="71D920DF">
      <w:pPr>
        <w:spacing w:line="240" w:lineRule="auto"/>
        <w:rPr>
          <w:rFonts w:hint="eastAsia" w:ascii="仿宋" w:hAnsi="仿宋" w:eastAsia="仿宋" w:cs="仿宋"/>
          <w:b/>
          <w:bCs/>
          <w:color w:val="auto"/>
          <w:sz w:val="24"/>
          <w:szCs w:val="24"/>
          <w:highlight w:val="none"/>
          <w:lang w:val="en-US" w:eastAsia="zh-CN"/>
        </w:rPr>
      </w:pPr>
    </w:p>
    <w:p w14:paraId="373AEE0F">
      <w:pPr>
        <w:spacing w:line="240" w:lineRule="auto"/>
        <w:rPr>
          <w:rFonts w:hint="eastAsia" w:ascii="仿宋" w:hAnsi="仿宋" w:eastAsia="仿宋" w:cs="仿宋"/>
          <w:b/>
          <w:bCs/>
          <w:color w:val="auto"/>
          <w:sz w:val="24"/>
          <w:szCs w:val="24"/>
          <w:highlight w:val="none"/>
          <w:lang w:val="en-US" w:eastAsia="zh-CN"/>
        </w:rPr>
      </w:pPr>
    </w:p>
    <w:p w14:paraId="41FB2EED">
      <w:pPr>
        <w:spacing w:line="240" w:lineRule="auto"/>
        <w:rPr>
          <w:rFonts w:hint="eastAsia" w:ascii="仿宋" w:hAnsi="仿宋" w:eastAsia="仿宋" w:cs="仿宋"/>
          <w:b/>
          <w:bCs/>
          <w:color w:val="auto"/>
          <w:sz w:val="24"/>
          <w:szCs w:val="24"/>
          <w:highlight w:val="none"/>
          <w:lang w:val="en-US" w:eastAsia="zh-CN"/>
        </w:rPr>
      </w:pPr>
    </w:p>
    <w:p w14:paraId="4DD8B371">
      <w:pPr>
        <w:spacing w:line="240" w:lineRule="auto"/>
        <w:rPr>
          <w:rFonts w:hint="eastAsia" w:ascii="仿宋" w:hAnsi="仿宋" w:eastAsia="仿宋" w:cs="仿宋"/>
          <w:b/>
          <w:bCs/>
          <w:color w:val="auto"/>
          <w:sz w:val="24"/>
          <w:szCs w:val="24"/>
          <w:highlight w:val="none"/>
          <w:lang w:val="en-US" w:eastAsia="zh-CN"/>
        </w:rPr>
      </w:pPr>
    </w:p>
    <w:p w14:paraId="24385D60">
      <w:pPr>
        <w:spacing w:line="240" w:lineRule="auto"/>
        <w:rPr>
          <w:rFonts w:hint="eastAsia" w:ascii="仿宋" w:hAnsi="仿宋" w:eastAsia="仿宋" w:cs="仿宋"/>
          <w:b/>
          <w:bCs/>
          <w:color w:val="auto"/>
          <w:sz w:val="24"/>
          <w:szCs w:val="24"/>
          <w:highlight w:val="none"/>
          <w:lang w:val="en-US" w:eastAsia="zh-CN"/>
        </w:rPr>
      </w:pPr>
    </w:p>
    <w:p w14:paraId="22E01E31">
      <w:pPr>
        <w:spacing w:line="240" w:lineRule="auto"/>
        <w:rPr>
          <w:rFonts w:hint="eastAsia" w:ascii="仿宋" w:hAnsi="仿宋" w:eastAsia="仿宋" w:cs="仿宋"/>
          <w:b/>
          <w:bCs/>
          <w:color w:val="auto"/>
          <w:sz w:val="24"/>
          <w:szCs w:val="24"/>
          <w:highlight w:val="none"/>
          <w:lang w:val="en-US" w:eastAsia="zh-CN"/>
        </w:rPr>
      </w:pPr>
    </w:p>
    <w:p w14:paraId="7614568F">
      <w:pPr>
        <w:spacing w:line="240" w:lineRule="auto"/>
        <w:rPr>
          <w:rFonts w:hint="eastAsia" w:ascii="仿宋" w:hAnsi="仿宋" w:eastAsia="仿宋" w:cs="仿宋"/>
          <w:b/>
          <w:bCs/>
          <w:color w:val="auto"/>
          <w:sz w:val="24"/>
          <w:szCs w:val="24"/>
          <w:highlight w:val="none"/>
          <w:lang w:val="en-US" w:eastAsia="zh-CN"/>
        </w:rPr>
      </w:pPr>
    </w:p>
    <w:p w14:paraId="63223202">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eastAsia" w:ascii="仿宋" w:hAnsi="仿宋" w:eastAsia="仿宋" w:cs="仿宋"/>
          <w:b/>
          <w:bCs/>
          <w:color w:val="auto"/>
          <w:sz w:val="28"/>
          <w:szCs w:val="28"/>
          <w:highlight w:val="none"/>
          <w:lang w:val="en-US" w:eastAsia="zh-CN"/>
        </w:rPr>
      </w:pPr>
      <w:bookmarkStart w:id="57" w:name="_Toc27333"/>
      <w:r>
        <w:rPr>
          <w:rFonts w:hint="eastAsia" w:ascii="仿宋" w:hAnsi="仿宋" w:eastAsia="仿宋" w:cs="仿宋"/>
          <w:b/>
          <w:bCs/>
          <w:color w:val="auto"/>
          <w:kern w:val="2"/>
          <w:sz w:val="32"/>
          <w:szCs w:val="32"/>
          <w:highlight w:val="none"/>
          <w:shd w:val="clear" w:fill="auto"/>
          <w:vertAlign w:val="baseline"/>
          <w:lang w:val="en-US" w:eastAsia="zh-CN" w:bidi="ar-SA"/>
        </w:rPr>
        <w:t xml:space="preserve">第二部分 </w:t>
      </w:r>
      <w:r>
        <w:rPr>
          <w:rFonts w:hint="eastAsia" w:ascii="仿宋_GB2312" w:hAnsi="仿宋_GB2312" w:eastAsia="仿宋_GB2312" w:cs="仿宋_GB2312"/>
          <w:b/>
          <w:bCs/>
          <w:i w:val="0"/>
          <w:iCs w:val="0"/>
          <w:color w:val="auto"/>
          <w:kern w:val="0"/>
          <w:sz w:val="32"/>
          <w:szCs w:val="32"/>
          <w:highlight w:val="none"/>
          <w:u w:val="none"/>
          <w:shd w:val="clear" w:color="auto" w:fill="auto"/>
          <w:lang w:val="en-US" w:eastAsia="zh-CN"/>
        </w:rPr>
        <w:t>合同专用条款</w:t>
      </w:r>
      <w:bookmarkEnd w:id="54"/>
      <w:bookmarkEnd w:id="55"/>
      <w:bookmarkEnd w:id="56"/>
      <w:bookmarkEnd w:id="57"/>
    </w:p>
    <w:p w14:paraId="30C137B1">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1"/>
        <w:rPr>
          <w:rFonts w:hint="eastAsia" w:ascii="仿宋" w:hAnsi="仿宋" w:eastAsia="仿宋" w:cs="仿宋"/>
          <w:b/>
          <w:bCs/>
          <w:color w:val="auto"/>
          <w:sz w:val="28"/>
          <w:szCs w:val="28"/>
          <w:highlight w:val="none"/>
          <w:lang w:val="en-US" w:eastAsia="zh-CN"/>
        </w:rPr>
      </w:pPr>
      <w:bookmarkStart w:id="58" w:name="_Toc22893"/>
      <w:bookmarkStart w:id="59" w:name="_Toc27625"/>
      <w:bookmarkStart w:id="60" w:name="_Toc21950"/>
      <w:bookmarkStart w:id="61" w:name="_Toc9158"/>
      <w:r>
        <w:rPr>
          <w:rFonts w:hint="eastAsia" w:ascii="仿宋" w:hAnsi="仿宋" w:eastAsia="仿宋" w:cs="仿宋"/>
          <w:b/>
          <w:bCs/>
          <w:color w:val="auto"/>
          <w:sz w:val="28"/>
          <w:szCs w:val="28"/>
          <w:highlight w:val="none"/>
          <w:lang w:val="en-US" w:eastAsia="zh-CN"/>
        </w:rPr>
        <w:t>第一章、计量方法</w:t>
      </w:r>
      <w:bookmarkEnd w:id="38"/>
      <w:bookmarkEnd w:id="39"/>
      <w:bookmarkEnd w:id="58"/>
      <w:bookmarkEnd w:id="59"/>
      <w:bookmarkEnd w:id="60"/>
      <w:bookmarkEnd w:id="61"/>
    </w:p>
    <w:p w14:paraId="47A8375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1.1计量单位：立方米（m³），取值：四舍五入小数点后取两位，运输方式：车运，产品须在本项目过磅称重验收。</w:t>
      </w:r>
    </w:p>
    <w:p w14:paraId="5025CD0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1.2数量计算公式：净重÷容重比=数量（例：某车规格C30混凝土过磅净重17000Kg，则该车产品结算数量：17000Kg÷2367Kg/m³=7.18m³）。</w:t>
      </w:r>
    </w:p>
    <w:p w14:paraId="1D72E37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150"/>
        <w:jc w:val="left"/>
        <w:textAlignment w:val="auto"/>
        <w:rPr>
          <w:rFonts w:hint="eastAsia" w:ascii="仿宋" w:hAnsi="仿宋" w:eastAsia="仿宋" w:cs="仿宋"/>
          <w:b/>
          <w:bCs/>
          <w:color w:val="auto"/>
          <w:sz w:val="28"/>
          <w:highlight w:val="none"/>
          <w:lang w:val="en-US" w:eastAsia="zh-CN"/>
        </w:rPr>
      </w:pPr>
      <w:r>
        <w:rPr>
          <w:rFonts w:hint="eastAsia" w:ascii="仿宋" w:hAnsi="仿宋" w:eastAsia="仿宋" w:cs="仿宋"/>
          <w:b/>
          <w:bCs/>
          <w:color w:val="auto"/>
          <w:sz w:val="28"/>
          <w:highlight w:val="none"/>
          <w:lang w:val="en-US" w:eastAsia="zh-CN"/>
        </w:rPr>
        <w:t>净重按每车货到现场过重车磅，卸货后在洗车前过空车磅计算。</w:t>
      </w:r>
    </w:p>
    <w:p w14:paraId="37C66D6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1.3容重比标准：按表一执行。</w:t>
      </w:r>
    </w:p>
    <w:p w14:paraId="3845E71A">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center"/>
        <w:textAlignment w:val="auto"/>
        <w:rPr>
          <w:rFonts w:hint="default" w:ascii="仿宋" w:hAnsi="仿宋" w:eastAsia="仿宋" w:cs="仿宋"/>
          <w:color w:val="auto"/>
          <w:highlight w:val="none"/>
          <w:lang w:val="en-US"/>
        </w:rPr>
      </w:pPr>
      <w:r>
        <w:rPr>
          <w:rFonts w:hint="eastAsia" w:ascii="仿宋" w:hAnsi="仿宋" w:eastAsia="仿宋" w:cs="仿宋"/>
          <w:color w:val="auto"/>
          <w:sz w:val="28"/>
          <w:szCs w:val="28"/>
          <w:highlight w:val="none"/>
          <w:lang w:val="en-US" w:eastAsia="zh-CN"/>
        </w:rPr>
        <w:t>表一</w:t>
      </w:r>
    </w:p>
    <w:tbl>
      <w:tblPr>
        <w:tblStyle w:val="10"/>
        <w:tblW w:w="41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9"/>
        <w:gridCol w:w="2272"/>
        <w:gridCol w:w="1688"/>
        <w:gridCol w:w="2217"/>
      </w:tblGrid>
      <w:tr w14:paraId="64A91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3" w:type="pct"/>
            <w:noWrap w:val="0"/>
            <w:vAlign w:val="center"/>
          </w:tcPr>
          <w:p w14:paraId="49D8E6A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强度等级</w:t>
            </w:r>
          </w:p>
        </w:tc>
        <w:tc>
          <w:tcPr>
            <w:tcW w:w="1521" w:type="pct"/>
            <w:noWrap w:val="0"/>
            <w:vAlign w:val="center"/>
          </w:tcPr>
          <w:p w14:paraId="35A186B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容重比</w:t>
            </w:r>
          </w:p>
          <w:p w14:paraId="7875528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（Kg/m³）</w:t>
            </w:r>
          </w:p>
        </w:tc>
        <w:tc>
          <w:tcPr>
            <w:tcW w:w="1130" w:type="pct"/>
            <w:noWrap w:val="0"/>
            <w:vAlign w:val="center"/>
          </w:tcPr>
          <w:p w14:paraId="246689E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强度等级</w:t>
            </w:r>
          </w:p>
        </w:tc>
        <w:tc>
          <w:tcPr>
            <w:tcW w:w="1484" w:type="pct"/>
            <w:noWrap w:val="0"/>
            <w:vAlign w:val="center"/>
          </w:tcPr>
          <w:p w14:paraId="1F12DBA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容重比</w:t>
            </w:r>
          </w:p>
          <w:p w14:paraId="0BFE5B48">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（Kg/m³）</w:t>
            </w:r>
          </w:p>
        </w:tc>
      </w:tr>
      <w:tr w14:paraId="05879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863" w:type="pct"/>
            <w:noWrap w:val="0"/>
            <w:vAlign w:val="center"/>
          </w:tcPr>
          <w:p w14:paraId="2A26C9A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C10</w:t>
            </w:r>
          </w:p>
        </w:tc>
        <w:tc>
          <w:tcPr>
            <w:tcW w:w="1521" w:type="pct"/>
            <w:noWrap w:val="0"/>
            <w:vAlign w:val="center"/>
          </w:tcPr>
          <w:p w14:paraId="36EC20E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2345</w:t>
            </w:r>
          </w:p>
        </w:tc>
        <w:tc>
          <w:tcPr>
            <w:tcW w:w="1130" w:type="pct"/>
            <w:noWrap w:val="0"/>
            <w:vAlign w:val="center"/>
          </w:tcPr>
          <w:p w14:paraId="1D2B647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C45</w:t>
            </w:r>
          </w:p>
        </w:tc>
        <w:tc>
          <w:tcPr>
            <w:tcW w:w="1484" w:type="pct"/>
            <w:noWrap w:val="0"/>
            <w:vAlign w:val="center"/>
          </w:tcPr>
          <w:p w14:paraId="6F10050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2380</w:t>
            </w:r>
          </w:p>
        </w:tc>
      </w:tr>
      <w:tr w14:paraId="523ED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pct"/>
            <w:noWrap w:val="0"/>
            <w:vAlign w:val="center"/>
          </w:tcPr>
          <w:p w14:paraId="1451144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C15</w:t>
            </w:r>
          </w:p>
        </w:tc>
        <w:tc>
          <w:tcPr>
            <w:tcW w:w="1521" w:type="pct"/>
            <w:noWrap w:val="0"/>
            <w:vAlign w:val="center"/>
          </w:tcPr>
          <w:p w14:paraId="3A55122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2350</w:t>
            </w:r>
          </w:p>
        </w:tc>
        <w:tc>
          <w:tcPr>
            <w:tcW w:w="1130" w:type="pct"/>
            <w:noWrap w:val="0"/>
            <w:vAlign w:val="center"/>
          </w:tcPr>
          <w:p w14:paraId="1EE085A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C50</w:t>
            </w:r>
          </w:p>
        </w:tc>
        <w:tc>
          <w:tcPr>
            <w:tcW w:w="1484" w:type="pct"/>
            <w:noWrap w:val="0"/>
            <w:vAlign w:val="center"/>
          </w:tcPr>
          <w:p w14:paraId="4F5D2C62">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2387</w:t>
            </w:r>
          </w:p>
        </w:tc>
      </w:tr>
      <w:tr w14:paraId="5962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pct"/>
            <w:noWrap w:val="0"/>
            <w:vAlign w:val="center"/>
          </w:tcPr>
          <w:p w14:paraId="117BF5A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C20</w:t>
            </w:r>
          </w:p>
        </w:tc>
        <w:tc>
          <w:tcPr>
            <w:tcW w:w="1521" w:type="pct"/>
            <w:noWrap w:val="0"/>
            <w:vAlign w:val="center"/>
          </w:tcPr>
          <w:p w14:paraId="18F97DCE">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2354</w:t>
            </w:r>
          </w:p>
        </w:tc>
        <w:tc>
          <w:tcPr>
            <w:tcW w:w="1130" w:type="pct"/>
            <w:noWrap w:val="0"/>
            <w:vAlign w:val="center"/>
          </w:tcPr>
          <w:p w14:paraId="3AD348D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C15细石</w:t>
            </w:r>
          </w:p>
        </w:tc>
        <w:tc>
          <w:tcPr>
            <w:tcW w:w="1484" w:type="pct"/>
            <w:noWrap w:val="0"/>
            <w:vAlign w:val="center"/>
          </w:tcPr>
          <w:p w14:paraId="343AD91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2351</w:t>
            </w:r>
          </w:p>
        </w:tc>
      </w:tr>
      <w:tr w14:paraId="419C1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pct"/>
            <w:noWrap w:val="0"/>
            <w:vAlign w:val="center"/>
          </w:tcPr>
          <w:p w14:paraId="5D6E610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C25</w:t>
            </w:r>
          </w:p>
        </w:tc>
        <w:tc>
          <w:tcPr>
            <w:tcW w:w="1521" w:type="pct"/>
            <w:noWrap w:val="0"/>
            <w:vAlign w:val="center"/>
          </w:tcPr>
          <w:p w14:paraId="087849F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2362</w:t>
            </w:r>
          </w:p>
        </w:tc>
        <w:tc>
          <w:tcPr>
            <w:tcW w:w="1130" w:type="pct"/>
            <w:noWrap w:val="0"/>
            <w:vAlign w:val="center"/>
          </w:tcPr>
          <w:p w14:paraId="7A26C6A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C20细石</w:t>
            </w:r>
          </w:p>
        </w:tc>
        <w:tc>
          <w:tcPr>
            <w:tcW w:w="1484" w:type="pct"/>
            <w:noWrap w:val="0"/>
            <w:vAlign w:val="center"/>
          </w:tcPr>
          <w:p w14:paraId="55DB7141">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2357</w:t>
            </w:r>
          </w:p>
        </w:tc>
      </w:tr>
      <w:tr w14:paraId="2A902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pct"/>
            <w:noWrap w:val="0"/>
            <w:vAlign w:val="center"/>
          </w:tcPr>
          <w:p w14:paraId="190E78EB">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C30</w:t>
            </w:r>
          </w:p>
        </w:tc>
        <w:tc>
          <w:tcPr>
            <w:tcW w:w="1521" w:type="pct"/>
            <w:noWrap w:val="0"/>
            <w:vAlign w:val="center"/>
          </w:tcPr>
          <w:p w14:paraId="70244CB0">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2368</w:t>
            </w:r>
          </w:p>
        </w:tc>
        <w:tc>
          <w:tcPr>
            <w:tcW w:w="1130" w:type="pct"/>
            <w:noWrap w:val="0"/>
            <w:vAlign w:val="center"/>
          </w:tcPr>
          <w:p w14:paraId="47EE0C74">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C25细石</w:t>
            </w:r>
          </w:p>
        </w:tc>
        <w:tc>
          <w:tcPr>
            <w:tcW w:w="1484" w:type="pct"/>
            <w:noWrap w:val="0"/>
            <w:vAlign w:val="center"/>
          </w:tcPr>
          <w:p w14:paraId="0A03289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2360</w:t>
            </w:r>
          </w:p>
        </w:tc>
      </w:tr>
      <w:tr w14:paraId="75A18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pct"/>
            <w:noWrap w:val="0"/>
            <w:vAlign w:val="center"/>
          </w:tcPr>
          <w:p w14:paraId="1D6126F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C35</w:t>
            </w:r>
          </w:p>
        </w:tc>
        <w:tc>
          <w:tcPr>
            <w:tcW w:w="1521" w:type="pct"/>
            <w:noWrap w:val="0"/>
            <w:vAlign w:val="center"/>
          </w:tcPr>
          <w:p w14:paraId="51050087">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2372</w:t>
            </w:r>
          </w:p>
        </w:tc>
        <w:tc>
          <w:tcPr>
            <w:tcW w:w="1130" w:type="pct"/>
            <w:noWrap w:val="0"/>
            <w:vAlign w:val="center"/>
          </w:tcPr>
          <w:p w14:paraId="752DA0D3">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C30细石</w:t>
            </w:r>
          </w:p>
        </w:tc>
        <w:tc>
          <w:tcPr>
            <w:tcW w:w="1484" w:type="pct"/>
            <w:noWrap w:val="0"/>
            <w:vAlign w:val="center"/>
          </w:tcPr>
          <w:p w14:paraId="74F9323C">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2364</w:t>
            </w:r>
          </w:p>
        </w:tc>
      </w:tr>
      <w:tr w14:paraId="0F9A5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pct"/>
            <w:noWrap w:val="0"/>
            <w:vAlign w:val="center"/>
          </w:tcPr>
          <w:p w14:paraId="3DD2493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C40</w:t>
            </w:r>
          </w:p>
        </w:tc>
        <w:tc>
          <w:tcPr>
            <w:tcW w:w="1521" w:type="pct"/>
            <w:noWrap w:val="0"/>
            <w:vAlign w:val="center"/>
          </w:tcPr>
          <w:p w14:paraId="715B2C0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2376</w:t>
            </w:r>
          </w:p>
        </w:tc>
        <w:tc>
          <w:tcPr>
            <w:tcW w:w="1130" w:type="pct"/>
            <w:noWrap w:val="0"/>
            <w:vAlign w:val="center"/>
          </w:tcPr>
          <w:p w14:paraId="2050E546">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预拌砂浆</w:t>
            </w:r>
          </w:p>
        </w:tc>
        <w:tc>
          <w:tcPr>
            <w:tcW w:w="1484" w:type="pct"/>
            <w:noWrap w:val="0"/>
            <w:vAlign w:val="center"/>
          </w:tcPr>
          <w:p w14:paraId="26E3042F">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1450</w:t>
            </w:r>
          </w:p>
        </w:tc>
      </w:tr>
      <w:tr w14:paraId="54408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3" w:type="pct"/>
            <w:noWrap w:val="0"/>
            <w:vAlign w:val="center"/>
          </w:tcPr>
          <w:p w14:paraId="0C29370A">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砂浆</w:t>
            </w:r>
          </w:p>
        </w:tc>
        <w:tc>
          <w:tcPr>
            <w:tcW w:w="1521" w:type="pct"/>
            <w:noWrap w:val="0"/>
            <w:vAlign w:val="center"/>
          </w:tcPr>
          <w:p w14:paraId="272E9869">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1800</w:t>
            </w:r>
          </w:p>
        </w:tc>
        <w:tc>
          <w:tcPr>
            <w:tcW w:w="1130" w:type="pct"/>
            <w:noWrap w:val="0"/>
            <w:vAlign w:val="center"/>
          </w:tcPr>
          <w:p w14:paraId="661EA305">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p>
        </w:tc>
        <w:tc>
          <w:tcPr>
            <w:tcW w:w="1484" w:type="pct"/>
            <w:noWrap w:val="0"/>
            <w:vAlign w:val="center"/>
          </w:tcPr>
          <w:p w14:paraId="2D56ACDD">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8"/>
                <w:szCs w:val="28"/>
                <w:highlight w:val="none"/>
                <w:lang w:val="en-US" w:eastAsia="zh-CN"/>
              </w:rPr>
            </w:pPr>
          </w:p>
        </w:tc>
      </w:tr>
    </w:tbl>
    <w:p w14:paraId="6D5B155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1.4甲方将在本项目现场以1立方米/次随机抽样三次进行过磅，其平均值作为当批次砼或砂浆的容重校核值，并与本合同第1.2条和第1.3条对比，以大值作为容重计量依据。</w:t>
      </w:r>
    </w:p>
    <w:p w14:paraId="1D2BAED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bookmarkStart w:id="62" w:name="_Toc8365"/>
      <w:bookmarkStart w:id="63" w:name="_Toc13656"/>
      <w:r>
        <w:rPr>
          <w:rFonts w:hint="eastAsia" w:ascii="仿宋" w:hAnsi="仿宋" w:eastAsia="仿宋" w:cs="仿宋"/>
          <w:color w:val="auto"/>
          <w:sz w:val="28"/>
          <w:highlight w:val="none"/>
          <w:lang w:val="en-US" w:eastAsia="zh-CN"/>
        </w:rPr>
        <w:t>1.5如任意一车产品数量差额在（国标允许范围）±2%内，该车产品以乙方送货单所示数量结算；反之，则以“本项目过磅净重数量”与“乙方送货单所示数量”两者比较数值低的为结算数量。</w:t>
      </w:r>
    </w:p>
    <w:p w14:paraId="7A1C8C1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1.6数量差额计算公式：（本项目过磅净重数量-乙方送货单所示数量）÷乙方送货单所示数量×100%=数量差额。</w:t>
      </w:r>
    </w:p>
    <w:p w14:paraId="7B531CF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color w:val="auto"/>
          <w:sz w:val="28"/>
          <w:highlight w:val="none"/>
          <w:lang w:val="en-US" w:eastAsia="zh-CN"/>
        </w:rPr>
        <w:t>1.7任意一批产品（用于同一浇筑施工段的产品，以甲方当次订购的数量及部位定义为同一批次）如有三车以上（含三车）数量差额超出（详见前述约定）±2%的，属乙方违约，按（1+本批次数量差额最低三车的平均值）×本批次数量（按本合同第1.4条约定计量）的比例结算，乙方就该批次的违约承担违约金1万元～10万元/批（视实际</w:t>
      </w:r>
      <w:r>
        <w:rPr>
          <w:rFonts w:hint="eastAsia" w:ascii="仿宋" w:hAnsi="仿宋" w:eastAsia="仿宋" w:cs="仿宋"/>
          <w:color w:val="auto"/>
          <w:sz w:val="28"/>
          <w:szCs w:val="28"/>
          <w:highlight w:val="none"/>
          <w:u w:val="none"/>
          <w:lang w:val="en-US" w:eastAsia="zh-CN"/>
        </w:rPr>
        <w:t>相差数量，违约金额由甲方确定），且甲方可以从乙方任意一批货款中扣款。</w:t>
      </w:r>
      <w:bookmarkEnd w:id="62"/>
      <w:bookmarkEnd w:id="63"/>
      <w:r>
        <w:rPr>
          <w:rFonts w:hint="eastAsia" w:ascii="仿宋" w:hAnsi="仿宋" w:eastAsia="仿宋" w:cs="仿宋"/>
          <w:b w:val="0"/>
          <w:bCs w:val="0"/>
          <w:color w:val="auto"/>
          <w:sz w:val="28"/>
          <w:szCs w:val="28"/>
          <w:highlight w:val="none"/>
          <w:u w:val="none"/>
          <w:lang w:val="en-US" w:eastAsia="zh-CN"/>
        </w:rPr>
        <w:t xml:space="preserve">                  </w:t>
      </w:r>
    </w:p>
    <w:p w14:paraId="23E9ECD0">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仿宋" w:hAnsi="仿宋" w:eastAsia="仿宋" w:cs="仿宋"/>
          <w:b/>
          <w:bCs/>
          <w:color w:val="auto"/>
          <w:sz w:val="28"/>
          <w:szCs w:val="28"/>
          <w:highlight w:val="none"/>
          <w:lang w:val="en-US" w:eastAsia="zh-CN"/>
        </w:rPr>
      </w:pPr>
      <w:bookmarkStart w:id="64" w:name="_Toc13709"/>
      <w:bookmarkStart w:id="65" w:name="_Toc17081"/>
      <w:bookmarkStart w:id="66" w:name="_Toc15746"/>
      <w:bookmarkStart w:id="67" w:name="_Toc27193"/>
      <w:bookmarkStart w:id="68" w:name="_Toc21358"/>
      <w:bookmarkStart w:id="69" w:name="_Toc22337"/>
      <w:r>
        <w:rPr>
          <w:rFonts w:hint="eastAsia" w:ascii="仿宋" w:hAnsi="仿宋" w:eastAsia="仿宋" w:cs="仿宋"/>
          <w:b/>
          <w:bCs/>
          <w:color w:val="auto"/>
          <w:sz w:val="28"/>
          <w:szCs w:val="28"/>
          <w:highlight w:val="none"/>
          <w:lang w:val="en-US" w:eastAsia="zh-CN"/>
        </w:rPr>
        <w:t>第二章、产品</w:t>
      </w:r>
      <w:r>
        <w:rPr>
          <w:rFonts w:hint="eastAsia" w:ascii="仿宋" w:hAnsi="仿宋" w:eastAsia="仿宋" w:cs="仿宋"/>
          <w:b/>
          <w:bCs/>
          <w:color w:val="auto"/>
          <w:sz w:val="28"/>
          <w:szCs w:val="28"/>
          <w:highlight w:val="none"/>
        </w:rPr>
        <w:t>质量</w:t>
      </w:r>
      <w:bookmarkEnd w:id="64"/>
      <w:bookmarkEnd w:id="65"/>
      <w:r>
        <w:rPr>
          <w:rFonts w:hint="eastAsia" w:ascii="仿宋" w:hAnsi="仿宋" w:eastAsia="仿宋" w:cs="仿宋"/>
          <w:b/>
          <w:bCs/>
          <w:color w:val="auto"/>
          <w:sz w:val="28"/>
          <w:szCs w:val="28"/>
          <w:highlight w:val="none"/>
          <w:lang w:val="en-US" w:eastAsia="zh-CN"/>
        </w:rPr>
        <w:t>要求</w:t>
      </w:r>
      <w:bookmarkEnd w:id="66"/>
      <w:bookmarkEnd w:id="67"/>
      <w:bookmarkEnd w:id="68"/>
      <w:bookmarkEnd w:id="69"/>
    </w:p>
    <w:p w14:paraId="1D7228D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2.1乙方所供产品须满足甲方验收要求且符合本项目所在地建设行政主管部门相关质量验收规范标准和文件要求。</w:t>
      </w:r>
    </w:p>
    <w:p w14:paraId="4054D4A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2.2乙方提供的预拌混凝土质量须符合最新的国家标准</w:t>
      </w:r>
      <w:r>
        <w:rPr>
          <w:rFonts w:hint="eastAsia" w:ascii="仿宋" w:hAnsi="仿宋" w:eastAsia="仿宋" w:cs="仿宋"/>
          <w:color w:val="auto"/>
          <w:sz w:val="28"/>
          <w:highlight w:val="yellow"/>
          <w:lang w:val="en-US" w:eastAsia="zh-CN"/>
        </w:rPr>
        <w:t>《预拌混凝土》（GB/T 14902-2012）</w:t>
      </w:r>
      <w:r>
        <w:rPr>
          <w:rFonts w:hint="eastAsia" w:ascii="仿宋" w:hAnsi="仿宋" w:eastAsia="仿宋" w:cs="仿宋"/>
          <w:color w:val="auto"/>
          <w:sz w:val="28"/>
          <w:highlight w:val="none"/>
          <w:lang w:val="en-US" w:eastAsia="zh-CN"/>
        </w:rPr>
        <w:t>等有关行业和地方标准，并向甲方提供相应的技术资料（包括出厂质量证明书等），以满足并符合本项目当地住建主管部门要求为准。</w:t>
      </w:r>
    </w:p>
    <w:p w14:paraId="0CD537A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2.3产品强度的试验结果评定以最新的国家标准《混凝土强度检验评定标准》（GB/T 50107）及本项目所在地政府主管部门认可的标准、规范为准。</w:t>
      </w:r>
    </w:p>
    <w:p w14:paraId="4BE7EF8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2.4本合同签订后至开始供应产品前，乙方根据甲方对产品的技术要求（详见附件《关于混凝土材料、结构的抗裂措施等说明》）提交书面技术交底报告，注明在现场接收、泵送、浇筑、养护产品的注意事项，且甲乙双方须召开一次会议，对产品供应过程中的技术及双方相关人员的配合、协调等事项进行一次细致的研究和探讨，拟定可行的产品浇筑方案并形成会议纪要。乙方承诺以合格的产品及专业的技术保障甲方的施工质量。</w:t>
      </w:r>
    </w:p>
    <w:p w14:paraId="0E95FCE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yellow"/>
          <w:lang w:val="en-US" w:eastAsia="zh-CN"/>
        </w:rPr>
      </w:pPr>
      <w:r>
        <w:rPr>
          <w:rFonts w:hint="eastAsia" w:ascii="仿宋" w:hAnsi="仿宋" w:eastAsia="仿宋" w:cs="仿宋"/>
          <w:color w:val="auto"/>
          <w:sz w:val="28"/>
          <w:highlight w:val="yellow"/>
          <w:lang w:val="en-US" w:eastAsia="zh-CN"/>
        </w:rPr>
        <w:t>2.5乙方混凝土到达施工现场的坍落度必须符合最新的国家标准《预拌混凝土》（GB/T 14902-2012）及《混凝土结构工程施工规范》（GB 50666-2019）。</w:t>
      </w:r>
    </w:p>
    <w:p w14:paraId="1159C9E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2.6粉煤灰必须符合国家建设现行相关检测标准要求，其细度、需水量比，含水量、三氧化硫、游离氧化钙、安定性等必须检测，并提供当地住建局认可单位出具的相应检测报告给甲方。</w:t>
      </w:r>
    </w:p>
    <w:p w14:paraId="7675775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2.7乙方供应的产品须保证在标准养护下28天的强度达到设计强度和规范验收标准。</w:t>
      </w:r>
    </w:p>
    <w:p w14:paraId="70DB744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2.8乙方供应的产品质量不符合本合同要求的，乙方承担补救费用并赔偿甲方因此造成的损失（包括但不限于：甲方拆除不合格施工部位、重新施工、甲方向第三方采购产生的差价、甲方因此延误工期而向建设方承担的违约责任、赔偿责任等损失）。</w:t>
      </w:r>
    </w:p>
    <w:p w14:paraId="28ADBF0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bookmarkStart w:id="70" w:name="_Toc23033"/>
      <w:bookmarkStart w:id="71" w:name="_Toc4462"/>
      <w:r>
        <w:rPr>
          <w:rFonts w:hint="eastAsia" w:ascii="仿宋" w:hAnsi="仿宋" w:eastAsia="仿宋" w:cs="仿宋"/>
          <w:color w:val="auto"/>
          <w:sz w:val="28"/>
          <w:highlight w:val="none"/>
          <w:lang w:val="en-US" w:eastAsia="zh-CN"/>
        </w:rPr>
        <w:t>2.9因乙方送错产品或产品质量问题造成甲方损失的，由乙方全额赔偿甲方。</w:t>
      </w:r>
    </w:p>
    <w:p w14:paraId="4756383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2.10如乙方原因导致产品浇筑施工过程中发生产品明显的离析现象等质量问题，甲方有权停止使用，余下产品由乙方自行退场处理或调配至合格产品且符合使用要求为止，同时乙方承担因离析现象等质量问题导致的一切责任、损失及费用。</w:t>
      </w:r>
    </w:p>
    <w:p w14:paraId="2988ACD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highlight w:val="none"/>
          <w:lang w:val="en-US" w:eastAsia="zh-CN"/>
        </w:rPr>
        <w:t>2.11如产品质量原因导致</w:t>
      </w:r>
      <w:r>
        <w:rPr>
          <w:rFonts w:hint="eastAsia" w:ascii="仿宋" w:hAnsi="仿宋" w:eastAsia="仿宋" w:cs="仿宋"/>
          <w:color w:val="auto"/>
          <w:sz w:val="28"/>
          <w:szCs w:val="28"/>
          <w:highlight w:val="none"/>
          <w:lang w:val="en-US" w:eastAsia="zh-CN"/>
        </w:rPr>
        <w:t>塞管、爆管的，所产生的费用及损失由乙方承担并赔偿甲方损失。</w:t>
      </w:r>
    </w:p>
    <w:p w14:paraId="71CD8D7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yellow"/>
          <w:lang w:val="en-US" w:eastAsia="zh-CN"/>
        </w:rPr>
        <w:t>2.12乙方提供的预拌砂浆及其原材料质量必须符合国家标准《预拌砂浆》GB/T 25181-2019及GB/T 31245-2024《预拌砂浆术语》最新国家标准及有关行业和地方标准。</w:t>
      </w:r>
    </w:p>
    <w:p w14:paraId="1C820A1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szCs w:val="28"/>
          <w:highlight w:val="yellow"/>
          <w:lang w:val="en-US" w:eastAsia="zh-CN"/>
        </w:rPr>
      </w:pPr>
      <w:r>
        <w:rPr>
          <w:rFonts w:hint="eastAsia" w:ascii="仿宋" w:hAnsi="仿宋" w:eastAsia="仿宋" w:cs="仿宋"/>
          <w:color w:val="auto"/>
          <w:sz w:val="28"/>
          <w:szCs w:val="28"/>
          <w:highlight w:val="yellow"/>
          <w:lang w:val="en-US" w:eastAsia="zh-CN"/>
        </w:rPr>
        <w:t>2.13水泥、混凝土及外加剂的要求：</w:t>
      </w:r>
    </w:p>
    <w:p w14:paraId="052B97F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szCs w:val="28"/>
          <w:highlight w:val="yellow"/>
          <w:lang w:val="en-US" w:eastAsia="zh-CN"/>
        </w:rPr>
      </w:pPr>
      <w:r>
        <w:rPr>
          <w:rFonts w:hint="eastAsia" w:ascii="仿宋" w:hAnsi="仿宋" w:eastAsia="仿宋" w:cs="仿宋"/>
          <w:color w:val="auto"/>
          <w:sz w:val="28"/>
          <w:szCs w:val="28"/>
          <w:highlight w:val="yellow"/>
          <w:lang w:val="en-US" w:eastAsia="zh-CN"/>
        </w:rPr>
        <w:t>2.13.1每一结构层应采用同一厂家同一品种的水泥或混凝土,不得混用。未经主管部门批准,不得使用非商品混凝土。</w:t>
      </w:r>
    </w:p>
    <w:p w14:paraId="670E85F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szCs w:val="28"/>
          <w:highlight w:val="yellow"/>
          <w:lang w:val="en-US" w:eastAsia="zh-CN"/>
        </w:rPr>
      </w:pPr>
      <w:r>
        <w:rPr>
          <w:rFonts w:hint="eastAsia" w:ascii="仿宋" w:hAnsi="仿宋" w:eastAsia="仿宋" w:cs="仿宋"/>
          <w:color w:val="auto"/>
          <w:sz w:val="28"/>
          <w:szCs w:val="28"/>
          <w:highlight w:val="yellow"/>
          <w:lang w:val="en-US" w:eastAsia="zh-CN"/>
        </w:rPr>
        <w:t>2.13.2所有砼的外加剂、超细渗合料(硅粉、粉煤灰)防水渗合料钢纤维、合成纤维等要求在施工前做相溶性试验及配合比试验,试验结果符合强度要求方可施工。外加剂的使用按《混凝土外加剂应用技术规范》GB50119执行。</w:t>
      </w:r>
    </w:p>
    <w:p w14:paraId="4F9CA26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szCs w:val="28"/>
          <w:highlight w:val="yellow"/>
          <w:lang w:val="en-US" w:eastAsia="zh-CN"/>
        </w:rPr>
      </w:pPr>
      <w:r>
        <w:rPr>
          <w:rFonts w:hint="eastAsia" w:ascii="仿宋" w:hAnsi="仿宋" w:eastAsia="仿宋" w:cs="仿宋"/>
          <w:color w:val="auto"/>
          <w:sz w:val="28"/>
          <w:szCs w:val="28"/>
          <w:highlight w:val="yellow"/>
          <w:lang w:val="en-US" w:eastAsia="zh-CN"/>
        </w:rPr>
        <w:t>2.14结构混凝土用砂应符合下列规定:</w:t>
      </w:r>
    </w:p>
    <w:p w14:paraId="2025EF5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szCs w:val="28"/>
          <w:highlight w:val="yellow"/>
          <w:lang w:val="en-US" w:eastAsia="zh-CN"/>
        </w:rPr>
      </w:pPr>
      <w:r>
        <w:rPr>
          <w:rFonts w:hint="eastAsia" w:ascii="仿宋" w:hAnsi="仿宋" w:eastAsia="仿宋" w:cs="仿宋"/>
          <w:color w:val="auto"/>
          <w:sz w:val="28"/>
          <w:szCs w:val="28"/>
          <w:highlight w:val="yellow"/>
          <w:lang w:val="en-US" w:eastAsia="zh-CN"/>
        </w:rPr>
        <w:t>2.14.1砂的坚固性指标不应大于10%；对于有抗渗、抗冻、抗腐蚀、耐磨或其他特殊要求的混凝土,砂的含泥量和泥块含量分别不应大于3.0%和1.0%，坚国性指标不应大于8%；高强混凝土用砂的含泥量和泥块含量分别不应大于2.0%和0.5%；机制砂应按石粉的亚甲蓝值指标和石粉的流动比指标控制石粉含量。</w:t>
      </w:r>
    </w:p>
    <w:p w14:paraId="2D86185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szCs w:val="28"/>
          <w:highlight w:val="yellow"/>
          <w:lang w:val="en-US" w:eastAsia="zh-CN"/>
        </w:rPr>
      </w:pPr>
      <w:r>
        <w:rPr>
          <w:rFonts w:hint="eastAsia" w:ascii="仿宋" w:hAnsi="仿宋" w:eastAsia="仿宋" w:cs="仿宋"/>
          <w:color w:val="auto"/>
          <w:sz w:val="28"/>
          <w:szCs w:val="28"/>
          <w:highlight w:val="yellow"/>
          <w:lang w:val="en-US" w:eastAsia="zh-CN"/>
        </w:rPr>
        <w:t>2.14.2混凝土结构用海砂必须经过净化处理。</w:t>
      </w:r>
    </w:p>
    <w:p w14:paraId="4F3C1A3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yellow"/>
          <w:lang w:val="en-US" w:eastAsia="zh-CN"/>
        </w:rPr>
        <w:t>2.14.3钢筋混凝土用砂的氯离子含量不应大于0.03%,预应力混凝土用砂的氣离子含量不应大于0.01%。</w:t>
      </w:r>
      <w:r>
        <w:rPr>
          <w:rFonts w:hint="eastAsia" w:ascii="仿宋" w:hAnsi="仿宋" w:eastAsia="仿宋" w:cs="仿宋"/>
          <w:color w:val="auto"/>
          <w:sz w:val="28"/>
          <w:szCs w:val="28"/>
          <w:highlight w:val="none"/>
          <w:lang w:val="en-US" w:eastAsia="zh-CN"/>
        </w:rPr>
        <w:t xml:space="preserve">       </w:t>
      </w:r>
    </w:p>
    <w:p w14:paraId="6A60EC63">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仿宋" w:hAnsi="仿宋" w:eastAsia="仿宋" w:cs="仿宋"/>
          <w:b/>
          <w:bCs/>
          <w:color w:val="auto"/>
          <w:sz w:val="28"/>
          <w:szCs w:val="28"/>
          <w:highlight w:val="none"/>
          <w:lang w:val="en-US" w:eastAsia="zh-CN"/>
        </w:rPr>
      </w:pPr>
      <w:bookmarkStart w:id="72" w:name="_Toc29914"/>
      <w:bookmarkStart w:id="73" w:name="_Toc3144"/>
      <w:bookmarkStart w:id="74" w:name="_Toc29158"/>
      <w:bookmarkStart w:id="75" w:name="_Toc18099"/>
      <w:r>
        <w:rPr>
          <w:rFonts w:hint="eastAsia" w:ascii="仿宋" w:hAnsi="仿宋" w:eastAsia="仿宋" w:cs="仿宋"/>
          <w:b/>
          <w:bCs/>
          <w:color w:val="auto"/>
          <w:sz w:val="28"/>
          <w:szCs w:val="28"/>
          <w:highlight w:val="none"/>
          <w:lang w:val="en-US" w:eastAsia="zh-CN"/>
        </w:rPr>
        <w:t>第三章、</w:t>
      </w:r>
      <w:bookmarkEnd w:id="70"/>
      <w:bookmarkEnd w:id="71"/>
      <w:r>
        <w:rPr>
          <w:rFonts w:hint="eastAsia" w:ascii="仿宋" w:hAnsi="仿宋" w:eastAsia="仿宋" w:cs="仿宋"/>
          <w:b/>
          <w:bCs/>
          <w:color w:val="auto"/>
          <w:sz w:val="28"/>
          <w:szCs w:val="28"/>
          <w:highlight w:val="none"/>
          <w:lang w:val="en-US" w:eastAsia="zh-CN"/>
        </w:rPr>
        <w:t>交货及验收</w:t>
      </w:r>
      <w:bookmarkEnd w:id="72"/>
      <w:bookmarkEnd w:id="73"/>
      <w:bookmarkEnd w:id="74"/>
      <w:bookmarkEnd w:id="75"/>
    </w:p>
    <w:p w14:paraId="109113E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3.1产品送到交货地点时，产品运输时间、产品拌合物性能、产品所附带的出厂检验合格等相关资料不符合标准或合同约定时，甲方拒收该车产品，乙方自行退场处理并重新供应符合要求的产品。</w:t>
      </w:r>
    </w:p>
    <w:p w14:paraId="6DD4381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3.2每批产品浇筑前，乙方须将该批产品的原材料检验报告、配合比设计报告等所有本项目需要的资料送交甲方，如甲方要求质检站出具该批产品原材料检验报告，则由乙方无偿提供原材料。</w:t>
      </w:r>
    </w:p>
    <w:p w14:paraId="29039E8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3.4供应产品时，乙方定期派技术人员到浇筑现场进行技术服务</w:t>
      </w:r>
      <w:r>
        <w:rPr>
          <w:rFonts w:hint="eastAsia" w:ascii="仿宋" w:hAnsi="仿宋" w:eastAsia="仿宋" w:cs="仿宋"/>
          <w:b w:val="0"/>
          <w:bCs w:val="0"/>
          <w:color w:val="auto"/>
          <w:sz w:val="28"/>
          <w:szCs w:val="28"/>
          <w:highlight w:val="none"/>
          <w:lang w:val="en-US" w:eastAsia="zh-CN"/>
        </w:rPr>
        <w:t>。供应大方量产品（单次浇筑量</w:t>
      </w:r>
      <w:r>
        <w:rPr>
          <w:rFonts w:hint="eastAsia" w:ascii="仿宋" w:hAnsi="仿宋" w:eastAsia="仿宋" w:cs="仿宋"/>
          <w:b w:val="0"/>
          <w:bCs w:val="0"/>
          <w:color w:val="auto"/>
          <w:sz w:val="28"/>
          <w:szCs w:val="28"/>
          <w:highlight w:val="none"/>
          <w:u w:val="single"/>
          <w:lang w:val="en-US" w:eastAsia="zh-CN"/>
        </w:rPr>
        <w:t>≥200m³</w:t>
      </w:r>
      <w:r>
        <w:rPr>
          <w:rFonts w:hint="eastAsia" w:ascii="仿宋" w:hAnsi="仿宋" w:eastAsia="仿宋" w:cs="仿宋"/>
          <w:b w:val="0"/>
          <w:bCs w:val="0"/>
          <w:color w:val="auto"/>
          <w:sz w:val="28"/>
          <w:szCs w:val="28"/>
          <w:highlight w:val="none"/>
          <w:lang w:val="en-US" w:eastAsia="zh-CN"/>
        </w:rPr>
        <w:t>）时，乙方派技术人员到浇筑现场进行全程技术服</w:t>
      </w:r>
      <w:r>
        <w:rPr>
          <w:rFonts w:hint="eastAsia" w:ascii="仿宋" w:hAnsi="仿宋" w:eastAsia="仿宋" w:cs="仿宋"/>
          <w:color w:val="auto"/>
          <w:sz w:val="28"/>
          <w:highlight w:val="none"/>
          <w:lang w:val="en-US" w:eastAsia="zh-CN"/>
        </w:rPr>
        <w:t>务。本条所述服务涉及的费用已含于合同结算单价中，甲方无需再付费给乙方。</w:t>
      </w:r>
    </w:p>
    <w:p w14:paraId="28B3609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3.5收货验收流程及标准：</w:t>
      </w:r>
    </w:p>
    <w:p w14:paraId="56BA98C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3.5.1每车产品进场后，甲方按最新版的国家标准《预拌混凝土》（GB/T 14902）对乙方所供产品进行现场取样，其结果作为验收产品表面、外观质量的依据。如现场抽样送检试块强度不合格或甲方认为产品有质量问题且甲乙双方意见不一致时，根据质检站要求使用抽芯及超声波综合法等方法进行检测（具体方法以甲方确定为准），对现场抽样送检费用，若产品检验合格则由甲方承担，不合格则由乙方承担且乙方承担由此产生的责任、费用并无条件将该批产品更换为合格产品（货期不予延长），同时甲方亦有权单方解除合同。如甲方单方解除合同，乙方退还全部已收款项并赔偿甲方损失。甲方按照规范现场取样并进行养护，其结果作为甲方工程质量管理，工程资料组卷归档，各种验收，货款支付，质量责任、违约责任及损失费用划分及承担的依据。</w:t>
      </w:r>
    </w:p>
    <w:p w14:paraId="76A3107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3.6产品送至交货地点后，尽管现场表观验收结果合格，如果有下列情形之一的，则由乙方承担全部责任、损失及费用：</w:t>
      </w:r>
    </w:p>
    <w:p w14:paraId="4AEAE4C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3.6.1混凝土使用原材料不合格的及混凝土质量不符合国家相关规范规定及地方标准文件的；</w:t>
      </w:r>
    </w:p>
    <w:p w14:paraId="105C7A9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3.6.2混凝土配合比设计或实际使用的生产配比有误的；</w:t>
      </w:r>
    </w:p>
    <w:p w14:paraId="6B1EC8E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3.6.3游离氧化钙f-CaO对混凝土质量有不良影响，混凝土氯离子含量及其他耐久性指标不满足设计要求的；</w:t>
      </w:r>
    </w:p>
    <w:p w14:paraId="0516649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3.6.4因乙方送错料或混凝土本身质量问题的；</w:t>
      </w:r>
    </w:p>
    <w:p w14:paraId="52F753A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3.6.5部分混凝土出现外加剂用量不准确的 (目测是无法判别的,通过浇筑到现场的混凝土凝固时间和拆模后的外观判定)；</w:t>
      </w:r>
    </w:p>
    <w:p w14:paraId="0DD7BD1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3.6.6混凝土浇筑施工过程当中发现有离析现象等质量问题的；</w:t>
      </w:r>
    </w:p>
    <w:p w14:paraId="6EA44EE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3.6.7用回弹仪对混凝士的标准养护试块及现场结构进行回弹检测，试块强度不能达到设计强度的100%。</w:t>
      </w:r>
    </w:p>
    <w:p w14:paraId="4472B4A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3.6.8乙方在其原材料检验检测，施工配合比设计，预拌生产过程中不按国家相关规范执行的。</w:t>
      </w:r>
    </w:p>
    <w:p w14:paraId="7059EDCD">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textAlignment w:val="auto"/>
        <w:outlineLvl w:val="1"/>
        <w:rPr>
          <w:rFonts w:hint="eastAsia" w:ascii="仿宋" w:hAnsi="仿宋" w:eastAsia="仿宋" w:cs="仿宋"/>
          <w:b/>
          <w:bCs/>
          <w:color w:val="auto"/>
          <w:sz w:val="28"/>
          <w:szCs w:val="28"/>
          <w:highlight w:val="none"/>
          <w:lang w:val="en-US" w:eastAsia="zh-CN"/>
        </w:rPr>
      </w:pPr>
      <w:bookmarkStart w:id="76" w:name="_Toc32257"/>
      <w:bookmarkStart w:id="77" w:name="_Toc1756"/>
      <w:bookmarkStart w:id="78" w:name="_Toc6451"/>
      <w:bookmarkStart w:id="79" w:name="_Toc7651"/>
      <w:r>
        <w:rPr>
          <w:rFonts w:hint="eastAsia" w:ascii="仿宋" w:hAnsi="仿宋" w:eastAsia="仿宋" w:cs="仿宋"/>
          <w:b/>
          <w:bCs/>
          <w:color w:val="auto"/>
          <w:sz w:val="28"/>
          <w:szCs w:val="28"/>
          <w:highlight w:val="none"/>
          <w:lang w:val="en-US" w:eastAsia="zh-CN"/>
        </w:rPr>
        <w:t>双方责任、义务</w:t>
      </w:r>
      <w:bookmarkEnd w:id="76"/>
      <w:bookmarkEnd w:id="77"/>
    </w:p>
    <w:p w14:paraId="0CCAF8B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1"/>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4.1甲方责任、义务</w:t>
      </w:r>
    </w:p>
    <w:p w14:paraId="09C015E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4.1.1甲方为乙方提供的接收产品条件为：施工现场内道路畅通，施工现场内有临时的清洁车辆场地、照明、用水设施，施工现场内设立相关标志，施工现场内开设安全通道并设专人指挥搅拌车进出及卸料。</w:t>
      </w:r>
    </w:p>
    <w:p w14:paraId="79EEF21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4.1.2甲方不得对产品违规加水或加入其他掺合料，否则造成质量问题及损失由甲方自行负责。</w:t>
      </w:r>
    </w:p>
    <w:p w14:paraId="2276D44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4.1.3甲方编制的《商品混凝土、砂浆验收管理制度》为本合同不可分割的组成部分，与合同正文具有同等效力，乙方须照章供应。此类文件及本合同附件表格格式以施工当期甲方提供的最新版为准，最终解释权归甲方所有。</w:t>
      </w:r>
    </w:p>
    <w:p w14:paraId="2398EF9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4.1.4</w:t>
      </w:r>
      <w:r>
        <w:rPr>
          <w:rFonts w:hint="default" w:ascii="仿宋" w:hAnsi="仿宋" w:eastAsia="仿宋" w:cs="仿宋"/>
          <w:color w:val="auto"/>
          <w:sz w:val="28"/>
          <w:highlight w:val="none"/>
          <w:lang w:val="en-US" w:eastAsia="zh-CN"/>
        </w:rPr>
        <w:t>甲方应对乙方进场的施工人员进行安全教育。</w:t>
      </w:r>
    </w:p>
    <w:p w14:paraId="38E9D56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4.1.5</w:t>
      </w:r>
      <w:r>
        <w:rPr>
          <w:rFonts w:hint="default" w:ascii="仿宋" w:hAnsi="仿宋" w:eastAsia="仿宋" w:cs="仿宋"/>
          <w:color w:val="auto"/>
          <w:sz w:val="28"/>
          <w:highlight w:val="none"/>
          <w:lang w:val="en-US" w:eastAsia="zh-CN"/>
        </w:rPr>
        <w:t>甲方不得违反《建设工程安全生产管理条例》(有更新版本则按最新版本执行)的规定要求乙方违章施工。因甲方指挥失误导致的安全事故由甲方承担相应责任和费用。</w:t>
      </w:r>
    </w:p>
    <w:p w14:paraId="051246E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4.1.6甲方对乙方向乙方人员发放报酬的情况有知情权，乙方工人工资金额由乙方提供书面文件给甲方项目部及甲方工程部核实确定，甲方有权知晓乙方本项目工作人员的工资分发制度和实施情况，对不合理、违规的分发甲方有权制止及干预。乙方应及时支付工人工资及材料款，如乙方欠款导致甲方被追索或被处罚，甲方有权自应付乙方的款项中扣款代付，但此举不视为甲方同意对乙方债务承担责任。乙方对甲方代付行为及金额无异议，如应付给乙方的合同款不足代付导致甲方需另行垫付费用，乙方在甲方发出书面通知起3个日历天内还清甲方垫付款并自甲方垫付之日起按年利率15%的标准支付利息给甲方，其他相应处罚按本合同相关条款执行。</w:t>
      </w:r>
    </w:p>
    <w:p w14:paraId="6D68887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4.2乙方责任、义务</w:t>
      </w:r>
    </w:p>
    <w:p w14:paraId="7D68F01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4.2.1乙方送货不及时【包含不限于：在浇筑混凝土过程中供料中断40分钟（包括甲方退回的）】导致的各种损失（包括但不限于甲方向第三方采购产生的差价、甲方因此延误工期而向建设方承担的违约责任、赔偿责任等间接损失）及费用由乙方承担，且甲方有权向乙方计取壹万元/次的违约金。如乙方供货不及时情况发生2次以上，甲方可随时单方解除合同，同时乙方赔偿甲方因此产生的损失（包括但不限于甲方向第三方采购产生的差价、甲方因此延误工期而向建设方承担的违约责任、赔偿责任等间接损失）和全部费用。</w:t>
      </w:r>
    </w:p>
    <w:p w14:paraId="1611537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4.2.2合同履行过程中，乙方人员进入甲方施工现场期间必须自备安全防护用品，并服从甲方管理。乙方必须为其人员购买社会保险及人身意外伤害保险，一切安全事故和交通事故均由乙方自行承担。因乙方人员违反施工现场规定，导致甲方被建设单位、监理或建设行政相关部门处罚的一切费用均由乙方承担，并且甲方有权计收壹万元/次的违约金。乙方履行合同、作业期间发生的安全事故由乙方自行解决并承担全部费用，甲方不承担任何义务及责任。如乙方原因导致人员伤亡、财产受损（包括甲方、乙方、第三方的人员、财产），由乙方承担全部责任，如因此导致甲方被追究责任的，甲方有权向乙方追偿，乙方应赔偿甲方的全部损失。</w:t>
      </w:r>
    </w:p>
    <w:p w14:paraId="643DB5B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4.2.3</w:t>
      </w:r>
      <w:r>
        <w:rPr>
          <w:rFonts w:hint="default" w:ascii="仿宋" w:hAnsi="仿宋" w:eastAsia="仿宋" w:cs="仿宋"/>
          <w:color w:val="auto"/>
          <w:sz w:val="28"/>
          <w:highlight w:val="none"/>
          <w:lang w:val="en-US" w:eastAsia="zh-CN"/>
        </w:rPr>
        <w:t>乙方在服务过程中的个人防护用品(如安全帽、手套等)由乙方自理，费用已包含在合同单价中。乙方人员须自觉穿戴好防护用品，因乙方防护不当造成事故的由乙方自行承担全部责任和费用。</w:t>
      </w:r>
      <w:r>
        <w:rPr>
          <w:rFonts w:hint="eastAsia" w:ascii="仿宋" w:hAnsi="仿宋" w:eastAsia="仿宋" w:cs="仿宋"/>
          <w:color w:val="auto"/>
          <w:sz w:val="28"/>
          <w:highlight w:val="none"/>
          <w:lang w:val="en-US" w:eastAsia="zh-CN"/>
        </w:rPr>
        <w:t>如由甲方统一采购</w:t>
      </w:r>
      <w:r>
        <w:rPr>
          <w:rFonts w:hint="default" w:ascii="仿宋" w:hAnsi="仿宋" w:eastAsia="仿宋" w:cs="仿宋"/>
          <w:color w:val="auto"/>
          <w:sz w:val="28"/>
          <w:highlight w:val="none"/>
          <w:lang w:val="en-US" w:eastAsia="zh-CN"/>
        </w:rPr>
        <w:t>劳保用品</w:t>
      </w:r>
      <w:r>
        <w:rPr>
          <w:rFonts w:hint="eastAsia" w:ascii="仿宋" w:hAnsi="仿宋" w:eastAsia="仿宋" w:cs="仿宋"/>
          <w:color w:val="auto"/>
          <w:sz w:val="28"/>
          <w:highlight w:val="none"/>
          <w:lang w:val="en-US" w:eastAsia="zh-CN"/>
        </w:rPr>
        <w:t>，则</w:t>
      </w:r>
      <w:r>
        <w:rPr>
          <w:rFonts w:hint="default" w:ascii="仿宋" w:hAnsi="仿宋" w:eastAsia="仿宋" w:cs="仿宋"/>
          <w:color w:val="auto"/>
          <w:sz w:val="28"/>
          <w:highlight w:val="none"/>
          <w:lang w:val="en-US" w:eastAsia="zh-CN"/>
        </w:rPr>
        <w:t>配置标准具体实施及费用收取标准、办法</w:t>
      </w:r>
      <w:r>
        <w:rPr>
          <w:rFonts w:hint="eastAsia" w:ascii="仿宋" w:hAnsi="仿宋" w:eastAsia="仿宋" w:cs="仿宋"/>
          <w:color w:val="auto"/>
          <w:sz w:val="28"/>
          <w:highlight w:val="none"/>
          <w:lang w:val="en-US" w:eastAsia="zh-CN"/>
        </w:rPr>
        <w:t>如下</w:t>
      </w:r>
      <w:r>
        <w:rPr>
          <w:rFonts w:hint="default" w:ascii="仿宋" w:hAnsi="仿宋" w:eastAsia="仿宋" w:cs="仿宋"/>
          <w:color w:val="auto"/>
          <w:sz w:val="28"/>
          <w:highlight w:val="none"/>
          <w:lang w:val="en-US" w:eastAsia="zh-CN"/>
        </w:rPr>
        <w:t>：</w:t>
      </w:r>
    </w:p>
    <w:p w14:paraId="2F0C430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4.2.3.1</w:t>
      </w:r>
      <w:r>
        <w:rPr>
          <w:rFonts w:hint="default" w:ascii="仿宋" w:hAnsi="仿宋" w:eastAsia="仿宋" w:cs="仿宋"/>
          <w:color w:val="auto"/>
          <w:sz w:val="28"/>
          <w:highlight w:val="none"/>
          <w:lang w:val="en-US" w:eastAsia="zh-CN"/>
        </w:rPr>
        <w:t>本工程配置黄色的安全帽、荧光黄色的反光背心，款式按甲方颁布的《劳保用品配置标准及司旗款式》（V2022）制度执行。</w:t>
      </w:r>
    </w:p>
    <w:p w14:paraId="4D5ADE7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4.2.3.2</w:t>
      </w:r>
      <w:r>
        <w:rPr>
          <w:rFonts w:hint="default" w:ascii="仿宋" w:hAnsi="仿宋" w:eastAsia="仿宋" w:cs="仿宋"/>
          <w:color w:val="auto"/>
          <w:sz w:val="28"/>
          <w:highlight w:val="none"/>
          <w:lang w:val="en-US" w:eastAsia="zh-CN"/>
        </w:rPr>
        <w:t>甲方提供安全帽20元/顶、反光背心15元/件，按乙方实际领取数量的对应金额在结算时进行扣除。</w:t>
      </w:r>
    </w:p>
    <w:p w14:paraId="7C8B69D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4.2.4乙方若发生本合同约定的责任或义务任意一条的行为均属违约，乙方除按相应条款承担包括但不限于合同所述的违约责任外，甲方可随时单方解除合同，同时乙方赔偿甲方因此遭受的损失。</w:t>
      </w:r>
    </w:p>
    <w:p w14:paraId="6D21885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4.2.5乙方应支付的赔偿及违约金，甲方有权从应付未付款中直接扣除，未付的合同款不足以支付违约金的，由乙方在甲方规定期限内另行支付给甲方。</w:t>
      </w:r>
    </w:p>
    <w:p w14:paraId="227DC98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4.2.6</w:t>
      </w:r>
      <w:r>
        <w:rPr>
          <w:rFonts w:hint="default" w:ascii="仿宋" w:hAnsi="仿宋" w:eastAsia="仿宋" w:cs="仿宋"/>
          <w:color w:val="auto"/>
          <w:sz w:val="28"/>
          <w:highlight w:val="none"/>
          <w:lang w:val="en-US" w:eastAsia="zh-CN"/>
        </w:rPr>
        <w:t>乙方必须对操作员等乙方人员进行安全教育，操作员必须持证上岗并坚守岗位，特殊情况需离开工地的，须经甲方项目部批准后方能离开。</w:t>
      </w:r>
    </w:p>
    <w:p w14:paraId="0B7D42B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4.2.7</w:t>
      </w:r>
      <w:r>
        <w:rPr>
          <w:rFonts w:hint="default" w:ascii="仿宋" w:hAnsi="仿宋" w:eastAsia="仿宋" w:cs="仿宋"/>
          <w:color w:val="auto"/>
          <w:sz w:val="28"/>
          <w:highlight w:val="none"/>
          <w:lang w:val="en-US" w:eastAsia="zh-CN"/>
        </w:rPr>
        <w:t>乙方人员进场时须提供本项目所在地三甲医院出具的体检健康证明，否则甲方有权将无证人员驱逐出本项目。无论乙方是否提供该证明乙方人员须身体健康，无妨碍从事工作的疾病和生理缺陷，符合进场及该工种的操作要求。因乙方人员自身疾病或生理缺陷等原因导致的伤亡均由乙方自行承担全责，甲方无需承担责任及赔偿任何费用</w:t>
      </w:r>
      <w:r>
        <w:rPr>
          <w:rFonts w:hint="eastAsia" w:ascii="仿宋" w:hAnsi="仿宋" w:eastAsia="仿宋" w:cs="仿宋"/>
          <w:color w:val="auto"/>
          <w:sz w:val="28"/>
          <w:highlight w:val="none"/>
          <w:lang w:val="en-US" w:eastAsia="zh-CN"/>
        </w:rPr>
        <w:t>。</w:t>
      </w:r>
    </w:p>
    <w:p w14:paraId="19897C7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4.2.8</w:t>
      </w:r>
      <w:r>
        <w:rPr>
          <w:rFonts w:hint="default" w:ascii="仿宋" w:hAnsi="仿宋" w:eastAsia="仿宋" w:cs="仿宋"/>
          <w:color w:val="auto"/>
          <w:sz w:val="28"/>
          <w:highlight w:val="none"/>
          <w:lang w:val="en-US" w:eastAsia="zh-CN"/>
        </w:rPr>
        <w:t>乙方须如实主动申报及发放工人工资，甲方有权核对，如发现乙方弄虚作假，甲方暂停支付乙方合同款。</w:t>
      </w:r>
    </w:p>
    <w:p w14:paraId="01B339D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4.2.9</w:t>
      </w:r>
      <w:r>
        <w:rPr>
          <w:rFonts w:hint="default" w:ascii="仿宋" w:hAnsi="仿宋" w:eastAsia="仿宋" w:cs="仿宋"/>
          <w:color w:val="auto"/>
          <w:sz w:val="28"/>
          <w:highlight w:val="none"/>
          <w:lang w:val="en-US" w:eastAsia="zh-CN"/>
        </w:rPr>
        <w:t>乙方人员(包括乙方家属、朋友等人员)在本项目地点发生的所有安全事故均与甲方无关，甲方不承担任何责任和费用，一切责任和费用由乙方承担。</w:t>
      </w:r>
    </w:p>
    <w:p w14:paraId="2872B60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4.2.10</w:t>
      </w:r>
      <w:r>
        <w:rPr>
          <w:rFonts w:hint="default" w:ascii="仿宋" w:hAnsi="仿宋" w:eastAsia="仿宋" w:cs="仿宋"/>
          <w:color w:val="auto"/>
          <w:sz w:val="28"/>
          <w:highlight w:val="none"/>
          <w:lang w:val="en-US" w:eastAsia="zh-CN"/>
        </w:rPr>
        <w:t>本合同履行过程中，乙方设备的维护、保养及年检等由乙方自行负责，须按政府主管部门的要求及规定对设备进行年检，相关费用已含于本合同单价中。乙方设备在租赁期间因年检过期、无牌、无证驾驶、环境污染等行为遭到包括交通、环保等政府主管部门的处罚均由乙方自行负责。</w:t>
      </w:r>
    </w:p>
    <w:p w14:paraId="0CBE0B6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4.2.11</w:t>
      </w:r>
      <w:r>
        <w:rPr>
          <w:rFonts w:hint="default" w:ascii="仿宋" w:hAnsi="仿宋" w:eastAsia="仿宋" w:cs="仿宋"/>
          <w:color w:val="auto"/>
          <w:sz w:val="28"/>
          <w:highlight w:val="none"/>
          <w:lang w:val="en-US" w:eastAsia="zh-CN"/>
        </w:rPr>
        <w:t>乙方进入本项目现场的工作人员年龄必须在18至55周岁之间(政府部门有更严格要求的，从其要求)。乙方及其人员的社会保险费、人身意外伤害保险费及乙方对本项目成果承担质量保修工作的有关费用等已包含在本合同价格中，甲方无需另行支付费用给乙方。</w:t>
      </w:r>
    </w:p>
    <w:p w14:paraId="2B6EA4D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4.2.12</w:t>
      </w:r>
      <w:r>
        <w:rPr>
          <w:rFonts w:hint="default" w:ascii="仿宋" w:hAnsi="仿宋" w:eastAsia="仿宋" w:cs="仿宋"/>
          <w:color w:val="auto"/>
          <w:sz w:val="28"/>
          <w:highlight w:val="none"/>
          <w:lang w:val="en-US" w:eastAsia="zh-CN"/>
        </w:rPr>
        <w:t>乙方须严格遵守《建设工程安全生产管理条例》(有更新版本则按最新版本执行)及有关文件安全管理规定，组织安排工人施工，消除安全患。乙方保证甲方不承担任何因乙方原因导致的人身伤亡或财产损失或赔偿责任，保障甲方不承担任何因乙方及其人员引起的诉讼、控告、索赔责任及发生的相关费用，否则甲方的全部损失由乙方赔偿。</w:t>
      </w:r>
    </w:p>
    <w:p w14:paraId="4B1BFBA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4.2.13</w:t>
      </w:r>
      <w:r>
        <w:rPr>
          <w:rFonts w:hint="default" w:ascii="仿宋" w:hAnsi="仿宋" w:eastAsia="仿宋" w:cs="仿宋"/>
          <w:color w:val="auto"/>
          <w:sz w:val="28"/>
          <w:highlight w:val="none"/>
          <w:lang w:val="en-US" w:eastAsia="zh-CN"/>
        </w:rPr>
        <w:t>如本项目因乙方原因出现损失、损害或损坏，乙方须立即修复、补救及更换或维修任何受破坏或损坏之部位，同时按甲方要求清理及弃置任何残骸。</w:t>
      </w:r>
    </w:p>
    <w:p w14:paraId="3CBAB86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4.2.14</w:t>
      </w:r>
      <w:r>
        <w:rPr>
          <w:rFonts w:hint="default" w:ascii="仿宋" w:hAnsi="仿宋" w:eastAsia="仿宋" w:cs="仿宋"/>
          <w:color w:val="auto"/>
          <w:sz w:val="28"/>
          <w:highlight w:val="none"/>
          <w:lang w:val="en-US" w:eastAsia="zh-CN"/>
        </w:rPr>
        <w:t>乙方须对本</w:t>
      </w:r>
      <w:r>
        <w:rPr>
          <w:rFonts w:hint="eastAsia" w:ascii="仿宋" w:hAnsi="仿宋" w:eastAsia="仿宋" w:cs="仿宋"/>
          <w:color w:val="auto"/>
          <w:sz w:val="28"/>
          <w:highlight w:val="none"/>
          <w:lang w:val="en-US" w:eastAsia="zh-CN"/>
        </w:rPr>
        <w:t>项目</w:t>
      </w:r>
      <w:r>
        <w:rPr>
          <w:rFonts w:hint="default" w:ascii="仿宋" w:hAnsi="仿宋" w:eastAsia="仿宋" w:cs="仿宋"/>
          <w:color w:val="auto"/>
          <w:sz w:val="28"/>
          <w:highlight w:val="none"/>
          <w:lang w:val="en-US" w:eastAsia="zh-CN"/>
        </w:rPr>
        <w:t>涉及的乙方人员购买人身意外伤害险等保险，保额不低于死亡赔偿人民币150万元/人及伤害赔偿人民币15万元/人，相关费用已含于本合同约定的合同价中甲方无需另行支付给乙方。乙方须自保险合同生效之日起5个日历天内将保险合同复印件（加盖乙方公章）提交甲方项目部留存。</w:t>
      </w:r>
    </w:p>
    <w:p w14:paraId="3950D29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4.2.15合同所述的执行标准如互相矛盾，或与本合同未写入的其他强制性规范、标准有矛盾时，乙方按要求标准高的执行。</w:t>
      </w:r>
    </w:p>
    <w:p w14:paraId="355C61D6">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eastAsia" w:ascii="仿宋_GB2312" w:hAnsi="仿宋_GB2312" w:eastAsia="仿宋_GB2312" w:cs="仿宋_GB2312"/>
          <w:b/>
          <w:bCs/>
          <w:i w:val="0"/>
          <w:iCs w:val="0"/>
          <w:color w:val="auto"/>
          <w:kern w:val="0"/>
          <w:sz w:val="32"/>
          <w:szCs w:val="32"/>
          <w:highlight w:val="none"/>
          <w:shd w:val="clear" w:fill="auto"/>
          <w:lang w:val="en-US" w:eastAsia="zh-CN" w:bidi="ar-SA"/>
        </w:rPr>
      </w:pPr>
      <w:bookmarkStart w:id="80" w:name="_Toc226"/>
      <w:bookmarkStart w:id="81" w:name="_Toc14555"/>
      <w:bookmarkStart w:id="82" w:name="_Toc20498"/>
      <w:bookmarkStart w:id="83" w:name="_Toc26760"/>
      <w:bookmarkStart w:id="84" w:name="_Toc18049"/>
      <w:bookmarkStart w:id="85" w:name="_Toc20045"/>
      <w:bookmarkStart w:id="86" w:name="_Toc14543"/>
    </w:p>
    <w:p w14:paraId="18585F5B">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eastAsia" w:ascii="仿宋_GB2312" w:hAnsi="仿宋_GB2312" w:eastAsia="仿宋_GB2312" w:cs="仿宋_GB2312"/>
          <w:b/>
          <w:bCs/>
          <w:i w:val="0"/>
          <w:iCs w:val="0"/>
          <w:color w:val="auto"/>
          <w:kern w:val="0"/>
          <w:sz w:val="32"/>
          <w:szCs w:val="32"/>
          <w:highlight w:val="none"/>
          <w:shd w:val="clear" w:fill="auto"/>
          <w:lang w:val="en-US" w:eastAsia="zh-CN" w:bidi="ar-SA"/>
        </w:rPr>
      </w:pPr>
    </w:p>
    <w:p w14:paraId="648995C1">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eastAsia" w:ascii="仿宋_GB2312" w:hAnsi="仿宋_GB2312" w:eastAsia="仿宋_GB2312" w:cs="仿宋_GB2312"/>
          <w:b/>
          <w:bCs/>
          <w:i w:val="0"/>
          <w:iCs w:val="0"/>
          <w:color w:val="auto"/>
          <w:kern w:val="0"/>
          <w:sz w:val="32"/>
          <w:szCs w:val="32"/>
          <w:highlight w:val="none"/>
          <w:shd w:val="clear" w:fill="auto"/>
          <w:lang w:val="en-US" w:eastAsia="zh-CN" w:bidi="ar-SA"/>
        </w:rPr>
      </w:pPr>
    </w:p>
    <w:p w14:paraId="3823A1C7">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eastAsia" w:ascii="仿宋_GB2312" w:hAnsi="仿宋_GB2312" w:eastAsia="仿宋_GB2312" w:cs="仿宋_GB2312"/>
          <w:b/>
          <w:bCs/>
          <w:i w:val="0"/>
          <w:iCs w:val="0"/>
          <w:color w:val="auto"/>
          <w:kern w:val="0"/>
          <w:sz w:val="32"/>
          <w:szCs w:val="32"/>
          <w:highlight w:val="none"/>
          <w:shd w:val="clear" w:fill="auto"/>
          <w:lang w:val="en-US" w:eastAsia="zh-CN" w:bidi="ar-SA"/>
        </w:rPr>
      </w:pPr>
    </w:p>
    <w:p w14:paraId="7AA6C081">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eastAsia" w:ascii="仿宋_GB2312" w:hAnsi="仿宋_GB2312" w:eastAsia="仿宋_GB2312" w:cs="仿宋_GB2312"/>
          <w:b/>
          <w:bCs/>
          <w:i w:val="0"/>
          <w:iCs w:val="0"/>
          <w:color w:val="auto"/>
          <w:kern w:val="0"/>
          <w:sz w:val="32"/>
          <w:szCs w:val="32"/>
          <w:highlight w:val="none"/>
          <w:shd w:val="clear" w:fill="auto"/>
          <w:lang w:val="en-US" w:eastAsia="zh-CN" w:bidi="ar-SA"/>
        </w:rPr>
      </w:pPr>
    </w:p>
    <w:p w14:paraId="5AAD4C03">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eastAsia" w:ascii="仿宋_GB2312" w:hAnsi="仿宋_GB2312" w:eastAsia="仿宋_GB2312" w:cs="仿宋_GB2312"/>
          <w:b/>
          <w:bCs/>
          <w:i w:val="0"/>
          <w:iCs w:val="0"/>
          <w:color w:val="auto"/>
          <w:kern w:val="0"/>
          <w:sz w:val="32"/>
          <w:szCs w:val="32"/>
          <w:highlight w:val="none"/>
          <w:shd w:val="clear" w:fill="auto"/>
          <w:lang w:val="en-US" w:eastAsia="zh-CN" w:bidi="ar-SA"/>
        </w:rPr>
      </w:pPr>
    </w:p>
    <w:p w14:paraId="2CBCD5E1">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eastAsia" w:ascii="仿宋_GB2312" w:hAnsi="仿宋_GB2312" w:eastAsia="仿宋_GB2312" w:cs="仿宋_GB2312"/>
          <w:b/>
          <w:bCs/>
          <w:i w:val="0"/>
          <w:iCs w:val="0"/>
          <w:color w:val="auto"/>
          <w:kern w:val="0"/>
          <w:sz w:val="32"/>
          <w:szCs w:val="32"/>
          <w:highlight w:val="none"/>
          <w:shd w:val="clear" w:fill="auto"/>
          <w:lang w:val="en-US" w:eastAsia="zh-CN" w:bidi="ar-SA"/>
        </w:rPr>
      </w:pPr>
    </w:p>
    <w:p w14:paraId="4848EBCA">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eastAsia" w:ascii="仿宋_GB2312" w:hAnsi="仿宋_GB2312" w:eastAsia="仿宋_GB2312" w:cs="仿宋_GB2312"/>
          <w:b/>
          <w:bCs/>
          <w:i w:val="0"/>
          <w:iCs w:val="0"/>
          <w:color w:val="auto"/>
          <w:kern w:val="0"/>
          <w:sz w:val="32"/>
          <w:szCs w:val="32"/>
          <w:highlight w:val="none"/>
          <w:shd w:val="clear" w:fill="auto"/>
          <w:lang w:val="en-US" w:eastAsia="zh-CN" w:bidi="ar-SA"/>
        </w:rPr>
      </w:pPr>
    </w:p>
    <w:p w14:paraId="658A2730">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eastAsia" w:ascii="仿宋_GB2312" w:hAnsi="仿宋_GB2312" w:eastAsia="仿宋_GB2312" w:cs="仿宋_GB2312"/>
          <w:b/>
          <w:bCs/>
          <w:i w:val="0"/>
          <w:iCs w:val="0"/>
          <w:color w:val="auto"/>
          <w:kern w:val="0"/>
          <w:sz w:val="32"/>
          <w:szCs w:val="32"/>
          <w:highlight w:val="none"/>
          <w:shd w:val="clear" w:fill="auto"/>
          <w:lang w:val="en-US" w:eastAsia="zh-CN" w:bidi="ar-SA"/>
        </w:rPr>
      </w:pPr>
    </w:p>
    <w:p w14:paraId="2EDD7E30">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eastAsia" w:ascii="仿宋_GB2312" w:hAnsi="仿宋_GB2312" w:eastAsia="仿宋_GB2312" w:cs="仿宋_GB2312"/>
          <w:b/>
          <w:bCs/>
          <w:i w:val="0"/>
          <w:iCs w:val="0"/>
          <w:color w:val="auto"/>
          <w:kern w:val="0"/>
          <w:sz w:val="32"/>
          <w:szCs w:val="32"/>
          <w:highlight w:val="none"/>
          <w:shd w:val="clear" w:fill="auto"/>
          <w:lang w:val="en-US" w:eastAsia="zh-CN" w:bidi="ar-SA"/>
        </w:rPr>
      </w:pPr>
    </w:p>
    <w:p w14:paraId="447573B7">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eastAsia" w:ascii="仿宋_GB2312" w:hAnsi="仿宋_GB2312" w:eastAsia="仿宋_GB2312" w:cs="仿宋_GB2312"/>
          <w:b/>
          <w:bCs/>
          <w:i w:val="0"/>
          <w:iCs w:val="0"/>
          <w:color w:val="auto"/>
          <w:kern w:val="0"/>
          <w:sz w:val="32"/>
          <w:szCs w:val="32"/>
          <w:highlight w:val="none"/>
          <w:shd w:val="clear" w:fill="auto"/>
          <w:lang w:val="en-US" w:eastAsia="zh-CN" w:bidi="ar-SA"/>
        </w:rPr>
      </w:pPr>
    </w:p>
    <w:p w14:paraId="1D101027">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eastAsia" w:ascii="仿宋_GB2312" w:hAnsi="仿宋_GB2312" w:eastAsia="仿宋_GB2312" w:cs="仿宋_GB2312"/>
          <w:b/>
          <w:bCs/>
          <w:i w:val="0"/>
          <w:iCs w:val="0"/>
          <w:color w:val="auto"/>
          <w:kern w:val="0"/>
          <w:sz w:val="32"/>
          <w:szCs w:val="32"/>
          <w:highlight w:val="none"/>
          <w:shd w:val="clear" w:fill="auto"/>
          <w:lang w:val="en-US" w:eastAsia="zh-CN" w:bidi="ar-SA"/>
        </w:rPr>
      </w:pPr>
    </w:p>
    <w:p w14:paraId="7BE3AA8D">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eastAsia" w:ascii="仿宋_GB2312" w:hAnsi="仿宋_GB2312" w:eastAsia="仿宋_GB2312" w:cs="仿宋_GB2312"/>
          <w:b/>
          <w:bCs/>
          <w:i w:val="0"/>
          <w:iCs w:val="0"/>
          <w:color w:val="auto"/>
          <w:kern w:val="0"/>
          <w:sz w:val="32"/>
          <w:szCs w:val="32"/>
          <w:highlight w:val="none"/>
          <w:shd w:val="clear" w:fill="auto"/>
          <w:lang w:val="en-US" w:eastAsia="zh-CN" w:bidi="ar-SA"/>
        </w:rPr>
      </w:pPr>
    </w:p>
    <w:p w14:paraId="5826C6CB">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eastAsia" w:ascii="仿宋_GB2312" w:hAnsi="仿宋_GB2312" w:eastAsia="仿宋_GB2312" w:cs="仿宋_GB2312"/>
          <w:b/>
          <w:bCs/>
          <w:i w:val="0"/>
          <w:iCs w:val="0"/>
          <w:color w:val="auto"/>
          <w:kern w:val="0"/>
          <w:sz w:val="32"/>
          <w:szCs w:val="32"/>
          <w:highlight w:val="none"/>
          <w:shd w:val="clear" w:fill="auto"/>
          <w:lang w:val="en-US" w:eastAsia="zh-CN" w:bidi="ar-SA"/>
        </w:rPr>
      </w:pPr>
    </w:p>
    <w:p w14:paraId="1FC646D7">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eastAsia" w:ascii="仿宋_GB2312" w:hAnsi="仿宋_GB2312" w:eastAsia="仿宋_GB2312" w:cs="仿宋_GB2312"/>
          <w:b/>
          <w:bCs/>
          <w:i w:val="0"/>
          <w:iCs w:val="0"/>
          <w:color w:val="auto"/>
          <w:kern w:val="0"/>
          <w:sz w:val="32"/>
          <w:szCs w:val="32"/>
          <w:highlight w:val="none"/>
          <w:shd w:val="clear" w:fill="auto"/>
          <w:lang w:val="en-US" w:eastAsia="zh-CN" w:bidi="ar-SA"/>
        </w:rPr>
      </w:pPr>
    </w:p>
    <w:p w14:paraId="272BC39B">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eastAsia" w:ascii="仿宋_GB2312" w:hAnsi="仿宋_GB2312" w:eastAsia="仿宋_GB2312" w:cs="仿宋_GB2312"/>
          <w:b/>
          <w:bCs/>
          <w:i w:val="0"/>
          <w:iCs w:val="0"/>
          <w:color w:val="auto"/>
          <w:kern w:val="0"/>
          <w:sz w:val="32"/>
          <w:szCs w:val="32"/>
          <w:highlight w:val="none"/>
          <w:shd w:val="clear" w:fill="auto"/>
          <w:lang w:val="en-US" w:eastAsia="zh-CN" w:bidi="ar-SA"/>
        </w:rPr>
      </w:pPr>
    </w:p>
    <w:p w14:paraId="6964B366">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eastAsia" w:ascii="仿宋_GB2312" w:hAnsi="仿宋_GB2312" w:eastAsia="仿宋_GB2312" w:cs="仿宋_GB2312"/>
          <w:b/>
          <w:bCs/>
          <w:i w:val="0"/>
          <w:iCs w:val="0"/>
          <w:color w:val="auto"/>
          <w:kern w:val="0"/>
          <w:sz w:val="32"/>
          <w:szCs w:val="32"/>
          <w:highlight w:val="none"/>
          <w:shd w:val="clear" w:fill="auto"/>
          <w:lang w:val="en-US" w:eastAsia="zh-CN" w:bidi="ar-SA"/>
        </w:rPr>
      </w:pPr>
    </w:p>
    <w:p w14:paraId="636F1A49">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eastAsia" w:ascii="仿宋_GB2312" w:hAnsi="仿宋_GB2312" w:eastAsia="仿宋_GB2312" w:cs="仿宋_GB2312"/>
          <w:b/>
          <w:bCs/>
          <w:i w:val="0"/>
          <w:iCs w:val="0"/>
          <w:color w:val="auto"/>
          <w:kern w:val="0"/>
          <w:sz w:val="32"/>
          <w:szCs w:val="32"/>
          <w:highlight w:val="none"/>
          <w:shd w:val="clear" w:fill="auto"/>
          <w:lang w:val="en-US" w:eastAsia="zh-CN" w:bidi="ar-SA"/>
        </w:rPr>
      </w:pPr>
    </w:p>
    <w:p w14:paraId="69E6D615">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eastAsia" w:ascii="仿宋_GB2312" w:hAnsi="仿宋_GB2312" w:eastAsia="仿宋_GB2312" w:cs="仿宋_GB2312"/>
          <w:b/>
          <w:bCs/>
          <w:i w:val="0"/>
          <w:iCs w:val="0"/>
          <w:color w:val="auto"/>
          <w:kern w:val="0"/>
          <w:sz w:val="32"/>
          <w:szCs w:val="32"/>
          <w:highlight w:val="none"/>
          <w:shd w:val="clear" w:fill="auto"/>
          <w:lang w:val="en-US" w:eastAsia="zh-CN" w:bidi="ar-SA"/>
        </w:rPr>
      </w:pPr>
    </w:p>
    <w:p w14:paraId="6BB191DE">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eastAsia" w:ascii="仿宋_GB2312" w:hAnsi="仿宋_GB2312" w:eastAsia="仿宋_GB2312" w:cs="仿宋_GB2312"/>
          <w:b/>
          <w:bCs/>
          <w:i w:val="0"/>
          <w:iCs w:val="0"/>
          <w:color w:val="auto"/>
          <w:kern w:val="0"/>
          <w:sz w:val="32"/>
          <w:szCs w:val="32"/>
          <w:highlight w:val="none"/>
          <w:shd w:val="clear" w:fill="auto"/>
          <w:lang w:val="en-US" w:eastAsia="zh-CN" w:bidi="ar-SA"/>
        </w:rPr>
      </w:pPr>
    </w:p>
    <w:p w14:paraId="72549731">
      <w:pPr>
        <w:keepNext w:val="0"/>
        <w:keepLines w:val="0"/>
        <w:pageBreakBefore w:val="0"/>
        <w:widowControl w:val="0"/>
        <w:numPr>
          <w:ilvl w:val="0"/>
          <w:numId w:val="0"/>
        </w:numPr>
        <w:tabs>
          <w:tab w:val="left" w:pos="6272"/>
        </w:tabs>
        <w:kinsoku/>
        <w:wordWrap/>
        <w:overflowPunct/>
        <w:topLinePunct w:val="0"/>
        <w:autoSpaceDE/>
        <w:autoSpaceDN/>
        <w:bidi w:val="0"/>
        <w:adjustRightInd w:val="0"/>
        <w:snapToGrid w:val="0"/>
        <w:spacing w:line="360" w:lineRule="auto"/>
        <w:ind w:right="-578" w:rightChars="-275"/>
        <w:jc w:val="center"/>
        <w:textAlignment w:val="auto"/>
        <w:outlineLvl w:val="0"/>
        <w:rPr>
          <w:rFonts w:hint="default" w:ascii="仿宋" w:hAnsi="仿宋" w:eastAsia="仿宋" w:cs="仿宋"/>
          <w:b w:val="0"/>
          <w:bCs w:val="0"/>
          <w:color w:val="auto"/>
          <w:sz w:val="28"/>
          <w:highlight w:val="none"/>
          <w:u w:val="none"/>
          <w:lang w:val="en-US" w:eastAsia="zh-CN"/>
        </w:rPr>
      </w:pPr>
      <w:r>
        <w:rPr>
          <w:rFonts w:hint="eastAsia" w:ascii="仿宋_GB2312" w:hAnsi="仿宋_GB2312" w:eastAsia="仿宋_GB2312" w:cs="仿宋_GB2312"/>
          <w:b/>
          <w:bCs/>
          <w:i w:val="0"/>
          <w:iCs w:val="0"/>
          <w:color w:val="auto"/>
          <w:kern w:val="0"/>
          <w:sz w:val="32"/>
          <w:szCs w:val="32"/>
          <w:highlight w:val="none"/>
          <w:shd w:val="clear" w:fill="auto"/>
          <w:lang w:val="en-US" w:eastAsia="zh-CN" w:bidi="ar-SA"/>
        </w:rPr>
        <w:t xml:space="preserve">第三部分 </w:t>
      </w:r>
      <w:r>
        <w:rPr>
          <w:rFonts w:hint="eastAsia" w:ascii="仿宋_GB2312" w:hAnsi="仿宋_GB2312" w:eastAsia="仿宋_GB2312" w:cs="仿宋_GB2312"/>
          <w:b/>
          <w:bCs/>
          <w:i w:val="0"/>
          <w:iCs w:val="0"/>
          <w:color w:val="auto"/>
          <w:kern w:val="0"/>
          <w:sz w:val="32"/>
          <w:szCs w:val="32"/>
          <w:highlight w:val="none"/>
          <w:u w:val="none"/>
          <w:shd w:val="clear" w:color="auto" w:fill="auto"/>
          <w:lang w:val="en-US" w:eastAsia="zh-CN"/>
        </w:rPr>
        <w:t>合同通用条款</w:t>
      </w:r>
      <w:bookmarkEnd w:id="80"/>
      <w:bookmarkEnd w:id="81"/>
      <w:bookmarkEnd w:id="82"/>
      <w:bookmarkEnd w:id="83"/>
      <w:bookmarkEnd w:id="84"/>
      <w:bookmarkEnd w:id="85"/>
      <w:bookmarkEnd w:id="86"/>
    </w:p>
    <w:p w14:paraId="4BE57C6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1"/>
        <w:rPr>
          <w:rFonts w:hint="eastAsia" w:ascii="仿宋" w:hAnsi="仿宋" w:eastAsia="仿宋" w:cs="仿宋"/>
          <w:b/>
          <w:bCs/>
          <w:color w:val="auto"/>
          <w:sz w:val="28"/>
          <w:highlight w:val="none"/>
          <w:lang w:val="en-US" w:eastAsia="zh-CN"/>
        </w:rPr>
      </w:pPr>
      <w:bookmarkStart w:id="87" w:name="_Toc23626"/>
      <w:bookmarkStart w:id="88" w:name="_Toc15658"/>
      <w:bookmarkStart w:id="89" w:name="_Toc31271"/>
      <w:bookmarkStart w:id="90" w:name="_Toc27528"/>
      <w:bookmarkStart w:id="91" w:name="_Toc19921"/>
      <w:bookmarkStart w:id="92" w:name="_Toc20715"/>
      <w:bookmarkStart w:id="93" w:name="_Toc32013"/>
      <w:bookmarkStart w:id="94" w:name="_Toc3127"/>
      <w:bookmarkStart w:id="95" w:name="_Toc30064"/>
      <w:r>
        <w:rPr>
          <w:rFonts w:hint="eastAsia" w:ascii="仿宋" w:hAnsi="仿宋" w:eastAsia="仿宋" w:cs="仿宋"/>
          <w:b/>
          <w:bCs/>
          <w:color w:val="auto"/>
          <w:sz w:val="28"/>
          <w:highlight w:val="none"/>
          <w:lang w:val="en-US" w:eastAsia="zh-CN"/>
        </w:rPr>
        <w:t>第一章、对账</w:t>
      </w:r>
      <w:bookmarkEnd w:id="87"/>
      <w:bookmarkEnd w:id="88"/>
      <w:bookmarkEnd w:id="89"/>
      <w:bookmarkEnd w:id="90"/>
      <w:bookmarkEnd w:id="91"/>
      <w:r>
        <w:rPr>
          <w:rFonts w:hint="eastAsia" w:ascii="仿宋" w:hAnsi="仿宋" w:eastAsia="仿宋" w:cs="仿宋"/>
          <w:b/>
          <w:bCs/>
          <w:color w:val="auto"/>
          <w:sz w:val="28"/>
          <w:highlight w:val="none"/>
          <w:lang w:val="en-US" w:eastAsia="zh-CN"/>
        </w:rPr>
        <w:t>及发票要求</w:t>
      </w:r>
      <w:bookmarkEnd w:id="92"/>
      <w:bookmarkEnd w:id="93"/>
    </w:p>
    <w:p w14:paraId="2626E65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1.1乙方每次对账须提供：甲方下料订单(即甲方发出的《物料申购单》,格式详见附件)、乙方对账单原件(结算单)、本合同复印件(含调价函)、材料签收单原件（绿联，格式详见附件）、乙方送货单原件(发货单)、材料收货水印照片、材料款申报确认表原件、付款台账汇总表原件、供应商月度对账单原件(格式详见附件)、结清承诺书原件、发票（双方对账一致后2个日历天内，乙方交齐给甲方项目部对账人员）。</w:t>
      </w:r>
    </w:p>
    <w:p w14:paraId="5380B86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1.1.1对账资料具体要求：</w:t>
      </w:r>
    </w:p>
    <w:p w14:paraId="44F7781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①乙方对账单（结算单）：该单据须乙方盖章及乙方人员签名和日期，经甲方人员（甲方合同执行人、甲方仓管员）核对无误后签名和日期，原则上款项内容处填写的对账日期应与签注的日期一致。</w:t>
      </w:r>
    </w:p>
    <w:p w14:paraId="76B0F16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②本合同复印件（含调价函、混凝土、砂浆材料须提供合同约定的施工当期“信息价”复印件）：合同复印件以签章完毕的为准，包括本合同及附属补充协议；调价函及调税率函以适用的为准，过期或者不适用的不附，以加盖甲乙双方公章的为准，不调价/不调税则不提供；合同约定的施工当期“信息价”复印件（须加盖乙方公章）。</w:t>
      </w:r>
    </w:p>
    <w:p w14:paraId="524700D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③材料签收单：须注明材料所用项目</w:t>
      </w:r>
      <w:r>
        <w:rPr>
          <w:rFonts w:hint="eastAsia" w:ascii="仿宋" w:hAnsi="仿宋" w:eastAsia="仿宋" w:cs="仿宋"/>
          <w:color w:val="auto"/>
          <w:sz w:val="28"/>
          <w:highlight w:val="yellow"/>
          <w:lang w:val="en-US" w:eastAsia="zh-CN"/>
        </w:rPr>
        <w:t>（具体工程名称必须按照图纸或者甲方文件执行）</w:t>
      </w:r>
      <w:r>
        <w:rPr>
          <w:rFonts w:hint="eastAsia" w:ascii="仿宋" w:hAnsi="仿宋" w:eastAsia="仿宋" w:cs="仿宋"/>
          <w:color w:val="auto"/>
          <w:sz w:val="28"/>
          <w:highlight w:val="none"/>
          <w:lang w:val="en-US" w:eastAsia="zh-CN"/>
        </w:rPr>
        <w:t>、地块、第几期，并如实的正确填写日期、乙方全称、材料名称、品牌、规格、型号、数量及金额等信息，此单据必须有本合同约定的甲方合同执行联系人、甲方产品签收人、乙方送货员、乙方合同授权代表共同亲笔签名确认，否则无效且甲方有权不付款。此单据内容不得随意修改、涂划，若确需修改、涂划，则被修正、涂划的内容旁须有甲方合同执行联系人、甲方仓管员共同签名确认，否则无效。关于甲乙双方人员（甲方合同执行联系人、甲方产品签收人、乙方送货员、乙方合同授权代表）的签名确认，甲方如有规定则按相关规定办理。甲方付款的前提条件之一是收齐了符合本合同约定的材料签收单原件（即一式三联均由甲方收齐），否则甲方有权不付款。</w:t>
      </w:r>
    </w:p>
    <w:p w14:paraId="2F8C5CB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④乙方送货单（发货单）：此单据须盖乙方成品出货专用章及甲乙双方人员（甲方合同执行联系人、甲方仓管员、乙方送货员、乙方合同授权代表）签字，混凝土、砂浆材料合同须具体按甲方《</w:t>
      </w:r>
      <w:r>
        <w:rPr>
          <w:rFonts w:hint="eastAsia" w:ascii="仿宋" w:hAnsi="仿宋" w:eastAsia="仿宋" w:cs="仿宋"/>
          <w:color w:val="auto"/>
          <w:sz w:val="28"/>
          <w:highlight w:val="none"/>
          <w:lang w:val="en-US" w:eastAsia="zh-CN"/>
        </w:rPr>
        <w:fldChar w:fldCharType="begin"/>
      </w:r>
      <w:r>
        <w:rPr>
          <w:rFonts w:hint="eastAsia" w:ascii="仿宋" w:hAnsi="仿宋" w:eastAsia="仿宋" w:cs="仿宋"/>
          <w:color w:val="auto"/>
          <w:sz w:val="28"/>
          <w:highlight w:val="none"/>
          <w:lang w:val="en-US" w:eastAsia="zh-CN"/>
        </w:rPr>
        <w:instrText xml:space="preserve"> HYPERLINK "javascript:openFullWindowForXtable('DocDsp.jsp?id=111204&amp;meetingid=0&amp;votingId=0&amp;versionId=123347&amp;imagefileId=138428&amp;from=&amp;userCategory=0&amp;isFromAccessory=true');" </w:instrText>
      </w:r>
      <w:r>
        <w:rPr>
          <w:rFonts w:hint="eastAsia" w:ascii="仿宋" w:hAnsi="仿宋" w:eastAsia="仿宋" w:cs="仿宋"/>
          <w:color w:val="auto"/>
          <w:sz w:val="28"/>
          <w:highlight w:val="none"/>
          <w:lang w:val="en-US" w:eastAsia="zh-CN"/>
        </w:rPr>
        <w:fldChar w:fldCharType="separate"/>
      </w:r>
      <w:r>
        <w:rPr>
          <w:rFonts w:hint="eastAsia" w:ascii="仿宋" w:hAnsi="仿宋" w:eastAsia="仿宋" w:cs="仿宋"/>
          <w:color w:val="auto"/>
          <w:sz w:val="28"/>
          <w:highlight w:val="none"/>
          <w:lang w:val="en-US" w:eastAsia="zh-CN"/>
        </w:rPr>
        <w:t>商品混凝土、砂浆验收管理制度</w:t>
      </w:r>
      <w:r>
        <w:rPr>
          <w:rFonts w:hint="eastAsia" w:ascii="仿宋" w:hAnsi="仿宋" w:eastAsia="仿宋" w:cs="仿宋"/>
          <w:color w:val="auto"/>
          <w:sz w:val="28"/>
          <w:highlight w:val="none"/>
          <w:lang w:val="en-US" w:eastAsia="zh-CN"/>
        </w:rPr>
        <w:fldChar w:fldCharType="end"/>
      </w:r>
      <w:r>
        <w:rPr>
          <w:rFonts w:hint="eastAsia" w:ascii="仿宋" w:hAnsi="仿宋" w:eastAsia="仿宋" w:cs="仿宋"/>
          <w:color w:val="auto"/>
          <w:sz w:val="28"/>
          <w:highlight w:val="none"/>
          <w:lang w:val="en-US" w:eastAsia="zh-CN"/>
        </w:rPr>
        <w:t>》规定的验收组人员执行。</w:t>
      </w:r>
    </w:p>
    <w:p w14:paraId="105E0EA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⑤材料收货水印照片：含甲乙双方参加产品签收人员留影，产品卸货前后对比照，产品实物规格、品牌等参数照，车辆、车牌信息照，卸货现场工程背景照，所有照片均须有水印备注，水印须有项目地址定位和拍照时间、日期。</w:t>
      </w:r>
    </w:p>
    <w:p w14:paraId="09C33BD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⑥材料款申报审批表：格式详见附件。</w:t>
      </w:r>
    </w:p>
    <w:p w14:paraId="1F15AE5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⑦款项支付台账：格式详见附件。</w:t>
      </w:r>
    </w:p>
    <w:p w14:paraId="734CD2A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⑧结清承诺书：格式详见附件。</w:t>
      </w:r>
    </w:p>
    <w:p w14:paraId="5B03089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⑨供应商月度对账单：格式详见附件。</w:t>
      </w:r>
    </w:p>
    <w:p w14:paraId="7225463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⑩物料申购单：格式详见附件。</w:t>
      </w:r>
    </w:p>
    <w:p w14:paraId="0B13814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1.2发票要求：甲乙双方对账完成后，甲方项目部通知乙方开票，乙方开具的发票内容须与合同约定内容一致。乙方每次开票金额必须与当次对账金额一致而非与当次请款金额一致，并按甲方要求分项目、分地块、分楼栋分别开具发票，否则视为乙方逾期提供发票给甲方，属乙方违约，甲方有权不付款。乙方逾期提供合格发票的，在提供合格发票时须同时提供“延迟付款声明函”（格式详见附件），同时甲方按签收合格发票之日起顺延相应日历天付款，不属甲方违约。甲方付款顺延相应日历天数=甲方实际签收合格发票日-甲方约定签收合格发票日。如甲方因特殊原因未收发票却已付款，但乙方逾期提供发票的，每逾期1个日历天按合同暂定总价的5%向甲方承担违约金；如乙方经甲方书面催告后、超过5个日历天仍不提供的，乙方另按合同暂定总价的30%向甲方承担违约金。</w:t>
      </w:r>
      <w:r>
        <w:rPr>
          <w:rFonts w:hint="eastAsia" w:ascii="仿宋" w:hAnsi="仿宋" w:eastAsia="仿宋" w:cs="仿宋"/>
          <w:color w:val="auto"/>
          <w:sz w:val="28"/>
          <w:highlight w:val="none"/>
          <w:lang w:val="en-US" w:eastAsia="zh-CN"/>
        </w:rPr>
        <w:tab/>
      </w:r>
    </w:p>
    <w:p w14:paraId="51EFAAA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1.3乙方收款账户</w:t>
      </w:r>
      <w:r>
        <w:rPr>
          <w:rFonts w:hint="eastAsia" w:ascii="仿宋" w:hAnsi="仿宋" w:eastAsia="仿宋" w:cs="仿宋"/>
          <w:color w:val="auto"/>
          <w:sz w:val="28"/>
          <w:highlight w:val="none"/>
          <w:u w:val="none"/>
          <w:lang w:val="en-US" w:eastAsia="zh-CN"/>
        </w:rPr>
        <w:t>的</w:t>
      </w:r>
      <w:r>
        <w:rPr>
          <w:rFonts w:hint="eastAsia" w:ascii="仿宋" w:hAnsi="仿宋" w:eastAsia="仿宋" w:cs="仿宋"/>
          <w:color w:val="auto"/>
          <w:sz w:val="28"/>
          <w:highlight w:val="none"/>
          <w:u w:val="none"/>
        </w:rPr>
        <w:t>开户名称须与本合同</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名称、收款发票开具单位名称一致，否则</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有权不付款且不违约</w:t>
      </w:r>
      <w:r>
        <w:rPr>
          <w:rFonts w:hint="eastAsia" w:ascii="仿宋" w:hAnsi="仿宋" w:eastAsia="仿宋" w:cs="仿宋"/>
          <w:color w:val="auto"/>
          <w:sz w:val="28"/>
          <w:highlight w:val="none"/>
          <w:u w:val="none"/>
          <w:lang w:eastAsia="zh-CN"/>
        </w:rPr>
        <w:t>，直到乙方提供甲方认可的发票再计付款周期。如甲方发现乙方开具假发票，属乙方违约，乙方须书面向甲方承认开具假发票行为并重新开具合法发票，乙方开具假发票视</w:t>
      </w:r>
      <w:r>
        <w:rPr>
          <w:rFonts w:hint="eastAsia" w:ascii="仿宋" w:hAnsi="仿宋" w:eastAsia="仿宋" w:cs="仿宋"/>
          <w:color w:val="auto"/>
          <w:sz w:val="28"/>
          <w:highlight w:val="none"/>
          <w:u w:val="none"/>
          <w:lang w:val="en-US" w:eastAsia="zh-CN"/>
        </w:rPr>
        <w:t>为</w:t>
      </w:r>
      <w:r>
        <w:rPr>
          <w:rFonts w:hint="eastAsia" w:ascii="仿宋" w:hAnsi="仿宋" w:eastAsia="仿宋" w:cs="仿宋"/>
          <w:color w:val="auto"/>
          <w:sz w:val="28"/>
          <w:highlight w:val="none"/>
          <w:u w:val="none"/>
          <w:lang w:eastAsia="zh-CN"/>
        </w:rPr>
        <w:t>乙方逾期提供发票，违约金</w:t>
      </w:r>
      <w:r>
        <w:rPr>
          <w:rFonts w:hint="eastAsia" w:ascii="仿宋" w:hAnsi="仿宋" w:eastAsia="仿宋" w:cs="仿宋"/>
          <w:b w:val="0"/>
          <w:bCs w:val="0"/>
          <w:color w:val="auto"/>
          <w:sz w:val="28"/>
          <w:highlight w:val="none"/>
          <w:u w:val="none"/>
          <w:lang w:eastAsia="zh-CN"/>
        </w:rPr>
        <w:t>按</w:t>
      </w:r>
      <w:r>
        <w:rPr>
          <w:rFonts w:hint="eastAsia" w:ascii="仿宋" w:hAnsi="仿宋" w:eastAsia="仿宋" w:cs="仿宋"/>
          <w:b w:val="0"/>
          <w:bCs w:val="0"/>
          <w:color w:val="auto"/>
          <w:sz w:val="28"/>
          <w:highlight w:val="none"/>
          <w:u w:val="single"/>
          <w:lang w:val="en-US" w:eastAsia="zh-CN"/>
        </w:rPr>
        <w:t>本合同通用条款第1.2条</w:t>
      </w:r>
      <w:r>
        <w:rPr>
          <w:rFonts w:hint="eastAsia" w:ascii="仿宋" w:hAnsi="仿宋" w:eastAsia="仿宋" w:cs="仿宋"/>
          <w:b w:val="0"/>
          <w:bCs w:val="0"/>
          <w:color w:val="auto"/>
          <w:sz w:val="28"/>
          <w:highlight w:val="none"/>
          <w:u w:val="none"/>
          <w:lang w:eastAsia="zh-CN"/>
        </w:rPr>
        <w:t>逾</w:t>
      </w:r>
      <w:r>
        <w:rPr>
          <w:rFonts w:hint="eastAsia" w:ascii="仿宋" w:hAnsi="仿宋" w:eastAsia="仿宋" w:cs="仿宋"/>
          <w:color w:val="auto"/>
          <w:sz w:val="28"/>
          <w:highlight w:val="none"/>
          <w:u w:val="none"/>
          <w:lang w:eastAsia="zh-CN"/>
        </w:rPr>
        <w:t>期提供发票</w:t>
      </w:r>
      <w:r>
        <w:rPr>
          <w:rFonts w:hint="eastAsia" w:ascii="仿宋" w:hAnsi="仿宋" w:eastAsia="仿宋" w:cs="仿宋"/>
          <w:color w:val="auto"/>
          <w:sz w:val="28"/>
          <w:highlight w:val="none"/>
          <w:u w:val="none"/>
          <w:lang w:val="en-US" w:eastAsia="zh-CN"/>
        </w:rPr>
        <w:t>计算</w:t>
      </w:r>
      <w:r>
        <w:rPr>
          <w:rFonts w:hint="eastAsia" w:ascii="仿宋" w:hAnsi="仿宋" w:eastAsia="仿宋" w:cs="仿宋"/>
          <w:color w:val="auto"/>
          <w:sz w:val="28"/>
          <w:highlight w:val="none"/>
          <w:u w:val="none"/>
          <w:lang w:eastAsia="zh-CN"/>
        </w:rPr>
        <w:t>。因乙方提供</w:t>
      </w:r>
      <w:r>
        <w:rPr>
          <w:rFonts w:hint="eastAsia" w:ascii="仿宋" w:hAnsi="仿宋" w:eastAsia="仿宋" w:cs="仿宋"/>
          <w:color w:val="auto"/>
          <w:sz w:val="28"/>
          <w:highlight w:val="none"/>
          <w:u w:val="none"/>
          <w:lang w:val="en-US" w:eastAsia="zh-CN"/>
        </w:rPr>
        <w:t>假发票行为导致的不良后果，包括但不限于行政处罚或使甲方遭受损失等所有费用及损失由乙</w:t>
      </w:r>
      <w:r>
        <w:rPr>
          <w:rFonts w:hint="eastAsia" w:ascii="仿宋" w:hAnsi="仿宋" w:eastAsia="仿宋" w:cs="仿宋"/>
          <w:color w:val="auto"/>
          <w:sz w:val="28"/>
          <w:highlight w:val="none"/>
          <w:lang w:val="en-US" w:eastAsia="zh-CN"/>
        </w:rPr>
        <w:t>方全部承担。</w:t>
      </w:r>
    </w:p>
    <w:p w14:paraId="014703F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1.4乙方必须按税法规定的四流合一执行合同，即合同流、货物流、发票流、资金流一致，否则视为乙方违约，且由乙方承担所有责任及损失，直至满足四流合一，甲方方才付款。</w:t>
      </w:r>
    </w:p>
    <w:p w14:paraId="5FF88C6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1.5乙方每次向甲方请款时，应按甲方要求注明该次请款所含的每个组团、每个地块、每栋楼具体金额，否则甲方有权不付款且不违约。</w:t>
      </w:r>
    </w:p>
    <w:p w14:paraId="2B058A0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1.6乙方报送甲方的送货单、对账单等单据中，表述的各种违背本合同约定的内容均无效，乙方承诺均按本合同执行。</w:t>
      </w:r>
    </w:p>
    <w:p w14:paraId="6D3A11A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1.7如甲乙双方对付款金额/结算金额产生争议，甲方有权暂缓付款且不违约，甲方无需向乙方支付违约金或利息，直至双方达成一致意见，方可按甲方相应流程办理付款手续。</w:t>
      </w:r>
    </w:p>
    <w:p w14:paraId="2C2C1CD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1.8甲方支付完任一批次货款或双方完成本项目货款结算或合同款支付完毕后，视为乙方关于除保修金外的合同款支付事宜的全部权利全部消灭，乙方不得基于合同款支付事宜向甲方提出任何权利主张或追索其他任何费用。</w:t>
      </w:r>
    </w:p>
    <w:p w14:paraId="2503415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1.9履行本合同过程中，凡甲方收取的款项（包括但不限于：各类押金、保证金、违约金、罚款、垃圾处理费、水电费、代收代缴款项等），乙方只有将款项付至甲方财务部负责人指定的当次收款账户、且收到甲方开具的收款收据方为完成付款，否则视为甲方未收款。凡甲方收取的款项，乙方不得以现金及其他方式支付给甲方其他人员（包括合同执行联系人、合同签约代表等），甲方财务部为办理收款的唯一部门，任何个人均无权代为收取任何款项。</w:t>
      </w:r>
    </w:p>
    <w:p w14:paraId="17F2CFB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b w:val="0"/>
          <w:bCs w:val="0"/>
          <w:color w:val="auto"/>
          <w:sz w:val="28"/>
          <w:szCs w:val="28"/>
          <w:highlight w:val="none"/>
          <w:u w:val="none"/>
          <w:lang w:val="en-US" w:eastAsia="zh-CN"/>
        </w:rPr>
      </w:pPr>
      <w:r>
        <w:rPr>
          <w:rFonts w:hint="eastAsia" w:ascii="仿宋" w:hAnsi="仿宋" w:eastAsia="仿宋" w:cs="仿宋"/>
          <w:color w:val="auto"/>
          <w:sz w:val="28"/>
          <w:highlight w:val="none"/>
          <w:lang w:val="en-US" w:eastAsia="zh-CN"/>
        </w:rPr>
        <w:t xml:space="preserve">1.10乙方每次收取合同款时，当期乙方如有未付清给甲方的款项（如：罚款、违约金、代支付款、赔偿、加固、押金等），乙方须一次性付清后，甲方方才支付当期合同款，如乙方未付清所有当期应向甲方支付的款额，则甲方付款周期顺延且属乙方违约，直至乙方付清为止。 </w:t>
      </w:r>
      <w:r>
        <w:rPr>
          <w:rFonts w:hint="eastAsia" w:ascii="仿宋" w:hAnsi="仿宋" w:eastAsia="仿宋" w:cs="仿宋"/>
          <w:b w:val="0"/>
          <w:bCs w:val="0"/>
          <w:color w:val="auto"/>
          <w:sz w:val="28"/>
          <w:szCs w:val="28"/>
          <w:highlight w:val="none"/>
          <w:u w:val="none"/>
          <w:lang w:val="en-US" w:eastAsia="zh-CN"/>
        </w:rPr>
        <w:t xml:space="preserve">        </w:t>
      </w:r>
    </w:p>
    <w:p w14:paraId="654E31F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eastAsia" w:ascii="仿宋" w:hAnsi="仿宋" w:eastAsia="仿宋" w:cs="仿宋"/>
          <w:b/>
          <w:bCs/>
          <w:color w:val="auto"/>
          <w:sz w:val="28"/>
          <w:highlight w:val="none"/>
          <w:lang w:val="en-US" w:eastAsia="zh-CN"/>
        </w:rPr>
      </w:pPr>
      <w:bookmarkStart w:id="96" w:name="_Toc6682"/>
      <w:bookmarkStart w:id="97" w:name="_Toc25684"/>
      <w:bookmarkStart w:id="98" w:name="_Toc14452"/>
      <w:bookmarkStart w:id="99" w:name="_Toc1237"/>
      <w:bookmarkStart w:id="100" w:name="_Toc338"/>
      <w:r>
        <w:rPr>
          <w:rFonts w:hint="eastAsia" w:ascii="仿宋" w:hAnsi="仿宋" w:eastAsia="仿宋" w:cs="仿宋"/>
          <w:b/>
          <w:bCs/>
          <w:color w:val="auto"/>
          <w:sz w:val="28"/>
          <w:highlight w:val="none"/>
          <w:lang w:val="en-US" w:eastAsia="zh-CN"/>
        </w:rPr>
        <w:t>第二章、</w:t>
      </w:r>
      <w:bookmarkEnd w:id="96"/>
      <w:bookmarkEnd w:id="97"/>
      <w:bookmarkEnd w:id="98"/>
      <w:r>
        <w:rPr>
          <w:rFonts w:hint="eastAsia" w:ascii="仿宋" w:hAnsi="仿宋" w:eastAsia="仿宋" w:cs="仿宋"/>
          <w:b/>
          <w:bCs/>
          <w:color w:val="auto"/>
          <w:sz w:val="28"/>
          <w:highlight w:val="none"/>
          <w:lang w:val="en-US" w:eastAsia="zh-CN"/>
        </w:rPr>
        <w:t>收货、验收流程及标准</w:t>
      </w:r>
      <w:bookmarkEnd w:id="99"/>
      <w:bookmarkEnd w:id="100"/>
    </w:p>
    <w:p w14:paraId="243579E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2.1乙方签订本合同5日内须将所有计划进入施工现场的材料、机械、仪表、设备等编制“订货、进场计划申报清单”，并将明细报交甲方项目部核实并存档，清单须包含材料的名称、规格型号、数量、订货时间（附合同或订货依据）、抵达乙方时间、抵达施工现场时间等内容，各方签字确认并留存，以作为各阶段进度计划的附页及退场时的核查依据。</w:t>
      </w:r>
    </w:p>
    <w:p w14:paraId="3833B0C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2.2乙方运输材料、机具、设备时，须提前报备甲方项目部安全员，选择适</w:t>
      </w:r>
      <w:r>
        <w:rPr>
          <w:rFonts w:hint="eastAsia" w:ascii="仿宋" w:hAnsi="仿宋" w:eastAsia="仿宋" w:cs="仿宋"/>
          <w:b w:val="0"/>
          <w:bCs w:val="0"/>
          <w:i w:val="0"/>
          <w:iCs w:val="0"/>
          <w:color w:val="auto"/>
          <w:sz w:val="28"/>
          <w:szCs w:val="28"/>
          <w:highlight w:val="none"/>
          <w:lang w:val="en-US" w:eastAsia="zh-CN"/>
        </w:rPr>
        <w:t>合</w:t>
      </w:r>
      <w:r>
        <w:rPr>
          <w:rFonts w:hint="eastAsia" w:ascii="仿宋" w:hAnsi="仿宋" w:eastAsia="仿宋" w:cs="仿宋"/>
          <w:color w:val="auto"/>
          <w:sz w:val="28"/>
          <w:highlight w:val="none"/>
          <w:lang w:val="en-US" w:eastAsia="zh-CN"/>
        </w:rPr>
        <w:t>的路线准时抵达，避免现场拥堵，运输车辆总重不得超过现场道路限载，并须服从甲方项目人员指挥，装卸时做到安全作业。</w:t>
      </w:r>
    </w:p>
    <w:p w14:paraId="7528825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2.3施工周转材料和小型机具，进场前应报甲方项目部进行检查，并做好特殊标记，并由备案人员进行清点后方可使用，无特殊标记的周转材料不得进场，私自进场的不得外运。</w:t>
      </w:r>
    </w:p>
    <w:p w14:paraId="193D0B7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2.4乙方送货前须提前向甲方项目部告知送货司机的姓名、联系电话、车辆规格、车牌号，乙方送货单须盖乙方成品出货专用章。</w:t>
      </w:r>
    </w:p>
    <w:p w14:paraId="3562C6B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2.5每批产品进场时，乙方提供该批产品的《产品出厂合格证》《原材料检验报告》《出厂质量证明书》及政府主管部门要求的检验检测证明等相关资料给甲方，经甲方验收组工作人员核对该批产品的品牌、规格等各项参数合格后方可过磅。</w:t>
      </w:r>
    </w:p>
    <w:p w14:paraId="199533C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2.6甲方项目施工员在产品进场时对品牌、规格、型号、质量等进行全检并拍照留存。</w:t>
      </w:r>
    </w:p>
    <w:p w14:paraId="51CD85B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2.7产品如与合同约定不符（如产品的规格、型号、质量等），甲方按合同要求直接拒收、退场并作好记录备查，甲方不折价签收不符合合同要求的产品，乙方无条件更换至符合合同要求为止且货期不顺延，乙方就此事宜向甲方承担所有补救费用及一万元/次的违约金，甲方有权在任意一笔应付乙方的合同款中自行扣取违约金。乙方不更换或更换三次仍不合格的，甲方有权单方终止合同，乙方自甲方要求之日起三个日历天内退还全部已收款给甲方，同时按合同暂定总价的20%支付违约金并赔偿甲方损失。</w:t>
      </w:r>
    </w:p>
    <w:p w14:paraId="7582371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 xml:space="preserve">2.8乙方使用于本工程的所有材料及机械设备必须符合现行国家及项目当地的相关规定，同时按甲方《分包单位材料管理制度》执行。 </w:t>
      </w:r>
    </w:p>
    <w:p w14:paraId="4D52689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 xml:space="preserve">2.9乙方必须以甲方验收合格为标准，无条件的接受返工、整改，工期不得顺延。 </w:t>
      </w:r>
    </w:p>
    <w:p w14:paraId="25A502F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2.10乙方每批送货数量少于送货单所写数量或有破损的，甲方按缺少或破损数量的三倍扣减乙方费用，甲方的损失由乙方全部承担。产品如与合同约定不符或验收不合格，乙方自甲方要求之日起两个</w:t>
      </w:r>
      <w:r>
        <w:rPr>
          <w:rFonts w:hint="eastAsia" w:ascii="仿宋" w:hAnsi="仿宋" w:eastAsia="仿宋" w:cs="仿宋"/>
          <w:b w:val="0"/>
          <w:bCs w:val="0"/>
          <w:color w:val="auto"/>
          <w:sz w:val="28"/>
          <w:highlight w:val="none"/>
          <w:u w:val="none"/>
          <w:lang w:eastAsia="zh-CN"/>
        </w:rPr>
        <w:t>日历天内无条件更换</w:t>
      </w:r>
      <w:r>
        <w:rPr>
          <w:rFonts w:hint="eastAsia" w:ascii="仿宋" w:hAnsi="仿宋" w:eastAsia="仿宋" w:cs="仿宋"/>
          <w:b w:val="0"/>
          <w:bCs w:val="0"/>
          <w:color w:val="auto"/>
          <w:sz w:val="28"/>
          <w:highlight w:val="none"/>
          <w:u w:val="none"/>
          <w:lang w:val="en-US" w:eastAsia="zh-CN"/>
        </w:rPr>
        <w:t>为</w:t>
      </w:r>
      <w:r>
        <w:rPr>
          <w:rFonts w:hint="eastAsia" w:ascii="仿宋" w:hAnsi="仿宋" w:eastAsia="仿宋" w:cs="仿宋"/>
          <w:b w:val="0"/>
          <w:bCs w:val="0"/>
          <w:color w:val="auto"/>
          <w:sz w:val="28"/>
          <w:highlight w:val="none"/>
          <w:u w:val="none"/>
          <w:lang w:eastAsia="zh-CN"/>
        </w:rPr>
        <w:t>符合本</w:t>
      </w:r>
      <w:r>
        <w:rPr>
          <w:rFonts w:hint="eastAsia" w:ascii="仿宋" w:hAnsi="仿宋" w:eastAsia="仿宋" w:cs="仿宋"/>
          <w:color w:val="auto"/>
          <w:sz w:val="28"/>
          <w:highlight w:val="none"/>
          <w:lang w:val="en-US" w:eastAsia="zh-CN"/>
        </w:rPr>
        <w:t>合同要求的产品，乙方承担由此产生的费用及逾期责任；乙方不更换或更换一次仍不合格的，甲方有权单方终止合同，乙方自甲方要求之日起三个日历天内按当批送货金额（以乙方送货单金额为准）的10%支付违约金并赔偿甲方损失。（遇到有破损，甲方也可以拒收。）</w:t>
      </w:r>
    </w:p>
    <w:p w14:paraId="266D506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2.11产品在甲方交货地点的过磅单，乙方搅拌车的驾驶员须签名确认，否则甲方不予支付相关费用。</w:t>
      </w:r>
    </w:p>
    <w:p w14:paraId="408628F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2.12产品送至交货地点后，现场表观验收结果合格为形式检验，其质量均以当地住建局认可的有资质相关检测中心检测结果为准。甲方有权要求对产品送至第三方单位（须具备相应专业资质）鉴定、检测。如鉴定结果不合格，乙方除承担鉴定、检测费用外，同时承担因不合格导致的其它一切损失及费用；鉴定结果合格的，则由甲方承担鉴定、检测费。</w:t>
      </w:r>
    </w:p>
    <w:p w14:paraId="26F59D6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2.13甲方收货后，若甲方对产品数量、质量等级等再次复查的，乙方须无条件配合，且复查结果可作为结算依据，复查程序等按甲方要求执行。乙方须派指定人员参与甲方对产品验收。</w:t>
      </w:r>
    </w:p>
    <w:p w14:paraId="6A8B910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2.14产品数量结算依据为甲方指定的本合同甲方执行联系人和验收组人员共同签名的签收单及甲方认可的相关资料。</w:t>
      </w:r>
    </w:p>
    <w:p w14:paraId="731E0A0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2.15乙方履约过程中，报送甲方项目部签名的台班记录单、送货单、对账单等单据中，各种违背本合同约定的文字表述内容均无效，乙方承诺仍按本合同执行，但如单据约定的乙方赔偿和违约责任高于本合同约定的，则适用更高的标准。</w:t>
      </w:r>
    </w:p>
    <w:p w14:paraId="3DEEE2C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2.16由甲方项目技术负责人及甲方仓管员对进场产品组织验收，如甲方栋号施工员不能第一时间进行验收，由甲方项目技术负责人及甲方仓管员组织保安组长共同进行验收并签名，栋号施工员在产品进场12小时内进行复验，验收完成后在材料签收单签名。</w:t>
      </w:r>
    </w:p>
    <w:p w14:paraId="403909D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2.17甲方仓管员按甲方规定开具材料签收单，一式三联，白联由甲方项目部留底，红联交至甲方财务部，绿联交乙方用于请款。</w:t>
      </w:r>
    </w:p>
    <w:p w14:paraId="422775B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_GB2312" w:hAnsi="仿宋_GB2312" w:eastAsia="仿宋_GB2312" w:cs="仿宋_GB2312"/>
          <w:b/>
          <w:bCs/>
          <w:i w:val="0"/>
          <w:iCs w:val="0"/>
          <w:color w:val="auto"/>
          <w:kern w:val="0"/>
          <w:sz w:val="32"/>
          <w:szCs w:val="32"/>
          <w:highlight w:val="none"/>
          <w:u w:val="none"/>
          <w:shd w:val="clear" w:color="auto" w:fill="auto"/>
          <w:lang w:val="en-US" w:eastAsia="zh-CN"/>
        </w:rPr>
      </w:pPr>
      <w:r>
        <w:rPr>
          <w:rFonts w:hint="eastAsia" w:ascii="仿宋" w:hAnsi="仿宋" w:eastAsia="仿宋" w:cs="仿宋"/>
          <w:color w:val="auto"/>
          <w:sz w:val="28"/>
          <w:highlight w:val="none"/>
          <w:lang w:val="en-US" w:eastAsia="zh-CN"/>
        </w:rPr>
        <w:t>2.18所有票据、资料必须经办人亲自签名，严禁他人代签名，一旦发现则</w:t>
      </w:r>
      <w:r>
        <w:rPr>
          <w:rFonts w:hint="eastAsia" w:ascii="仿宋" w:hAnsi="仿宋" w:eastAsia="仿宋" w:cs="仿宋"/>
          <w:b w:val="0"/>
          <w:bCs w:val="0"/>
          <w:color w:val="auto"/>
          <w:sz w:val="28"/>
          <w:highlight w:val="none"/>
          <w:u w:val="none"/>
          <w:lang w:val="en-US" w:eastAsia="zh-CN"/>
        </w:rPr>
        <w:t>乙方向甲方承担违约金（违约金额等于代签票据所列材料金额的三倍但最少不低于二千元/次），甲方有权在任意一笔应付乙方的合同款中自行扣取违约金。</w:t>
      </w:r>
    </w:p>
    <w:bookmarkEnd w:id="78"/>
    <w:bookmarkEnd w:id="79"/>
    <w:p w14:paraId="31D90A62">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0" w:firstLineChars="0"/>
        <w:jc w:val="left"/>
        <w:textAlignment w:val="auto"/>
        <w:outlineLvl w:val="1"/>
        <w:rPr>
          <w:rFonts w:hint="eastAsia" w:ascii="仿宋" w:hAnsi="仿宋" w:eastAsia="仿宋" w:cs="仿宋"/>
          <w:b/>
          <w:bCs/>
          <w:color w:val="auto"/>
          <w:sz w:val="28"/>
          <w:highlight w:val="none"/>
          <w:lang w:val="en-US" w:eastAsia="zh-CN"/>
        </w:rPr>
      </w:pPr>
      <w:bookmarkStart w:id="101" w:name="_Toc13048"/>
      <w:bookmarkStart w:id="102" w:name="_Toc9141"/>
      <w:r>
        <w:rPr>
          <w:rFonts w:hint="eastAsia" w:ascii="仿宋" w:hAnsi="仿宋" w:eastAsia="仿宋" w:cs="仿宋"/>
          <w:b/>
          <w:bCs/>
          <w:color w:val="auto"/>
          <w:sz w:val="28"/>
          <w:highlight w:val="none"/>
          <w:lang w:val="en-US" w:eastAsia="zh-CN"/>
        </w:rPr>
        <w:t>保修</w:t>
      </w:r>
      <w:bookmarkEnd w:id="94"/>
      <w:bookmarkEnd w:id="95"/>
      <w:bookmarkEnd w:id="101"/>
      <w:bookmarkEnd w:id="102"/>
    </w:p>
    <w:p w14:paraId="04B772E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szCs w:val="28"/>
          <w:highlight w:val="none"/>
          <w:lang w:val="en-US" w:eastAsia="zh-CN"/>
        </w:rPr>
        <w:t>3.1</w:t>
      </w:r>
      <w:r>
        <w:rPr>
          <w:rFonts w:hint="eastAsia" w:ascii="仿宋" w:hAnsi="仿宋" w:eastAsia="仿宋" w:cs="仿宋"/>
          <w:color w:val="auto"/>
          <w:sz w:val="28"/>
          <w:highlight w:val="none"/>
          <w:lang w:eastAsia="zh-CN"/>
        </w:rPr>
        <w:t>乙方对产品实行</w:t>
      </w:r>
      <w:r>
        <w:rPr>
          <w:rFonts w:hint="eastAsia" w:ascii="仿宋" w:hAnsi="仿宋" w:eastAsia="仿宋" w:cs="仿宋"/>
          <w:color w:val="auto"/>
          <w:sz w:val="28"/>
          <w:highlight w:val="none"/>
          <w:u w:val="single"/>
          <w:lang w:val="en-US" w:eastAsia="zh-CN"/>
        </w:rPr>
        <w:t xml:space="preserve"> 50 </w:t>
      </w:r>
      <w:r>
        <w:rPr>
          <w:rFonts w:hint="eastAsia" w:ascii="仿宋" w:hAnsi="仿宋" w:eastAsia="仿宋" w:cs="仿宋"/>
          <w:color w:val="auto"/>
          <w:sz w:val="28"/>
          <w:highlight w:val="none"/>
          <w:lang w:eastAsia="zh-CN"/>
        </w:rPr>
        <w:t>年免费保修(国家或甲方与本项目建设单位另有更</w:t>
      </w:r>
      <w:r>
        <w:rPr>
          <w:rFonts w:hint="eastAsia" w:ascii="仿宋" w:hAnsi="仿宋" w:eastAsia="仿宋" w:cs="仿宋"/>
          <w:color w:val="auto"/>
          <w:sz w:val="28"/>
          <w:highlight w:val="none"/>
          <w:lang w:val="en-US" w:eastAsia="zh-CN"/>
        </w:rPr>
        <w:t>长保修期限规定的，从其规定)，保修期自产品经甲方验收合格并移交建设单位之日起计。保修期内，如产品出现质量缺陷或问题，乙方履行保修义务且经甲方验收合格后，保修期自甲方对保修工作验收合格之日起重新计算。</w:t>
      </w:r>
    </w:p>
    <w:p w14:paraId="0F0893A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3.2乙方按法律、法规和国家有关规定对产品在保修期内承担质量保修责任，本合同有更长期限约定或更高保修要求的，按本合同执行。保修期内，如产品或部件不能使用需维修或更换，则该产品或部件保修期自修复或更换之日起重新计算。 </w:t>
      </w:r>
    </w:p>
    <w:p w14:paraId="7E43792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bookmarkStart w:id="103" w:name="_Toc23822"/>
      <w:bookmarkStart w:id="104" w:name="_Toc12767"/>
      <w:r>
        <w:rPr>
          <w:rFonts w:hint="eastAsia" w:ascii="仿宋" w:hAnsi="仿宋" w:eastAsia="仿宋" w:cs="仿宋"/>
          <w:color w:val="auto"/>
          <w:sz w:val="28"/>
          <w:highlight w:val="none"/>
          <w:lang w:val="en-US" w:eastAsia="zh-CN"/>
        </w:rPr>
        <w:t>3.3保修期内，若产品出现质量问题，乙方在收到甲方或使用单位通知后24小时内必须到达现场进行处理或更换。如甲乙双方共同确认非乙方原因导致问题发生，乙方仍应提供售后服务，相关费用经双方商定后由甲方承担。如乙方未准时到达现场，甲方可自行处理，乙方同时承担违约责任。甲方自行处理所耗费用另加50%由乙方收到甲方通知之日起10个日历天内支付，因此造成的损失由乙方负责全额赔偿。乙方未在24小时内到达现场的，出现的质量问题一律视为乙方原因导致。保修期内，由乙方原因造成的缺陷、问题和事故，乙方须负责维修并承担所产生的全部费用，如乙方不维修也不承担费用，甲方有权追索乙方承担违约责任及赔偿所有损失的责任，乙方维修并承担相应费用后，不免除乙方对甲方/第三方的损失赔偿责任。</w:t>
      </w:r>
    </w:p>
    <w:p w14:paraId="28974B1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3.4产品安装或完成施工后3个月内，如出现质量问题或缺陷的数量超过总量的20%，乙方无条件全部更换该批产品，相关费用由乙方承担，更换造成的相关损失由乙方承担；如乙方拒绝退换，甲方有权单方解除合同，乙方退还全部已收款项并按合同暂定总价的30%支付违约金且赔偿甲方损失。</w:t>
      </w:r>
    </w:p>
    <w:p w14:paraId="18C6801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3.5保修期届满后第一周内，甲乙双方对产品进行全面检查。乙方自费负责对检查中发现的问题予以及时处理和解决后，甲方出具保修合格证明文件。</w:t>
      </w:r>
    </w:p>
    <w:p w14:paraId="6B7EA25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3.6如产品在保修期满后发现乙方原因导致的质量问题或缺陷，乙方仍须承担修复责任，必须按甲方要求无偿修复并赔偿甲方因此遭受的损失，否则甲方有权另行安排第三方修复，同时乙方同意甲方从与乙方签订的其他合同款项中直接扣款用于抵扣上述修复费用和损失。甲乙双方特别约定本条款不因本合同的终止而失效。</w:t>
      </w:r>
    </w:p>
    <w:p w14:paraId="2C60210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3.7甲方或使用单位在产品使用过程中遇到的问题，乙方须随时提供电话答疑（答疑负责人及其电话在质量保修书里注明）。凡与产品相关联的一切问题（如操作、产品的保养及维护等）都属于答疑范围，所需费用已包含在合同单价中，不另计费。</w:t>
      </w:r>
    </w:p>
    <w:p w14:paraId="08C30BA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3.8乙方根据甲方需要提供现场临时指导和培训，费用已包含在合同价中，不另计费。</w:t>
      </w:r>
    </w:p>
    <w:bookmarkEnd w:id="103"/>
    <w:bookmarkEnd w:id="104"/>
    <w:p w14:paraId="277E242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textAlignment w:val="auto"/>
        <w:outlineLvl w:val="1"/>
        <w:rPr>
          <w:rFonts w:hint="eastAsia" w:ascii="仿宋" w:hAnsi="仿宋" w:eastAsia="仿宋" w:cs="仿宋"/>
          <w:b/>
          <w:bCs/>
          <w:color w:val="auto"/>
          <w:sz w:val="28"/>
          <w:szCs w:val="28"/>
          <w:highlight w:val="none"/>
          <w:lang w:val="en-US" w:eastAsia="zh-CN"/>
        </w:rPr>
      </w:pPr>
      <w:bookmarkStart w:id="105" w:name="_Toc4332"/>
      <w:bookmarkStart w:id="106" w:name="_Toc20567"/>
      <w:bookmarkStart w:id="107" w:name="_Toc2768"/>
      <w:bookmarkStart w:id="108" w:name="_Toc29740"/>
      <w:bookmarkStart w:id="109" w:name="_Toc28370"/>
      <w:bookmarkStart w:id="110" w:name="_Toc6546"/>
      <w:r>
        <w:rPr>
          <w:rFonts w:hint="eastAsia" w:ascii="仿宋" w:hAnsi="仿宋" w:eastAsia="仿宋" w:cs="仿宋"/>
          <w:b/>
          <w:bCs/>
          <w:color w:val="auto"/>
          <w:sz w:val="28"/>
          <w:szCs w:val="28"/>
          <w:highlight w:val="none"/>
          <w:lang w:val="en-US" w:eastAsia="zh-CN"/>
        </w:rPr>
        <w:t>第四章、违约责任</w:t>
      </w:r>
      <w:bookmarkEnd w:id="105"/>
      <w:bookmarkEnd w:id="106"/>
    </w:p>
    <w:p w14:paraId="0AC2325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4.1乙方逾期交齐任意一批合格产品（含随品、配件、产品说明书、操作手册、质量证明资料等）给甲方的，每逾期一个日历天（不可抗力因素除外），属乙方违约，乙方向甲方承担10000元违约金；逾期两个日历天及以上的，属乙方严重违约，甲方有权不通知乙方即另行向他人购销该批产品，同时甲方有权单方解除合同，乙方还应赔偿甲方因此遭受的损失。</w:t>
      </w:r>
    </w:p>
    <w:p w14:paraId="527C524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lang w:val="en-US" w:eastAsia="zh-CN"/>
        </w:rPr>
        <w:t>4.2</w:t>
      </w:r>
      <w:r>
        <w:rPr>
          <w:rFonts w:hint="eastAsia" w:ascii="仿宋" w:hAnsi="仿宋" w:eastAsia="仿宋" w:cs="仿宋"/>
          <w:color w:val="auto"/>
          <w:sz w:val="28"/>
          <w:highlight w:val="none"/>
          <w:u w:val="none"/>
          <w:lang w:val="en-US" w:eastAsia="zh-CN"/>
        </w:rPr>
        <w:t>乙方产品出现质量问题或缺陷的，除按本合同约定进行更换、维修外，每出现一次，</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lang w:val="en-US" w:eastAsia="zh-CN"/>
        </w:rPr>
        <w:t>乙方须再向甲方支付金额</w:t>
      </w:r>
      <w:r>
        <w:rPr>
          <w:rFonts w:hint="eastAsia" w:ascii="仿宋" w:hAnsi="仿宋" w:eastAsia="仿宋" w:cs="仿宋"/>
          <w:color w:val="auto"/>
          <w:sz w:val="28"/>
          <w:highlight w:val="none"/>
          <w:u w:val="none" w:color="auto"/>
          <w:lang w:val="en-US" w:eastAsia="zh-CN"/>
        </w:rPr>
        <w:t>等于该车次总价的10%违约金</w:t>
      </w:r>
      <w:r>
        <w:rPr>
          <w:rFonts w:hint="eastAsia" w:ascii="仿宋" w:hAnsi="仿宋" w:eastAsia="仿宋" w:cs="仿宋"/>
          <w:color w:val="auto"/>
          <w:sz w:val="28"/>
          <w:highlight w:val="none"/>
          <w:u w:val="none"/>
          <w:lang w:val="en-US" w:eastAsia="zh-CN"/>
        </w:rPr>
        <w:t>，且甲方有权退货、解除合同，产生的全部责任和经济损失由乙方承担；</w:t>
      </w:r>
      <w:r>
        <w:rPr>
          <w:rFonts w:hint="eastAsia" w:ascii="仿宋" w:hAnsi="仿宋" w:eastAsia="仿宋" w:cs="仿宋"/>
          <w:color w:val="auto"/>
          <w:sz w:val="28"/>
          <w:highlight w:val="none"/>
          <w:u w:val="none"/>
        </w:rPr>
        <w:t>因</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产品问题造成的</w:t>
      </w:r>
      <w:r>
        <w:rPr>
          <w:rFonts w:hint="eastAsia" w:ascii="仿宋" w:hAnsi="仿宋" w:eastAsia="仿宋" w:cs="仿宋"/>
          <w:color w:val="auto"/>
          <w:sz w:val="28"/>
          <w:highlight w:val="none"/>
          <w:u w:val="none"/>
          <w:lang w:eastAsia="zh-CN"/>
        </w:rPr>
        <w:t>人身、财产损害赔偿责任或刑事、行政责任等均由乙方承担。</w:t>
      </w:r>
    </w:p>
    <w:p w14:paraId="1C9E31F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lang w:val="en-US" w:eastAsia="zh-CN"/>
        </w:rPr>
        <w:t>4.3</w:t>
      </w:r>
      <w:r>
        <w:rPr>
          <w:rFonts w:hint="eastAsia" w:ascii="仿宋" w:hAnsi="仿宋" w:eastAsia="仿宋" w:cs="仿宋"/>
          <w:color w:val="auto"/>
          <w:sz w:val="28"/>
          <w:highlight w:val="none"/>
          <w:u w:val="none"/>
        </w:rPr>
        <w:t>若</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所交产品品种、</w:t>
      </w:r>
      <w:r>
        <w:rPr>
          <w:rFonts w:hint="eastAsia" w:ascii="仿宋" w:hAnsi="仿宋" w:eastAsia="仿宋" w:cs="仿宋"/>
          <w:color w:val="auto"/>
          <w:sz w:val="28"/>
          <w:highlight w:val="none"/>
          <w:u w:val="none"/>
          <w:lang w:eastAsia="zh-CN"/>
        </w:rPr>
        <w:t>品牌、</w:t>
      </w:r>
      <w:r>
        <w:rPr>
          <w:rFonts w:hint="eastAsia" w:ascii="仿宋" w:hAnsi="仿宋" w:eastAsia="仿宋" w:cs="仿宋"/>
          <w:color w:val="auto"/>
          <w:sz w:val="28"/>
          <w:highlight w:val="none"/>
          <w:u w:val="none"/>
        </w:rPr>
        <w:t>规格、</w:t>
      </w:r>
      <w:r>
        <w:rPr>
          <w:rFonts w:hint="eastAsia" w:ascii="仿宋" w:hAnsi="仿宋" w:eastAsia="仿宋" w:cs="仿宋"/>
          <w:color w:val="auto"/>
          <w:sz w:val="28"/>
          <w:highlight w:val="none"/>
          <w:u w:val="none"/>
          <w:lang w:eastAsia="zh-CN"/>
        </w:rPr>
        <w:t>型号、</w:t>
      </w:r>
      <w:r>
        <w:rPr>
          <w:rFonts w:hint="eastAsia" w:ascii="仿宋" w:hAnsi="仿宋" w:eastAsia="仿宋" w:cs="仿宋"/>
          <w:color w:val="auto"/>
          <w:sz w:val="28"/>
          <w:highlight w:val="none"/>
          <w:u w:val="none"/>
        </w:rPr>
        <w:t>质量</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lang w:val="en-US" w:eastAsia="zh-CN"/>
        </w:rPr>
        <w:t>材质等</w:t>
      </w:r>
      <w:r>
        <w:rPr>
          <w:rFonts w:hint="eastAsia" w:ascii="仿宋" w:hAnsi="仿宋" w:eastAsia="仿宋" w:cs="仿宋"/>
          <w:color w:val="auto"/>
          <w:sz w:val="28"/>
          <w:highlight w:val="none"/>
          <w:u w:val="none"/>
        </w:rPr>
        <w:t>不符合</w:t>
      </w:r>
      <w:r>
        <w:rPr>
          <w:rFonts w:hint="eastAsia" w:ascii="仿宋" w:hAnsi="仿宋" w:eastAsia="仿宋" w:cs="仿宋"/>
          <w:color w:val="auto"/>
          <w:sz w:val="28"/>
          <w:highlight w:val="none"/>
          <w:u w:val="none"/>
          <w:lang w:val="en-US" w:eastAsia="zh-CN"/>
        </w:rPr>
        <w:t>合同</w:t>
      </w:r>
      <w:r>
        <w:rPr>
          <w:rFonts w:hint="eastAsia" w:ascii="仿宋" w:hAnsi="仿宋" w:eastAsia="仿宋" w:cs="仿宋"/>
          <w:color w:val="auto"/>
          <w:sz w:val="28"/>
          <w:highlight w:val="none"/>
          <w:u w:val="none"/>
        </w:rPr>
        <w:t>要求，</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rPr>
        <w:t>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负责</w:t>
      </w:r>
      <w:r>
        <w:rPr>
          <w:rFonts w:hint="eastAsia" w:ascii="仿宋" w:hAnsi="仿宋" w:eastAsia="仿宋" w:cs="仿宋"/>
          <w:color w:val="auto"/>
          <w:sz w:val="28"/>
          <w:highlight w:val="none"/>
          <w:u w:val="none"/>
          <w:lang w:eastAsia="zh-CN"/>
        </w:rPr>
        <w:t>无偿</w:t>
      </w:r>
      <w:r>
        <w:rPr>
          <w:rFonts w:hint="eastAsia" w:ascii="仿宋" w:hAnsi="仿宋" w:eastAsia="仿宋" w:cs="仿宋"/>
          <w:color w:val="auto"/>
          <w:sz w:val="28"/>
          <w:highlight w:val="none"/>
          <w:u w:val="none"/>
        </w:rPr>
        <w:t>更换</w:t>
      </w:r>
      <w:r>
        <w:rPr>
          <w:rFonts w:hint="eastAsia" w:ascii="仿宋" w:hAnsi="仿宋" w:eastAsia="仿宋" w:cs="仿宋"/>
          <w:color w:val="auto"/>
          <w:sz w:val="28"/>
          <w:highlight w:val="none"/>
          <w:u w:val="none"/>
          <w:lang w:eastAsia="zh-CN"/>
        </w:rPr>
        <w:t>或退货，</w:t>
      </w:r>
      <w:r>
        <w:rPr>
          <w:rFonts w:hint="eastAsia" w:ascii="仿宋" w:hAnsi="仿宋" w:eastAsia="仿宋" w:cs="仿宋"/>
          <w:color w:val="auto"/>
          <w:sz w:val="28"/>
          <w:highlight w:val="none"/>
          <w:u w:val="none"/>
        </w:rPr>
        <w:t>并承担退货更换所</w:t>
      </w:r>
      <w:r>
        <w:rPr>
          <w:rFonts w:hint="eastAsia" w:ascii="仿宋" w:hAnsi="仿宋" w:eastAsia="仿宋" w:cs="仿宋"/>
          <w:color w:val="auto"/>
          <w:sz w:val="28"/>
          <w:highlight w:val="none"/>
          <w:u w:val="none"/>
          <w:lang w:val="en-US" w:eastAsia="zh-CN"/>
        </w:rPr>
        <w:t>涉及</w:t>
      </w:r>
      <w:r>
        <w:rPr>
          <w:rFonts w:hint="eastAsia" w:ascii="仿宋" w:hAnsi="仿宋" w:eastAsia="仿宋" w:cs="仿宋"/>
          <w:color w:val="auto"/>
          <w:sz w:val="28"/>
          <w:highlight w:val="none"/>
          <w:u w:val="none"/>
        </w:rPr>
        <w:t>的一切费用和损失。</w:t>
      </w:r>
      <w:r>
        <w:rPr>
          <w:rFonts w:hint="eastAsia" w:ascii="仿宋" w:hAnsi="仿宋" w:eastAsia="仿宋" w:cs="仿宋"/>
          <w:color w:val="auto"/>
          <w:sz w:val="28"/>
          <w:highlight w:val="none"/>
          <w:u w:val="none"/>
        </w:rPr>
        <w:tab/>
      </w:r>
    </w:p>
    <w:p w14:paraId="69F0596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4.4</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lang w:val="en-US" w:eastAsia="zh-CN"/>
        </w:rPr>
        <w:t>履约</w:t>
      </w:r>
      <w:r>
        <w:rPr>
          <w:rFonts w:hint="eastAsia" w:ascii="仿宋" w:hAnsi="仿宋" w:eastAsia="仿宋" w:cs="仿宋"/>
          <w:color w:val="auto"/>
          <w:sz w:val="28"/>
          <w:highlight w:val="none"/>
          <w:u w:val="none"/>
        </w:rPr>
        <w:t>过程中如有弄虚作假等欺骗行为，</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lang w:val="en-US" w:eastAsia="zh-CN"/>
        </w:rPr>
        <w:t>每次向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lang w:val="en-US" w:eastAsia="zh-CN"/>
        </w:rPr>
        <w:t>另行支付至少金额等于合同暂定总价30%的违约金</w:t>
      </w:r>
      <w:r>
        <w:rPr>
          <w:rFonts w:hint="eastAsia" w:ascii="仿宋" w:hAnsi="仿宋" w:eastAsia="仿宋" w:cs="仿宋"/>
          <w:color w:val="auto"/>
          <w:sz w:val="28"/>
          <w:highlight w:val="none"/>
          <w:u w:val="none"/>
        </w:rPr>
        <w:t>。</w:t>
      </w:r>
      <w:r>
        <w:rPr>
          <w:rFonts w:hint="eastAsia" w:ascii="仿宋" w:hAnsi="仿宋" w:eastAsia="仿宋" w:cs="仿宋"/>
          <w:color w:val="auto"/>
          <w:sz w:val="28"/>
          <w:highlight w:val="none"/>
          <w:u w:val="none"/>
        </w:rPr>
        <w:tab/>
      </w:r>
    </w:p>
    <w:p w14:paraId="0D54FD3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4.5</w:t>
      </w:r>
      <w:r>
        <w:rPr>
          <w:rFonts w:hint="eastAsia" w:ascii="仿宋" w:hAnsi="仿宋" w:eastAsia="仿宋" w:cs="仿宋"/>
          <w:color w:val="auto"/>
          <w:sz w:val="28"/>
          <w:highlight w:val="none"/>
          <w:u w:val="none"/>
        </w:rPr>
        <w:t>合同履行期间，</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必须服从</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的安排，否则</w:t>
      </w:r>
      <w:r>
        <w:rPr>
          <w:rFonts w:hint="eastAsia" w:ascii="仿宋" w:hAnsi="仿宋" w:eastAsia="仿宋" w:cs="仿宋"/>
          <w:color w:val="auto"/>
          <w:sz w:val="28"/>
          <w:highlight w:val="none"/>
          <w:u w:val="none"/>
          <w:lang w:eastAsia="zh-CN"/>
        </w:rPr>
        <w:t>属乙方违约，甲方</w:t>
      </w:r>
      <w:r>
        <w:rPr>
          <w:rFonts w:hint="eastAsia" w:ascii="仿宋" w:hAnsi="仿宋" w:eastAsia="仿宋" w:cs="仿宋"/>
          <w:color w:val="auto"/>
          <w:sz w:val="28"/>
          <w:highlight w:val="none"/>
          <w:u w:val="none"/>
        </w:rPr>
        <w:t>有权对</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进行处罚。</w:t>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p>
    <w:p w14:paraId="7F0447F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4.6乙方违反本合同任何约定均属违约，乙方除按相应条款承担包括但不限于以上所述的违约责任外，甲方可随时单方解除合同，</w:t>
      </w:r>
      <w:r>
        <w:rPr>
          <w:rFonts w:hint="eastAsia" w:ascii="仿宋" w:hAnsi="仿宋" w:eastAsia="仿宋" w:cs="仿宋"/>
          <w:color w:val="auto"/>
          <w:sz w:val="28"/>
          <w:highlight w:val="none"/>
          <w:u w:val="none" w:color="auto"/>
          <w:lang w:val="en-US" w:eastAsia="zh-CN"/>
        </w:rPr>
        <w:t>同时乙方赔偿甲方因此遭受的直接损失。</w:t>
      </w:r>
    </w:p>
    <w:p w14:paraId="6D7FB39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4.7乙方违反本合同约定给甲方造成损失的，除按本合同约定承担违约责任外，甲方有权直接从应付合同款中直接扣除乙方应承担的违约金、罚款等费用，如应付合同款及乙方支付的违约金、罚款不足补偿甲方损失，乙方在甲方通知之日起七个日历天内补齐，且甲方向乙方追偿责任所产生的律师费、诉讼费、鉴定费、财产保全及相关担保费由乙方全额承担。</w:t>
      </w:r>
    </w:p>
    <w:p w14:paraId="704A58B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4</w:t>
      </w:r>
      <w:r>
        <w:rPr>
          <w:rFonts w:hint="default" w:ascii="仿宋" w:hAnsi="仿宋" w:eastAsia="仿宋" w:cs="仿宋"/>
          <w:color w:val="auto"/>
          <w:sz w:val="28"/>
          <w:highlight w:val="none"/>
          <w:u w:val="none"/>
          <w:lang w:val="en-US" w:eastAsia="zh-CN"/>
        </w:rPr>
        <w:t>.</w:t>
      </w:r>
      <w:r>
        <w:rPr>
          <w:rFonts w:hint="eastAsia" w:ascii="仿宋" w:hAnsi="仿宋" w:eastAsia="仿宋" w:cs="仿宋"/>
          <w:color w:val="auto"/>
          <w:sz w:val="28"/>
          <w:highlight w:val="none"/>
          <w:u w:val="none"/>
          <w:lang w:val="en-US" w:eastAsia="zh-CN"/>
        </w:rPr>
        <w:t>8基于本项目的特殊性，乙方已充分了解其供货责任并自愿承担相应风险，合同所约定的违约金标准经双方友好协商确定，乙方同意不对违约金标准提出任何主张或抗辩。</w:t>
      </w:r>
    </w:p>
    <w:p w14:paraId="070F89A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val="en-US" w:eastAsia="zh-CN"/>
        </w:rPr>
        <w:t>4.9</w:t>
      </w:r>
      <w:r>
        <w:rPr>
          <w:rFonts w:hint="eastAsia" w:ascii="仿宋" w:hAnsi="仿宋" w:eastAsia="仿宋" w:cs="仿宋"/>
          <w:color w:val="auto"/>
          <w:sz w:val="28"/>
          <w:highlight w:val="none"/>
          <w:u w:val="none"/>
          <w:lang w:eastAsia="zh-CN"/>
        </w:rPr>
        <w:t>本合同履行过程中</w:t>
      </w:r>
      <w:r>
        <w:rPr>
          <w:rFonts w:hint="eastAsia" w:ascii="仿宋" w:hAnsi="仿宋" w:eastAsia="仿宋" w:cs="仿宋"/>
          <w:color w:val="auto"/>
          <w:sz w:val="28"/>
          <w:highlight w:val="none"/>
          <w:u w:val="none"/>
          <w:lang w:val="en-US" w:eastAsia="zh-CN"/>
        </w:rPr>
        <w:t>涉及</w:t>
      </w:r>
      <w:r>
        <w:rPr>
          <w:rFonts w:hint="eastAsia" w:ascii="仿宋" w:hAnsi="仿宋" w:eastAsia="仿宋" w:cs="仿宋"/>
          <w:color w:val="auto"/>
          <w:sz w:val="28"/>
          <w:highlight w:val="none"/>
          <w:u w:val="none"/>
          <w:lang w:eastAsia="zh-CN"/>
        </w:rPr>
        <w:t>的</w:t>
      </w:r>
      <w:r>
        <w:rPr>
          <w:rFonts w:hint="eastAsia" w:ascii="仿宋" w:hAnsi="仿宋" w:eastAsia="仿宋" w:cs="仿宋"/>
          <w:color w:val="auto"/>
          <w:sz w:val="28"/>
          <w:highlight w:val="none"/>
          <w:u w:val="none"/>
          <w:lang w:val="en-US" w:eastAsia="zh-CN"/>
        </w:rPr>
        <w:t>送货单、</w:t>
      </w:r>
      <w:r>
        <w:rPr>
          <w:rFonts w:hint="eastAsia" w:ascii="仿宋" w:hAnsi="仿宋" w:eastAsia="仿宋" w:cs="仿宋"/>
          <w:color w:val="auto"/>
          <w:sz w:val="28"/>
          <w:highlight w:val="none"/>
          <w:u w:val="none"/>
          <w:lang w:eastAsia="zh-CN"/>
        </w:rPr>
        <w:t>提货单、出入库单等类似单据、小票仅作为确认双方</w:t>
      </w:r>
      <w:r>
        <w:rPr>
          <w:rFonts w:hint="eastAsia" w:ascii="仿宋" w:hAnsi="仿宋" w:eastAsia="仿宋" w:cs="仿宋"/>
          <w:color w:val="auto"/>
          <w:sz w:val="28"/>
          <w:highlight w:val="none"/>
          <w:u w:val="none"/>
          <w:lang w:val="en-US" w:eastAsia="zh-CN"/>
        </w:rPr>
        <w:t>产品</w:t>
      </w:r>
      <w:r>
        <w:rPr>
          <w:rFonts w:hint="eastAsia" w:ascii="仿宋" w:hAnsi="仿宋" w:eastAsia="仿宋" w:cs="仿宋"/>
          <w:color w:val="auto"/>
          <w:sz w:val="28"/>
          <w:highlight w:val="none"/>
          <w:u w:val="none"/>
          <w:lang w:eastAsia="zh-CN"/>
        </w:rPr>
        <w:t>数量的依据。单据、</w:t>
      </w:r>
      <w:r>
        <w:rPr>
          <w:rFonts w:hint="eastAsia" w:ascii="仿宋" w:hAnsi="仿宋" w:eastAsia="仿宋" w:cs="仿宋"/>
          <w:color w:val="auto"/>
          <w:sz w:val="28"/>
          <w:highlight w:val="none"/>
          <w:u w:val="none"/>
          <w:lang w:val="en-US" w:eastAsia="zh-CN"/>
        </w:rPr>
        <w:t>小票</w:t>
      </w:r>
      <w:r>
        <w:rPr>
          <w:rFonts w:hint="eastAsia" w:ascii="仿宋" w:hAnsi="仿宋" w:eastAsia="仿宋" w:cs="仿宋"/>
          <w:color w:val="auto"/>
          <w:sz w:val="28"/>
          <w:highlight w:val="none"/>
          <w:u w:val="none"/>
          <w:lang w:eastAsia="zh-CN"/>
        </w:rPr>
        <w:t>中对争议管辖、赔偿和违约责任等事项与本合同约定不一致的，</w:t>
      </w:r>
      <w:r>
        <w:rPr>
          <w:rFonts w:hint="eastAsia" w:ascii="仿宋" w:hAnsi="仿宋" w:eastAsia="仿宋" w:cs="仿宋"/>
          <w:color w:val="auto"/>
          <w:sz w:val="28"/>
          <w:highlight w:val="none"/>
          <w:u w:val="none"/>
          <w:lang w:val="en-US" w:eastAsia="zh-CN"/>
        </w:rPr>
        <w:t>乙方确认</w:t>
      </w:r>
      <w:r>
        <w:rPr>
          <w:rFonts w:hint="eastAsia" w:ascii="仿宋" w:hAnsi="仿宋" w:eastAsia="仿宋" w:cs="仿宋"/>
          <w:color w:val="auto"/>
          <w:sz w:val="28"/>
          <w:highlight w:val="none"/>
          <w:u w:val="none"/>
          <w:lang w:eastAsia="zh-CN"/>
        </w:rPr>
        <w:t>以本合同</w:t>
      </w:r>
      <w:r>
        <w:rPr>
          <w:rFonts w:hint="eastAsia" w:ascii="仿宋" w:hAnsi="仿宋" w:eastAsia="仿宋" w:cs="仿宋"/>
          <w:color w:val="auto"/>
          <w:sz w:val="28"/>
          <w:highlight w:val="none"/>
          <w:u w:val="none"/>
          <w:lang w:val="en-US" w:eastAsia="zh-CN"/>
        </w:rPr>
        <w:t>条款</w:t>
      </w:r>
      <w:r>
        <w:rPr>
          <w:rFonts w:hint="eastAsia" w:ascii="仿宋" w:hAnsi="仿宋" w:eastAsia="仿宋" w:cs="仿宋"/>
          <w:color w:val="auto"/>
          <w:sz w:val="28"/>
          <w:highlight w:val="none"/>
          <w:u w:val="none"/>
          <w:lang w:eastAsia="zh-CN"/>
        </w:rPr>
        <w:t>为准，但如约定的乙方赔偿和违约责任</w:t>
      </w:r>
      <w:r>
        <w:rPr>
          <w:rFonts w:hint="eastAsia" w:ascii="仿宋" w:hAnsi="仿宋" w:eastAsia="仿宋" w:cs="仿宋"/>
          <w:color w:val="auto"/>
          <w:sz w:val="28"/>
          <w:highlight w:val="none"/>
          <w:u w:val="none"/>
          <w:lang w:val="en-US" w:eastAsia="zh-CN"/>
        </w:rPr>
        <w:t>标准</w:t>
      </w:r>
      <w:r>
        <w:rPr>
          <w:rFonts w:hint="eastAsia" w:ascii="仿宋" w:hAnsi="仿宋" w:eastAsia="仿宋" w:cs="仿宋"/>
          <w:color w:val="auto"/>
          <w:sz w:val="28"/>
          <w:highlight w:val="none"/>
          <w:u w:val="none"/>
          <w:lang w:eastAsia="zh-CN"/>
        </w:rPr>
        <w:t>高于本合同约定，则适用更高标准。</w:t>
      </w:r>
    </w:p>
    <w:p w14:paraId="61103D8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color w:val="auto"/>
          <w:sz w:val="28"/>
          <w:highlight w:val="none"/>
          <w:u w:val="none"/>
          <w:lang w:val="en-US" w:eastAsia="zh-CN"/>
        </w:rPr>
        <w:t>4.10</w:t>
      </w:r>
      <w:r>
        <w:rPr>
          <w:rFonts w:hint="eastAsia" w:ascii="仿宋" w:hAnsi="仿宋" w:eastAsia="仿宋" w:cs="仿宋"/>
          <w:color w:val="auto"/>
          <w:sz w:val="28"/>
          <w:szCs w:val="28"/>
          <w:highlight w:val="none"/>
          <w:lang w:val="en-US" w:eastAsia="zh-CN"/>
        </w:rPr>
        <w:t>本合同履行过程中，因乙方原因造成产品质量、安全文明等无法满足甲方及规范要求的，乙方须提供不属于其责任的证明并得到甲方的书面认可，否则乙方违约并承担5000元以上/次的违约金，全部责任、费用和损失由乙方承担。如果乙方因此导致本项目停止供货的，属乙方违约，乙方将对甲方以不低于伍万元/次的违约金支付给甲方，甲方可以从乙方任一笔款项中扣除。同时，甲方有权解除合同，产生的全部损失由乙方承担。</w:t>
      </w:r>
    </w:p>
    <w:p w14:paraId="0975CE2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color w:val="auto"/>
          <w:sz w:val="28"/>
          <w:highlight w:val="none"/>
          <w:u w:val="none"/>
          <w:lang w:val="en-US" w:eastAsia="zh-CN"/>
        </w:rPr>
        <w:t>4.11</w:t>
      </w:r>
      <w:r>
        <w:rPr>
          <w:rFonts w:hint="eastAsia" w:ascii="仿宋" w:hAnsi="仿宋" w:eastAsia="仿宋" w:cs="仿宋"/>
          <w:color w:val="auto"/>
          <w:sz w:val="28"/>
          <w:szCs w:val="28"/>
          <w:highlight w:val="none"/>
          <w:lang w:val="en-US" w:eastAsia="zh-CN"/>
        </w:rPr>
        <w:t>乙方原因导致甲方或本项目被相关部门处罚、停工、扣分的，甲方有权就：被停工的计收乙方违约金伍万元/次、被扣分的计收违约金壹万元/分及贰万元/次，因此产生的全部损失及费用由乙方赔偿甲方。</w:t>
      </w:r>
    </w:p>
    <w:p w14:paraId="273F141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left"/>
        <w:textAlignment w:val="auto"/>
        <w:rPr>
          <w:rFonts w:hint="default"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4.12</w:t>
      </w:r>
      <w:r>
        <w:rPr>
          <w:rFonts w:hint="default" w:ascii="仿宋" w:hAnsi="仿宋" w:eastAsia="仿宋" w:cs="仿宋"/>
          <w:b w:val="0"/>
          <w:bCs w:val="0"/>
          <w:color w:val="auto"/>
          <w:sz w:val="28"/>
          <w:highlight w:val="none"/>
          <w:u w:val="none"/>
          <w:lang w:val="en-US" w:eastAsia="zh-CN"/>
        </w:rPr>
        <w:t>乙方未及时发放工人工资或及时支付货款，导致影响甲方或本项目的，每发生一次劳资纠纷或货款纠纷事件，乙方向甲方另行支付违约金叁万元</w:t>
      </w:r>
      <w:r>
        <w:rPr>
          <w:rFonts w:hint="eastAsia" w:ascii="仿宋" w:hAnsi="仿宋" w:eastAsia="仿宋" w:cs="仿宋"/>
          <w:b w:val="0"/>
          <w:bCs w:val="0"/>
          <w:color w:val="auto"/>
          <w:sz w:val="28"/>
          <w:highlight w:val="none"/>
          <w:u w:val="none"/>
          <w:lang w:val="en-US" w:eastAsia="zh-CN"/>
        </w:rPr>
        <w:t>；</w:t>
      </w:r>
      <w:r>
        <w:rPr>
          <w:rFonts w:hint="default" w:ascii="仿宋" w:hAnsi="仿宋" w:eastAsia="仿宋" w:cs="仿宋"/>
          <w:b w:val="0"/>
          <w:bCs w:val="0"/>
          <w:color w:val="auto"/>
          <w:sz w:val="28"/>
          <w:highlight w:val="none"/>
          <w:u w:val="none"/>
          <w:lang w:val="en-US" w:eastAsia="zh-CN"/>
        </w:rPr>
        <w:t>若因乙方拖欠工人工资或货款，导致媒体曝光或政府部门介入的，乙方另向甲方支付违约金不少于100000元/次。无论乙方实际是否欠薪或欠货款，乙方人员或供应商每发起一次欠薪或欠货款纠纷，涉及甲方的，乙方均须向甲方支付违约金十万元/次；若因此导致媒体曝光或政府部门介入，乙方须另向甲方支付违约金十万元/次。</w:t>
      </w:r>
    </w:p>
    <w:p w14:paraId="040312A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jc w:val="left"/>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val="0"/>
          <w:bCs w:val="0"/>
          <w:color w:val="auto"/>
          <w:sz w:val="28"/>
          <w:highlight w:val="none"/>
          <w:u w:val="none"/>
          <w:lang w:val="en-US" w:eastAsia="zh-CN"/>
        </w:rPr>
        <w:t>4.13</w:t>
      </w:r>
      <w:r>
        <w:rPr>
          <w:rFonts w:hint="default" w:ascii="仿宋" w:hAnsi="仿宋" w:eastAsia="仿宋" w:cs="仿宋"/>
          <w:b w:val="0"/>
          <w:bCs w:val="0"/>
          <w:color w:val="auto"/>
          <w:sz w:val="28"/>
          <w:highlight w:val="none"/>
          <w:u w:val="none"/>
          <w:lang w:val="en-US" w:eastAsia="zh-CN"/>
        </w:rPr>
        <w:t>因乙方原因导致甲方被起诉的，乙方除赔偿甲方损失外，甲方每被起诉一次，乙方向甲方支付五万元的违约金。若</w:t>
      </w:r>
      <w:r>
        <w:rPr>
          <w:rFonts w:hint="eastAsia" w:ascii="仿宋" w:hAnsi="仿宋" w:eastAsia="仿宋" w:cs="仿宋"/>
          <w:b w:val="0"/>
          <w:bCs w:val="0"/>
          <w:color w:val="auto"/>
          <w:sz w:val="28"/>
          <w:highlight w:val="none"/>
          <w:u w:val="none"/>
          <w:lang w:val="en-US" w:eastAsia="zh-CN"/>
        </w:rPr>
        <w:t>乙方</w:t>
      </w:r>
      <w:r>
        <w:rPr>
          <w:rFonts w:hint="default" w:ascii="仿宋" w:hAnsi="仿宋" w:eastAsia="仿宋" w:cs="仿宋"/>
          <w:b w:val="0"/>
          <w:bCs w:val="0"/>
          <w:color w:val="auto"/>
          <w:sz w:val="28"/>
          <w:highlight w:val="none"/>
          <w:u w:val="none"/>
          <w:lang w:val="en-US" w:eastAsia="zh-CN"/>
        </w:rPr>
        <w:t>导致甲方</w:t>
      </w:r>
      <w:r>
        <w:rPr>
          <w:rFonts w:hint="eastAsia" w:ascii="仿宋" w:hAnsi="仿宋" w:eastAsia="仿宋" w:cs="仿宋"/>
          <w:b w:val="0"/>
          <w:bCs w:val="0"/>
          <w:color w:val="auto"/>
          <w:sz w:val="28"/>
          <w:highlight w:val="none"/>
          <w:u w:val="none"/>
          <w:lang w:val="en-US" w:eastAsia="zh-CN"/>
        </w:rPr>
        <w:t>资金</w:t>
      </w:r>
      <w:r>
        <w:rPr>
          <w:rFonts w:hint="default" w:ascii="仿宋" w:hAnsi="仿宋" w:eastAsia="仿宋" w:cs="仿宋"/>
          <w:b w:val="0"/>
          <w:bCs w:val="0"/>
          <w:color w:val="auto"/>
          <w:sz w:val="28"/>
          <w:highlight w:val="none"/>
          <w:u w:val="none"/>
          <w:lang w:val="en-US" w:eastAsia="zh-CN"/>
        </w:rPr>
        <w:t>账</w:t>
      </w:r>
      <w:r>
        <w:rPr>
          <w:rFonts w:hint="eastAsia" w:ascii="仿宋" w:hAnsi="仿宋" w:eastAsia="仿宋" w:cs="仿宋"/>
          <w:b w:val="0"/>
          <w:bCs w:val="0"/>
          <w:color w:val="auto"/>
          <w:sz w:val="28"/>
          <w:highlight w:val="none"/>
          <w:u w:val="none"/>
          <w:lang w:val="en-US" w:eastAsia="zh-CN"/>
        </w:rPr>
        <w:t>户</w:t>
      </w:r>
      <w:r>
        <w:rPr>
          <w:rFonts w:hint="default" w:ascii="仿宋" w:hAnsi="仿宋" w:eastAsia="仿宋" w:cs="仿宋"/>
          <w:b w:val="0"/>
          <w:bCs w:val="0"/>
          <w:color w:val="auto"/>
          <w:sz w:val="28"/>
          <w:highlight w:val="none"/>
          <w:u w:val="none"/>
          <w:lang w:val="en-US" w:eastAsia="zh-CN"/>
        </w:rPr>
        <w:t>被冻结，乙方还</w:t>
      </w:r>
      <w:r>
        <w:rPr>
          <w:rFonts w:hint="eastAsia" w:ascii="仿宋" w:hAnsi="仿宋" w:eastAsia="仿宋" w:cs="仿宋"/>
          <w:b w:val="0"/>
          <w:bCs w:val="0"/>
          <w:color w:val="auto"/>
          <w:sz w:val="28"/>
          <w:highlight w:val="none"/>
          <w:u w:val="none"/>
          <w:lang w:val="en-US" w:eastAsia="zh-CN"/>
        </w:rPr>
        <w:t>须</w:t>
      </w:r>
      <w:r>
        <w:rPr>
          <w:rFonts w:hint="default" w:ascii="仿宋" w:hAnsi="仿宋" w:eastAsia="仿宋" w:cs="仿宋"/>
          <w:b w:val="0"/>
          <w:bCs w:val="0"/>
          <w:color w:val="auto"/>
          <w:sz w:val="28"/>
          <w:highlight w:val="none"/>
          <w:u w:val="none"/>
          <w:lang w:val="en-US" w:eastAsia="zh-CN"/>
        </w:rPr>
        <w:t>按冻结资金总额的日千分之一向甲方支付利息</w:t>
      </w:r>
      <w:r>
        <w:rPr>
          <w:rFonts w:hint="eastAsia" w:ascii="仿宋" w:hAnsi="仿宋" w:eastAsia="仿宋" w:cs="仿宋"/>
          <w:b w:val="0"/>
          <w:bCs w:val="0"/>
          <w:color w:val="auto"/>
          <w:sz w:val="28"/>
          <w:highlight w:val="none"/>
          <w:u w:val="none"/>
          <w:lang w:val="en-US" w:eastAsia="zh-CN"/>
        </w:rPr>
        <w:t>，</w:t>
      </w:r>
      <w:r>
        <w:rPr>
          <w:rFonts w:hint="default" w:ascii="仿宋" w:hAnsi="仿宋" w:eastAsia="仿宋" w:cs="仿宋"/>
          <w:b w:val="0"/>
          <w:bCs w:val="0"/>
          <w:color w:val="auto"/>
          <w:sz w:val="28"/>
          <w:highlight w:val="none"/>
          <w:u w:val="none"/>
          <w:lang w:val="en-US" w:eastAsia="zh-CN"/>
        </w:rPr>
        <w:t>乙方</w:t>
      </w:r>
      <w:r>
        <w:rPr>
          <w:rFonts w:hint="eastAsia" w:ascii="仿宋" w:hAnsi="仿宋" w:eastAsia="仿宋" w:cs="仿宋"/>
          <w:b w:val="0"/>
          <w:bCs w:val="0"/>
          <w:color w:val="auto"/>
          <w:sz w:val="28"/>
          <w:highlight w:val="none"/>
          <w:u w:val="none"/>
          <w:lang w:val="en-US" w:eastAsia="zh-CN"/>
        </w:rPr>
        <w:t>同时赔偿</w:t>
      </w:r>
      <w:r>
        <w:rPr>
          <w:rFonts w:hint="default" w:ascii="仿宋" w:hAnsi="仿宋" w:eastAsia="仿宋" w:cs="仿宋"/>
          <w:b w:val="0"/>
          <w:bCs w:val="0"/>
          <w:color w:val="auto"/>
          <w:sz w:val="28"/>
          <w:highlight w:val="none"/>
          <w:u w:val="none"/>
          <w:lang w:val="en-US" w:eastAsia="zh-CN"/>
        </w:rPr>
        <w:t>甲方遭受的所有损失，并</w:t>
      </w:r>
      <w:r>
        <w:rPr>
          <w:rFonts w:hint="eastAsia" w:ascii="仿宋" w:hAnsi="仿宋" w:eastAsia="仿宋" w:cs="仿宋"/>
          <w:b w:val="0"/>
          <w:bCs w:val="0"/>
          <w:color w:val="auto"/>
          <w:sz w:val="28"/>
          <w:highlight w:val="none"/>
          <w:u w:val="none"/>
          <w:lang w:val="en-US" w:eastAsia="zh-CN"/>
        </w:rPr>
        <w:t>按</w:t>
      </w:r>
      <w:r>
        <w:rPr>
          <w:rFonts w:hint="default" w:ascii="仿宋" w:hAnsi="仿宋" w:eastAsia="仿宋" w:cs="仿宋"/>
          <w:b w:val="0"/>
          <w:bCs w:val="0"/>
          <w:color w:val="auto"/>
          <w:sz w:val="28"/>
          <w:highlight w:val="none"/>
          <w:u w:val="none"/>
          <w:lang w:val="en-US" w:eastAsia="zh-CN"/>
        </w:rPr>
        <w:t>账</w:t>
      </w:r>
      <w:r>
        <w:rPr>
          <w:rFonts w:hint="eastAsia" w:ascii="仿宋" w:hAnsi="仿宋" w:eastAsia="仿宋" w:cs="仿宋"/>
          <w:b w:val="0"/>
          <w:bCs w:val="0"/>
          <w:color w:val="auto"/>
          <w:sz w:val="28"/>
          <w:highlight w:val="none"/>
          <w:u w:val="none"/>
          <w:lang w:val="en-US" w:eastAsia="zh-CN"/>
        </w:rPr>
        <w:t>户</w:t>
      </w:r>
      <w:r>
        <w:rPr>
          <w:rFonts w:hint="default" w:ascii="仿宋" w:hAnsi="仿宋" w:eastAsia="仿宋" w:cs="仿宋"/>
          <w:b w:val="0"/>
          <w:bCs w:val="0"/>
          <w:color w:val="auto"/>
          <w:sz w:val="28"/>
          <w:highlight w:val="none"/>
          <w:u w:val="none"/>
          <w:lang w:val="en-US" w:eastAsia="zh-CN"/>
        </w:rPr>
        <w:t>被冻结次数每次额外向甲方</w:t>
      </w:r>
      <w:r>
        <w:rPr>
          <w:rFonts w:hint="eastAsia" w:ascii="仿宋" w:hAnsi="仿宋" w:eastAsia="仿宋" w:cs="仿宋"/>
          <w:b w:val="0"/>
          <w:bCs w:val="0"/>
          <w:color w:val="auto"/>
          <w:sz w:val="28"/>
          <w:highlight w:val="none"/>
          <w:u w:val="none"/>
          <w:lang w:val="en-US" w:eastAsia="zh-CN"/>
        </w:rPr>
        <w:t>承担</w:t>
      </w:r>
      <w:r>
        <w:rPr>
          <w:rFonts w:hint="default" w:ascii="仿宋" w:hAnsi="仿宋" w:eastAsia="仿宋" w:cs="仿宋"/>
          <w:b w:val="0"/>
          <w:bCs w:val="0"/>
          <w:color w:val="auto"/>
          <w:sz w:val="28"/>
          <w:highlight w:val="none"/>
          <w:u w:val="none"/>
          <w:lang w:val="en-US" w:eastAsia="zh-CN"/>
        </w:rPr>
        <w:t>50000元违约金。</w:t>
      </w:r>
    </w:p>
    <w:p w14:paraId="7CD1381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4.14乙方原因造成工程质量达不到本合同约定的质量标准或出现影响使用功能和工程结构安全，即使通过技术整改措施仍然无法达到设计要求等永久质量问题的，无论是否在保修期内，乙方须无条件返工至合格为止，并赔偿甲方因此遭受的一切损失。若该永久质量问题无法满足设计及合同约定质量标准，但甲方和本项目建设单位接受现状质量的，乙方仍须承担违约责任，自愿接受不合格部位造价20%以上的违约金处理，同时处以5000元以上/次的罚款。</w:t>
      </w:r>
    </w:p>
    <w:p w14:paraId="72B5972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4.15对乙方不按合同约定时间向甲方申报其工人工资资料等行为，甲方有权对乙方收取违约金，每逾期一天的违约金不少于伍佰元/人(按乙方在本项目现场工作人员数量计)。</w:t>
      </w:r>
    </w:p>
    <w:p w14:paraId="58573DF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560" w:firstLineChars="200"/>
        <w:textAlignment w:val="auto"/>
        <w:rPr>
          <w:rFonts w:hint="default" w:ascii="仿宋" w:hAnsi="仿宋" w:eastAsia="仿宋" w:cs="仿宋"/>
          <w:color w:val="auto"/>
          <w:sz w:val="28"/>
          <w:szCs w:val="28"/>
          <w:highlight w:val="none"/>
          <w:lang w:val="en-US" w:eastAsia="zh-CN"/>
        </w:rPr>
      </w:pPr>
      <w:bookmarkStart w:id="111" w:name="_Toc11763"/>
      <w:bookmarkStart w:id="112" w:name="_Toc26196"/>
      <w:bookmarkStart w:id="113" w:name="_Toc2303"/>
      <w:r>
        <w:rPr>
          <w:rFonts w:hint="eastAsia" w:ascii="仿宋" w:hAnsi="仿宋" w:eastAsia="仿宋" w:cs="仿宋"/>
          <w:color w:val="auto"/>
          <w:sz w:val="28"/>
          <w:szCs w:val="28"/>
          <w:highlight w:val="none"/>
          <w:lang w:val="en-US" w:eastAsia="zh-CN"/>
        </w:rPr>
        <w:t>4.16</w:t>
      </w:r>
      <w:r>
        <w:rPr>
          <w:rFonts w:hint="default" w:ascii="仿宋" w:hAnsi="仿宋" w:eastAsia="仿宋" w:cs="仿宋"/>
          <w:color w:val="auto"/>
          <w:sz w:val="28"/>
          <w:szCs w:val="28"/>
          <w:highlight w:val="none"/>
          <w:lang w:val="en-US" w:eastAsia="zh-CN"/>
        </w:rPr>
        <w:t>乙方人员须接受甲方及工地管理人员的合理指挥，主动与施工单位做好配合。乙方须严格遵守甲方项目规章制度及工地安全生产要求，按照本项目安全施工规范进行作业。乙方在施工作业期间对设备和乙方人员的安全负全责，并保证设备周围人员的安全，操作员须严格按照设备操作规程操作不得违规，否则由此引发的一切安全事故及全部费用均由乙方负责。</w:t>
      </w:r>
    </w:p>
    <w:p w14:paraId="60AB2E7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560" w:firstLineChars="200"/>
        <w:textAlignment w:val="auto"/>
        <w:rPr>
          <w:rFonts w:hint="default" w:ascii="仿宋" w:hAnsi="仿宋" w:eastAsia="仿宋" w:cs="仿宋"/>
          <w:b w:val="0"/>
          <w:bCs w:val="0"/>
          <w:color w:val="auto"/>
          <w:sz w:val="28"/>
          <w:szCs w:val="28"/>
          <w:highlight w:val="none"/>
          <w:lang w:val="en-US" w:eastAsia="zh-CN"/>
        </w:rPr>
      </w:pPr>
      <w:r>
        <w:rPr>
          <w:rFonts w:hint="eastAsia" w:ascii="仿宋" w:hAnsi="仿宋" w:eastAsia="仿宋" w:cs="仿宋"/>
          <w:color w:val="auto"/>
          <w:sz w:val="28"/>
          <w:szCs w:val="28"/>
          <w:highlight w:val="none"/>
          <w:lang w:val="en-US" w:eastAsia="zh-CN"/>
        </w:rPr>
        <w:t>4.17</w:t>
      </w:r>
      <w:r>
        <w:rPr>
          <w:rFonts w:hint="default" w:ascii="仿宋" w:hAnsi="仿宋" w:eastAsia="仿宋" w:cs="仿宋"/>
          <w:color w:val="auto"/>
          <w:sz w:val="28"/>
          <w:szCs w:val="28"/>
          <w:highlight w:val="none"/>
          <w:lang w:val="en-US" w:eastAsia="zh-CN"/>
        </w:rPr>
        <w:t>乙方设备应外观整洁、技术性能良好、运转正常，满足施工需要，设备零配件必须符合使用要求。乙方须对设备定期检查排除安全隐患以保证施工安</w:t>
      </w:r>
      <w:r>
        <w:rPr>
          <w:rFonts w:hint="default" w:ascii="仿宋" w:hAnsi="仿宋" w:eastAsia="仿宋" w:cs="仿宋"/>
          <w:b w:val="0"/>
          <w:bCs w:val="0"/>
          <w:color w:val="auto"/>
          <w:sz w:val="28"/>
          <w:szCs w:val="28"/>
          <w:highlight w:val="none"/>
          <w:lang w:val="en-US" w:eastAsia="zh-CN"/>
        </w:rPr>
        <w:t>全性。设备须为乙方自有的合法设备。</w:t>
      </w:r>
    </w:p>
    <w:p w14:paraId="7FA05DB3">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4.18乙方须有本项目所在地政府主管部门认可的相应专业资质和承担本合同义务、责任所需的经济实力并须提供相关资质资料给甲方。如因乙方资质等问题导致甲方被相关部门处罚的，因此产生的全部损失及费用由乙方承担。合同有效期内，乙方须确保自身持续具备履行合同义务的合法资质资格（尤其须符合政府主管部门的要求），否则甲方有权：①自乙方不具备合法资质、资格之日起，乙方向甲方支付违约金人民币伍佰元/天，直至乙方恢复相关资质、资格；②甲方单方解除合同并收回所有已付款项。</w:t>
      </w:r>
    </w:p>
    <w:p w14:paraId="7B6E4B3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default" w:ascii="仿宋" w:hAnsi="仿宋" w:eastAsia="仿宋" w:cs="仿宋"/>
          <w:b/>
          <w:bCs/>
          <w:color w:val="auto"/>
          <w:sz w:val="32"/>
          <w:szCs w:val="32"/>
          <w:highlight w:val="none"/>
          <w:lang w:val="en-US" w:eastAsia="zh-CN"/>
        </w:rPr>
      </w:pPr>
      <w:r>
        <w:rPr>
          <w:rFonts w:hint="eastAsia" w:ascii="仿宋" w:hAnsi="仿宋" w:eastAsia="仿宋" w:cs="仿宋"/>
          <w:color w:val="auto"/>
          <w:sz w:val="28"/>
          <w:szCs w:val="28"/>
          <w:highlight w:val="none"/>
          <w:lang w:val="en-US" w:eastAsia="zh-CN"/>
        </w:rPr>
        <w:t>4.19合同履行期间，乙方必须服从甲方正常工作安排，否则属乙方违约，甲方有权对乙方进行处罚。乙方承诺，确保本合同工程顺利进行，乙方不以任何理由停止供货，且凡停止供货，均属乙方违约，乙方自愿承担不小于伍万元/次违约金给甲方。</w:t>
      </w:r>
    </w:p>
    <w:p w14:paraId="636697B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4.20</w:t>
      </w:r>
      <w:r>
        <w:rPr>
          <w:rFonts w:hint="default" w:ascii="仿宋" w:hAnsi="仿宋" w:eastAsia="仿宋" w:cs="仿宋"/>
          <w:color w:val="auto"/>
          <w:sz w:val="28"/>
          <w:szCs w:val="28"/>
          <w:highlight w:val="none"/>
          <w:lang w:val="en-US" w:eastAsia="zh-CN"/>
        </w:rPr>
        <w:t>本合同执行期内，若乙方发生2次不能及时提供设备的情况，则甲方有权单方解除合同，且一切损失由乙方自行承担。</w:t>
      </w:r>
    </w:p>
    <w:p w14:paraId="4046067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4.21</w:t>
      </w:r>
      <w:r>
        <w:rPr>
          <w:rFonts w:hint="default" w:ascii="仿宋" w:hAnsi="仿宋" w:eastAsia="仿宋" w:cs="仿宋"/>
          <w:color w:val="auto"/>
          <w:sz w:val="28"/>
          <w:szCs w:val="28"/>
          <w:highlight w:val="none"/>
          <w:lang w:val="en-US" w:eastAsia="zh-CN"/>
        </w:rPr>
        <w:t>乙方必须为其设备及人员购买社会保险及人身意外伤害保险，有关费用已包含在本合同价格中，甲方无需另行支付费用给乙方。因各种原因导致乙方需要延长保险期所需增加的保险费由乙方自行承担，其费用已包含在本合同约定价格内，凡在合同履行期间由乙方原因导致的一切安全及质量事故，属乙方责任，所有损失及费用由乙方承担。</w:t>
      </w:r>
    </w:p>
    <w:p w14:paraId="18E7B33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4.22</w:t>
      </w:r>
      <w:r>
        <w:rPr>
          <w:rFonts w:hint="default" w:ascii="仿宋" w:hAnsi="仿宋" w:eastAsia="仿宋" w:cs="仿宋"/>
          <w:color w:val="auto"/>
          <w:sz w:val="28"/>
          <w:szCs w:val="28"/>
          <w:highlight w:val="none"/>
          <w:lang w:val="en-US" w:eastAsia="zh-CN"/>
        </w:rPr>
        <w:t>无论乙方有无按照本合同约定办理相关保险事宜，乙方人员或因乙方原因导致在本项目范围内发生的伤亡事故，均由乙方承担责任和费用。</w:t>
      </w:r>
    </w:p>
    <w:p w14:paraId="5E9C6A54">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仿宋" w:hAnsi="仿宋" w:eastAsia="仿宋" w:cs="仿宋"/>
          <w:color w:val="auto"/>
          <w:sz w:val="28"/>
          <w:szCs w:val="28"/>
          <w:highlight w:val="none"/>
        </w:rPr>
      </w:pPr>
      <w:bookmarkStart w:id="114" w:name="_Toc12434"/>
      <w:r>
        <w:rPr>
          <w:rFonts w:hint="eastAsia" w:ascii="仿宋" w:hAnsi="仿宋" w:eastAsia="仿宋" w:cs="仿宋"/>
          <w:b/>
          <w:bCs/>
          <w:color w:val="auto"/>
          <w:sz w:val="28"/>
          <w:szCs w:val="28"/>
          <w:highlight w:val="none"/>
          <w:lang w:eastAsia="zh-CN"/>
        </w:rPr>
        <w:t>第</w:t>
      </w:r>
      <w:r>
        <w:rPr>
          <w:rFonts w:hint="eastAsia" w:ascii="仿宋" w:hAnsi="仿宋" w:eastAsia="仿宋" w:cs="仿宋"/>
          <w:b/>
          <w:bCs/>
          <w:color w:val="auto"/>
          <w:sz w:val="28"/>
          <w:szCs w:val="28"/>
          <w:highlight w:val="none"/>
          <w:lang w:val="en-US" w:eastAsia="zh-CN"/>
        </w:rPr>
        <w:t>五</w:t>
      </w:r>
      <w:r>
        <w:rPr>
          <w:rFonts w:hint="eastAsia" w:ascii="仿宋" w:hAnsi="仿宋" w:eastAsia="仿宋" w:cs="仿宋"/>
          <w:b/>
          <w:bCs/>
          <w:color w:val="auto"/>
          <w:sz w:val="28"/>
          <w:szCs w:val="28"/>
          <w:highlight w:val="none"/>
          <w:lang w:eastAsia="zh-CN"/>
        </w:rPr>
        <w:t>章、廉洁条款</w:t>
      </w:r>
      <w:bookmarkEnd w:id="107"/>
      <w:bookmarkEnd w:id="108"/>
      <w:bookmarkEnd w:id="109"/>
      <w:bookmarkEnd w:id="110"/>
      <w:bookmarkEnd w:id="111"/>
      <w:bookmarkEnd w:id="112"/>
      <w:bookmarkEnd w:id="113"/>
      <w:bookmarkEnd w:id="114"/>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ab/>
      </w:r>
    </w:p>
    <w:p w14:paraId="72F7692B">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5.1乙方在与甲方合作期间（包括本合同招采、签约、履约期间），不得向甲方职员提供请吃、送礼、旅游、色情服务、行贿、回扣或其他好处，如有违反，乙方每次向甲方支付人民币十万元作为违约金（甲方可从任意一笔合同款中扣款），造成甲方经济或其他损失的，乙方全额赔偿，且甲方有权单方解除本合同。</w:t>
      </w:r>
    </w:p>
    <w:p w14:paraId="508F4FF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5.2甲乙双方管理人员有权拒绝执行合同以外的违法要求。甲方发现乙方向甲方人员或甲方委托的其他人员行贿或输送不正当利益的，甲方有权对乙方进行处罚并单方解除合同，对所发生的工程量/工作量不予结算及不支付费用。</w:t>
      </w:r>
    </w:p>
    <w:p w14:paraId="16F9EC75">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5.3如甲方发现乙方可能存在违反廉洁条款的行为时，甲方有权暂扣违约金/争议材料款/处罚款等对应等额的材料款，直至调查完毕后根据调查结果再作处理，甲方暂不付款的行为不视为甲方违约。</w:t>
      </w:r>
    </w:p>
    <w:p w14:paraId="08F5DDD6">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仿宋" w:hAnsi="仿宋" w:eastAsia="仿宋" w:cs="仿宋"/>
          <w:color w:val="auto"/>
          <w:sz w:val="28"/>
          <w:szCs w:val="28"/>
          <w:highlight w:val="none"/>
          <w:lang w:val="en-US" w:eastAsia="zh-CN"/>
        </w:rPr>
      </w:pPr>
      <w:bookmarkStart w:id="115" w:name="_Toc6091"/>
      <w:bookmarkStart w:id="116" w:name="_Toc100"/>
      <w:bookmarkStart w:id="117" w:name="_Toc27905"/>
      <w:r>
        <w:rPr>
          <w:rFonts w:hint="eastAsia" w:ascii="仿宋" w:hAnsi="仿宋" w:eastAsia="仿宋" w:cs="仿宋"/>
          <w:b/>
          <w:bCs/>
          <w:color w:val="auto"/>
          <w:sz w:val="28"/>
          <w:szCs w:val="28"/>
          <w:highlight w:val="none"/>
          <w:lang w:val="en-US" w:eastAsia="zh-CN"/>
        </w:rPr>
        <w:t>第六章、甲乙双方联系人权限</w:t>
      </w:r>
      <w:bookmarkEnd w:id="115"/>
      <w:bookmarkEnd w:id="116"/>
      <w:bookmarkEnd w:id="117"/>
    </w:p>
    <w:p w14:paraId="6A9C577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6.1甲方对乙方发出的业务通知等文件，须经甲方项目负责人及执行联系人签名并加盖项目章（样式详见附件）方为有效，否则为无效文件，仅盖章或者签名的文件亦无效。甲方项目负责人、执行联系人变更的，甲方将以书面形式通知乙方。</w:t>
      </w:r>
    </w:p>
    <w:p w14:paraId="08409592">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highlight w:val="none"/>
        </w:rPr>
      </w:pPr>
      <w:r>
        <w:rPr>
          <w:rFonts w:hint="eastAsia" w:ascii="仿宋" w:hAnsi="仿宋" w:eastAsia="仿宋" w:cs="仿宋"/>
          <w:color w:val="auto"/>
          <w:sz w:val="28"/>
          <w:highlight w:val="none"/>
        </w:rPr>
        <w:t>甲方用于本项目的项目章，仅供甲方项目部与乙方联系工作和确认施工技术、资料之用。该项目章用于以下情形时无效：</w:t>
      </w:r>
    </w:p>
    <w:p w14:paraId="0D75C2E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①签订合同；</w:t>
      </w:r>
    </w:p>
    <w:p w14:paraId="019EB4B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②任何类型的欠条或收据；</w:t>
      </w:r>
    </w:p>
    <w:p w14:paraId="080C6D6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default"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③任何形式的经济结算凭证；</w:t>
      </w:r>
    </w:p>
    <w:p w14:paraId="3E48178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④为他人或他单位提供任何形式的担保；</w:t>
      </w:r>
    </w:p>
    <w:p w14:paraId="5F1D768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⑤确认任何形式的包含权利义务及责任承担的文件。</w:t>
      </w:r>
    </w:p>
    <w:p w14:paraId="308D58B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15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6.2乙方授权代表以乙方的名义处理与本合同相关的一切事务，乙方对其行为均认可并承担一切责任。乙方如需更换授权代表，应提前3个日历天以书面形式通知甲方。</w:t>
      </w:r>
    </w:p>
    <w:p w14:paraId="348C9BA8">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360" w:lineRule="auto"/>
        <w:ind w:left="0" w:leftChars="0" w:firstLine="420" w:firstLineChars="150"/>
        <w:jc w:val="both"/>
        <w:textAlignment w:val="auto"/>
        <w:rPr>
          <w:rFonts w:hint="eastAsia" w:ascii="仿宋" w:hAnsi="仿宋" w:eastAsia="仿宋" w:cs="仿宋"/>
          <w:color w:val="auto"/>
          <w:sz w:val="28"/>
          <w:highlight w:val="none"/>
          <w:shd w:val="clear" w:color="auto" w:fill="auto"/>
          <w:lang w:val="en-US" w:eastAsia="zh-CN"/>
        </w:rPr>
      </w:pPr>
      <w:r>
        <w:rPr>
          <w:rFonts w:hint="eastAsia" w:ascii="仿宋" w:hAnsi="仿宋" w:eastAsia="仿宋" w:cs="仿宋"/>
          <w:color w:val="auto"/>
          <w:sz w:val="28"/>
          <w:highlight w:val="none"/>
          <w:lang w:val="en-US" w:eastAsia="zh-CN"/>
        </w:rPr>
        <w:t>6.3</w:t>
      </w:r>
      <w:r>
        <w:rPr>
          <w:rFonts w:hint="eastAsia" w:ascii="仿宋" w:hAnsi="仿宋" w:eastAsia="仿宋" w:cs="仿宋"/>
          <w:color w:val="auto"/>
          <w:sz w:val="28"/>
          <w:highlight w:val="none"/>
          <w:shd w:val="clear" w:color="auto" w:fill="auto"/>
          <w:lang w:val="en-US" w:eastAsia="zh-CN"/>
        </w:rPr>
        <w:t>乙方每批货安排指定的业务员跟单，对接验收、核量及售后等相关问题。</w:t>
      </w:r>
    </w:p>
    <w:p w14:paraId="307DC38A">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360" w:lineRule="auto"/>
        <w:ind w:left="0" w:leftChars="0" w:firstLine="420" w:firstLineChars="15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6.4</w:t>
      </w:r>
      <w:r>
        <w:rPr>
          <w:rFonts w:hint="eastAsia" w:ascii="仿宋" w:hAnsi="仿宋" w:eastAsia="仿宋" w:cs="仿宋"/>
          <w:color w:val="auto"/>
          <w:sz w:val="28"/>
          <w:szCs w:val="28"/>
          <w:highlight w:val="none"/>
          <w:lang w:eastAsia="zh-CN"/>
        </w:rPr>
        <w:t>除甲方项目部负责人外，甲方项目部其他任何人对涉及费用的所有文件、资料无权进行确定、批准。甲方的项目部负责人在履行本合同过程中，对涉及费用的所有文件、资料审批权限为不超过三千元/次（含税）。三千元/次以该负责人负责管理的项目为最小单位，不得分地块、分期、分楼栋、分部位拆分使用权限。涉及费用超过三千元的文件、资料，无论甲方的项目部负责人是否签字，均须按甲方公司规定的流程完成申报、审批并加盖甲方公章后方为有效，未按此约定完成审批、盖章的文件、资料，无论甲方任何人签字，甲方均不承认和支付任何费用，乙方亦无权向甲方主张任何权利。</w:t>
      </w:r>
    </w:p>
    <w:p w14:paraId="56A868D9">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仿宋" w:hAnsi="仿宋" w:eastAsia="仿宋" w:cs="仿宋"/>
          <w:b/>
          <w:bCs/>
          <w:color w:val="auto"/>
          <w:sz w:val="28"/>
          <w:szCs w:val="28"/>
          <w:highlight w:val="none"/>
          <w:lang w:val="en-US" w:eastAsia="zh-CN"/>
        </w:rPr>
      </w:pPr>
      <w:bookmarkStart w:id="118" w:name="_Toc8151"/>
      <w:bookmarkStart w:id="119" w:name="_Toc32691"/>
      <w:bookmarkStart w:id="120" w:name="_Toc2216"/>
      <w:bookmarkStart w:id="121" w:name="_Toc23058"/>
      <w:bookmarkStart w:id="122" w:name="_Toc20238"/>
      <w:bookmarkStart w:id="123" w:name="_Toc30612"/>
      <w:r>
        <w:rPr>
          <w:rFonts w:hint="eastAsia" w:ascii="仿宋" w:hAnsi="仿宋" w:eastAsia="仿宋" w:cs="仿宋"/>
          <w:b/>
          <w:bCs/>
          <w:color w:val="auto"/>
          <w:sz w:val="28"/>
          <w:szCs w:val="28"/>
          <w:highlight w:val="none"/>
          <w:lang w:val="en-US" w:eastAsia="zh-CN"/>
        </w:rPr>
        <w:t>第七章、其他</w:t>
      </w:r>
      <w:bookmarkEnd w:id="118"/>
      <w:bookmarkEnd w:id="119"/>
      <w:bookmarkEnd w:id="120"/>
      <w:bookmarkEnd w:id="121"/>
      <w:bookmarkEnd w:id="122"/>
      <w:bookmarkEnd w:id="123"/>
    </w:p>
    <w:p w14:paraId="367B0B9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7.1合同价款及合同条款已考虑突发疫情等流行疾病影响因素，乙方不以疫情防控为由要求甲方对合同价、合同结算办法及工期等合同条款进行调整，防疫措施的一切费用已包含在合同价内，不另计费。</w:t>
      </w:r>
    </w:p>
    <w:p w14:paraId="702FF93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7.2乙方人员在本合同履行期间所发生的所有安全事故，均由乙方承担所发生的全部费用及损失，对甲方造成损失的则由乙方赔偿甲方损失。</w:t>
      </w:r>
    </w:p>
    <w:p w14:paraId="0CE398B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7.3甲、乙双方对产品质量有争议的，由产品使用地点的、国家规定的质量检测机构鉴定，所需费用及因此造成的损失由责任方承担。如双方均有责任，由双方根据各自责任分别承担。不可抗力的情形按国家相应规定执行。</w:t>
      </w:r>
    </w:p>
    <w:p w14:paraId="09B6F2E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7.4甲方因参与本合同履行而发出、或与乙方达成合意所形成的一切相关文件，均须同时具备甲方公章及法定代表人（或授权代表人）签名，否则均不对甲方产生约束力，除非事后获得甲方另行追认。</w:t>
      </w:r>
    </w:p>
    <w:p w14:paraId="043132C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7.5本合同各条款相互矛盾、表达含糊的，按最有利于甲方的条款执行。</w:t>
      </w:r>
    </w:p>
    <w:p w14:paraId="3F67BBA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7.6专利技术及特殊工艺 </w:t>
      </w:r>
    </w:p>
    <w:p w14:paraId="6F157AE1">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 xml:space="preserve">7.6.1乙方须保障甲方在使用其提供的产品、服务不受到第三方关于侵权的指控。如果出现此类情况，由乙方与第三方交涉并承担一切费用和责任，如造成甲方损失的，乙方向甲方赔偿。 </w:t>
      </w:r>
    </w:p>
    <w:p w14:paraId="104766CC">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7.6.2乙方擅自使用他人专利技术，侵犯他人专利权的，乙方依法承担相应责任。</w:t>
      </w:r>
    </w:p>
    <w:p w14:paraId="33ED5D56">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7.7本合同履行过程中，乙方如进行企业名称变更，须提前5个日历天书面报告甲方并随附工商登记主管部门核发的相应证明文件，否则甲方有权中止合同付款义务，直至乙方就该变更事宜提交有效证明文件并配合甲方完成对乙方主体身份的核验，其过程所耽误的付款时间属乙方责任，其损失由乙方全部承担。本合同履行过程中，如乙方自身主体被工商登记主管部门注销，甲方有权不履行合同付款义务且属乙方责任，一切损失由乙方承担，甲方无须承担任何违约责任和费用。</w:t>
      </w:r>
    </w:p>
    <w:p w14:paraId="20B5016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7.8签订本合同后，乙方只是取得产品供应资格且向甲方确定了可接受的交易条件，并不意味着双方的成交，能否向甲方销售产品以甲方发出的书面通知为准。甲方随时有权另向第三方交易。在甲方未向乙方发出具体的订货通知之前，乙方无权以本合同为由要求甲方进行交易。</w:t>
      </w:r>
    </w:p>
    <w:p w14:paraId="50A329A0">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7.9本合同未尽事宜或需变更的，甲乙双方另行签订补充协议进行明确。与本合同相关的争议，双方友好协商解决，协商不成则提交甲方所在地人民法院以诉讼方式解决。甲乙双方因履行本合同的往来文件及法院送达的文书以合同签章处所列地址为有效地址，以邮寄方式送达的，通过邮政特快专递寄出第三日视为送达。</w:t>
      </w:r>
    </w:p>
    <w:p w14:paraId="2FD6DB5E">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b w:val="0"/>
          <w:bCs w:val="0"/>
          <w:color w:val="auto"/>
          <w:kern w:val="2"/>
          <w:sz w:val="28"/>
          <w:szCs w:val="24"/>
          <w:highlight w:val="none"/>
          <w:lang w:val="en-US" w:eastAsia="zh-CN" w:bidi="ar-SA"/>
        </w:rPr>
      </w:pPr>
      <w:r>
        <w:rPr>
          <w:rFonts w:hint="eastAsia" w:ascii="仿宋" w:hAnsi="仿宋" w:eastAsia="仿宋" w:cs="仿宋"/>
          <w:b w:val="0"/>
          <w:bCs w:val="0"/>
          <w:color w:val="auto"/>
          <w:sz w:val="28"/>
          <w:highlight w:val="none"/>
          <w:lang w:val="en-US" w:eastAsia="zh-CN"/>
        </w:rPr>
        <w:t>7.10</w:t>
      </w:r>
      <w:r>
        <w:rPr>
          <w:rFonts w:hint="eastAsia" w:ascii="仿宋" w:hAnsi="仿宋" w:eastAsia="仿宋" w:cs="仿宋"/>
          <w:b w:val="0"/>
          <w:bCs w:val="0"/>
          <w:color w:val="auto"/>
          <w:kern w:val="2"/>
          <w:sz w:val="28"/>
          <w:szCs w:val="24"/>
          <w:highlight w:val="none"/>
          <w:lang w:val="en-US" w:eastAsia="zh-CN" w:bidi="ar-SA"/>
        </w:rPr>
        <w:t>乙方与第三方发生的任何经济往来、债务纠纷均与甲方无关。乙方须保证所供应产品无权属上的瑕疵和知识产权的争议，若因此对甲方造成损失，则由乙方全责赔偿。</w:t>
      </w:r>
    </w:p>
    <w:p w14:paraId="7EAB41AC">
      <w:pPr>
        <w:pStyle w:val="8"/>
        <w:keepNext w:val="0"/>
        <w:keepLines w:val="0"/>
        <w:pageBreakBefore w:val="0"/>
        <w:wordWrap/>
        <w:topLinePunct w:val="0"/>
        <w:bidi w:val="0"/>
        <w:snapToGrid/>
        <w:spacing w:line="360" w:lineRule="auto"/>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val="0"/>
          <w:bCs w:val="0"/>
          <w:color w:val="auto"/>
          <w:sz w:val="28"/>
          <w:highlight w:val="none"/>
          <w:lang w:val="en-US" w:eastAsia="zh-CN"/>
        </w:rPr>
        <w:t>7.11</w:t>
      </w:r>
      <w:r>
        <w:rPr>
          <w:rFonts w:hint="eastAsia" w:ascii="仿宋" w:hAnsi="仿宋" w:eastAsia="仿宋" w:cs="仿宋"/>
          <w:b w:val="0"/>
          <w:bCs w:val="0"/>
          <w:color w:val="auto"/>
          <w:kern w:val="2"/>
          <w:sz w:val="28"/>
          <w:szCs w:val="24"/>
          <w:highlight w:val="none"/>
          <w:lang w:val="en-US" w:eastAsia="zh-CN" w:bidi="ar-SA"/>
        </w:rPr>
        <w:t>乙方与第三人签订的劳动、租赁、买卖等一切合同，与甲方无关。乙方在履行本合同期间发生的与第三方一切合同债务，由乙方负全责处理并承担责任。</w:t>
      </w:r>
    </w:p>
    <w:p w14:paraId="03A4BAE0">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7.12本合同执行期间，甲方制度文件如有更新，按甲方最新版要求执行，最终解释权归甲方所有。</w:t>
      </w:r>
    </w:p>
    <w:p w14:paraId="2B4389B1">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7.13以下文件均为合同有效组成部分，各文件互相解释，互为说明。当前后合同文件、资料等出现不一致或矛盾时，以下排列顺序为合同文件的优先解释顺序；同一类文件以最新（近）时间为优先：</w:t>
      </w:r>
    </w:p>
    <w:p w14:paraId="7BB4DF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①合同履行过程中，双方法人代表或授权人签字并加盖公章的补充协议</w:t>
      </w:r>
    </w:p>
    <w:p w14:paraId="21975D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②本合同第一部分协议书；</w:t>
      </w:r>
    </w:p>
    <w:p w14:paraId="6ECC52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③本合同第二部分合同专用条款；</w:t>
      </w:r>
    </w:p>
    <w:p w14:paraId="271C54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④本合同第三部分合同通用条款；</w:t>
      </w:r>
    </w:p>
    <w:p w14:paraId="4B05A2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⑤经甲方确认的方案及相关设计变更；</w:t>
      </w:r>
    </w:p>
    <w:p w14:paraId="0EBB76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⑥本合同招标文件（含相关答疑、补充通知等）；</w:t>
      </w:r>
    </w:p>
    <w:p w14:paraId="5EBD23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⑦乙方发出的、经甲方确认的本合同投标文件及相关澄清文件；</w:t>
      </w:r>
    </w:p>
    <w:p w14:paraId="69035F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150"/>
        <w:jc w:val="left"/>
        <w:textAlignment w:val="auto"/>
        <w:rPr>
          <w:rFonts w:hint="eastAsia" w:ascii="仿宋" w:hAnsi="仿宋" w:eastAsia="仿宋" w:cs="仿宋"/>
          <w:color w:val="auto"/>
          <w:sz w:val="28"/>
          <w:highlight w:val="none"/>
          <w:lang w:val="en-US" w:eastAsia="zh-CN"/>
        </w:rPr>
      </w:pPr>
      <w:r>
        <w:rPr>
          <w:rFonts w:hint="eastAsia" w:ascii="仿宋" w:hAnsi="仿宋" w:eastAsia="仿宋" w:cs="仿宋"/>
          <w:color w:val="auto"/>
          <w:sz w:val="28"/>
          <w:highlight w:val="none"/>
          <w:lang w:val="en-US" w:eastAsia="zh-CN"/>
        </w:rPr>
        <w:t>⑧本项目所在地现行的法律、法规、标准、规范。</w:t>
      </w:r>
    </w:p>
    <w:p w14:paraId="02AFE1FC">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7.14本合同正文为清洁打印文本，如双方对此合同有任何修改及补充均应另行签订补充协议。合同正文中任何非打印的文字或者图形，除非经双方确认同意，否则不产生约束力。</w:t>
      </w:r>
    </w:p>
    <w:p w14:paraId="175DA8BC">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7.15甲乙双方均确认已经审阅并理解本合同全部条款，且已经就条款相关的任何疑问得到满意的解释，并确认本合同的条款为双方本着诚信互利的原则友好协商一致的结果，不属于任何一方的格式条款。</w:t>
      </w:r>
    </w:p>
    <w:p w14:paraId="4808A97E">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7.16本合同一式叁份，甲方执贰份，乙方执壹份，均具同等效力。</w:t>
      </w:r>
    </w:p>
    <w:p w14:paraId="3A4E42A1">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7.17本合同自甲乙双方签字、加盖公章（或合同章）之日起生效，双方履行完合同义务、责任之日终止。</w:t>
      </w:r>
    </w:p>
    <w:p w14:paraId="0AD351CA">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w:t>
      </w:r>
      <w:r>
        <w:rPr>
          <w:rFonts w:hint="eastAsia" w:ascii="仿宋" w:hAnsi="仿宋" w:eastAsia="仿宋" w:cs="仿宋"/>
          <w:b/>
          <w:bCs/>
          <w:color w:val="auto"/>
          <w:sz w:val="28"/>
          <w:szCs w:val="28"/>
          <w:highlight w:val="none"/>
          <w:lang w:eastAsia="zh-CN"/>
        </w:rPr>
        <w:t>以下无正文</w:t>
      </w:r>
      <w:r>
        <w:rPr>
          <w:rFonts w:hint="eastAsia" w:ascii="仿宋" w:hAnsi="仿宋" w:eastAsia="仿宋" w:cs="仿宋"/>
          <w:color w:val="auto"/>
          <w:sz w:val="28"/>
          <w:szCs w:val="28"/>
          <w:highlight w:val="none"/>
          <w:lang w:eastAsia="zh-CN"/>
        </w:rPr>
        <w:t>）</w:t>
      </w:r>
    </w:p>
    <w:p w14:paraId="35440CEF">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0"/>
        <w:rPr>
          <w:rFonts w:hint="eastAsia" w:ascii="仿宋" w:hAnsi="仿宋" w:eastAsia="仿宋" w:cs="仿宋"/>
          <w:color w:val="auto"/>
          <w:kern w:val="2"/>
          <w:sz w:val="28"/>
          <w:szCs w:val="28"/>
          <w:highlight w:val="none"/>
          <w:lang w:val="en-US" w:eastAsia="zh-CN" w:bidi="ar-SA"/>
        </w:rPr>
      </w:pPr>
      <w:bookmarkStart w:id="124" w:name="_Toc2416"/>
      <w:bookmarkStart w:id="125" w:name="_Toc4409"/>
      <w:bookmarkStart w:id="126" w:name="_Toc20558"/>
      <w:bookmarkStart w:id="127" w:name="_Toc32583"/>
      <w:bookmarkStart w:id="128" w:name="_Toc26915"/>
      <w:bookmarkStart w:id="129" w:name="_Toc21875"/>
      <w:bookmarkStart w:id="130" w:name="_Toc21822"/>
      <w:r>
        <w:rPr>
          <w:rFonts w:hint="eastAsia" w:ascii="仿宋" w:hAnsi="仿宋" w:eastAsia="仿宋" w:cs="仿宋"/>
          <w:color w:val="auto"/>
          <w:kern w:val="2"/>
          <w:sz w:val="28"/>
          <w:szCs w:val="28"/>
          <w:highlight w:val="none"/>
          <w:lang w:val="en-US" w:eastAsia="zh-CN" w:bidi="ar-SA"/>
        </w:rPr>
        <w:t>附件一：</w:t>
      </w:r>
      <w:r>
        <w:rPr>
          <w:rFonts w:hint="default" w:ascii="仿宋" w:hAnsi="仿宋" w:eastAsia="仿宋" w:cs="仿宋"/>
          <w:color w:val="auto"/>
          <w:sz w:val="28"/>
          <w:highlight w:val="none"/>
          <w:u w:val="none"/>
          <w:lang w:val="en-US" w:eastAsia="zh-CN"/>
        </w:rPr>
        <w:t>《</w:t>
      </w:r>
      <w:r>
        <w:rPr>
          <w:rFonts w:hint="eastAsia" w:ascii="仿宋" w:hAnsi="仿宋" w:eastAsia="仿宋" w:cs="仿宋"/>
          <w:color w:val="auto"/>
          <w:sz w:val="28"/>
          <w:highlight w:val="none"/>
          <w:u w:val="none"/>
          <w:lang w:val="en-US" w:eastAsia="zh-CN"/>
        </w:rPr>
        <w:t>甲方</w:t>
      </w:r>
      <w:r>
        <w:rPr>
          <w:rFonts w:hint="default" w:ascii="仿宋" w:hAnsi="仿宋" w:eastAsia="仿宋" w:cs="仿宋"/>
          <w:color w:val="auto"/>
          <w:sz w:val="28"/>
          <w:highlight w:val="none"/>
          <w:u w:val="none"/>
          <w:lang w:val="en-US" w:eastAsia="zh-CN"/>
        </w:rPr>
        <w:t>项目章》</w:t>
      </w:r>
      <w:r>
        <w:rPr>
          <w:rFonts w:hint="eastAsia" w:ascii="仿宋" w:hAnsi="仿宋" w:eastAsia="仿宋" w:cs="仿宋"/>
          <w:color w:val="auto"/>
          <w:sz w:val="28"/>
          <w:highlight w:val="none"/>
          <w:u w:val="none"/>
          <w:lang w:val="en-US" w:eastAsia="zh-CN"/>
        </w:rPr>
        <w:t>样</w:t>
      </w:r>
      <w:r>
        <w:rPr>
          <w:rFonts w:hint="default" w:ascii="仿宋" w:hAnsi="仿宋" w:eastAsia="仿宋" w:cs="仿宋"/>
          <w:color w:val="auto"/>
          <w:sz w:val="28"/>
          <w:highlight w:val="none"/>
          <w:u w:val="none"/>
          <w:lang w:val="en-US" w:eastAsia="zh-CN"/>
        </w:rPr>
        <w:t>式</w:t>
      </w:r>
      <w:r>
        <w:rPr>
          <w:rFonts w:hint="eastAsia" w:ascii="仿宋" w:hAnsi="仿宋" w:eastAsia="仿宋" w:cs="仿宋"/>
          <w:color w:val="auto"/>
          <w:sz w:val="28"/>
          <w:highlight w:val="none"/>
          <w:u w:val="none"/>
          <w:shd w:val="clear" w:color="auto" w:fill="auto"/>
          <w:lang w:val="en-US" w:eastAsia="zh-CN"/>
        </w:rPr>
        <w:t>；</w:t>
      </w:r>
      <w:bookmarkEnd w:id="124"/>
      <w:bookmarkEnd w:id="125"/>
      <w:bookmarkEnd w:id="126"/>
      <w:bookmarkEnd w:id="127"/>
      <w:bookmarkEnd w:id="128"/>
    </w:p>
    <w:p w14:paraId="4629D115">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0"/>
        <w:rPr>
          <w:rFonts w:hint="eastAsia" w:ascii="仿宋" w:hAnsi="仿宋" w:eastAsia="仿宋" w:cs="仿宋"/>
          <w:color w:val="auto"/>
          <w:kern w:val="2"/>
          <w:sz w:val="28"/>
          <w:szCs w:val="28"/>
          <w:highlight w:val="none"/>
          <w:lang w:val="en-US" w:eastAsia="zh-CN" w:bidi="ar-SA"/>
        </w:rPr>
      </w:pPr>
      <w:bookmarkStart w:id="131" w:name="_Toc5192"/>
      <w:bookmarkStart w:id="132" w:name="_Toc2409"/>
      <w:bookmarkStart w:id="133" w:name="_Toc29838"/>
      <w:bookmarkStart w:id="134" w:name="_Toc25969"/>
      <w:bookmarkStart w:id="135" w:name="_Toc12376"/>
      <w:r>
        <w:rPr>
          <w:rFonts w:hint="eastAsia" w:ascii="仿宋" w:hAnsi="仿宋" w:eastAsia="仿宋" w:cs="仿宋"/>
          <w:color w:val="auto"/>
          <w:kern w:val="2"/>
          <w:sz w:val="28"/>
          <w:szCs w:val="28"/>
          <w:highlight w:val="none"/>
          <w:lang w:val="en-US" w:eastAsia="zh-CN" w:bidi="ar-SA"/>
        </w:rPr>
        <w:t>附件二：《延迟付款声明函》格式</w:t>
      </w:r>
      <w:bookmarkEnd w:id="129"/>
      <w:bookmarkEnd w:id="130"/>
      <w:r>
        <w:rPr>
          <w:rFonts w:hint="eastAsia" w:ascii="仿宋" w:hAnsi="仿宋" w:eastAsia="仿宋" w:cs="仿宋"/>
          <w:color w:val="auto"/>
          <w:kern w:val="2"/>
          <w:sz w:val="28"/>
          <w:szCs w:val="28"/>
          <w:highlight w:val="none"/>
          <w:lang w:val="en-US" w:eastAsia="zh-CN" w:bidi="ar-SA"/>
        </w:rPr>
        <w:t>；</w:t>
      </w:r>
      <w:bookmarkEnd w:id="131"/>
      <w:bookmarkEnd w:id="132"/>
      <w:bookmarkEnd w:id="133"/>
      <w:bookmarkEnd w:id="134"/>
      <w:bookmarkEnd w:id="135"/>
    </w:p>
    <w:p w14:paraId="72D6311B">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0"/>
        <w:rPr>
          <w:rFonts w:hint="eastAsia" w:ascii="仿宋" w:hAnsi="仿宋" w:eastAsia="仿宋" w:cs="仿宋"/>
          <w:color w:val="auto"/>
          <w:kern w:val="2"/>
          <w:sz w:val="28"/>
          <w:szCs w:val="28"/>
          <w:highlight w:val="none"/>
          <w:lang w:val="en-US" w:eastAsia="zh-CN" w:bidi="ar-SA"/>
        </w:rPr>
      </w:pPr>
      <w:bookmarkStart w:id="136" w:name="_Toc7653"/>
      <w:bookmarkStart w:id="137" w:name="_Toc8930"/>
      <w:bookmarkStart w:id="138" w:name="_Toc26342"/>
      <w:bookmarkStart w:id="139" w:name="_Toc27779"/>
      <w:bookmarkStart w:id="140" w:name="_Toc30834"/>
      <w:bookmarkStart w:id="141" w:name="_Toc846"/>
      <w:bookmarkStart w:id="142" w:name="_Toc18716"/>
      <w:r>
        <w:rPr>
          <w:rFonts w:hint="eastAsia" w:ascii="仿宋" w:hAnsi="仿宋" w:eastAsia="仿宋" w:cs="仿宋"/>
          <w:color w:val="auto"/>
          <w:kern w:val="2"/>
          <w:sz w:val="28"/>
          <w:szCs w:val="28"/>
          <w:highlight w:val="none"/>
          <w:lang w:val="en-US" w:eastAsia="zh-CN" w:bidi="ar-SA"/>
        </w:rPr>
        <w:t>附件三：《材料款申报审批表》格式；</w:t>
      </w:r>
      <w:bookmarkEnd w:id="136"/>
      <w:bookmarkEnd w:id="137"/>
      <w:bookmarkEnd w:id="138"/>
      <w:bookmarkEnd w:id="139"/>
      <w:bookmarkEnd w:id="140"/>
      <w:r>
        <w:rPr>
          <w:rFonts w:hint="eastAsia" w:ascii="仿宋" w:hAnsi="仿宋" w:eastAsia="仿宋" w:cs="仿宋"/>
          <w:color w:val="auto"/>
          <w:kern w:val="2"/>
          <w:sz w:val="28"/>
          <w:szCs w:val="28"/>
          <w:highlight w:val="none"/>
          <w:lang w:val="en-US" w:eastAsia="zh-CN" w:bidi="ar-SA"/>
        </w:rPr>
        <w:t xml:space="preserve">      </w:t>
      </w:r>
    </w:p>
    <w:p w14:paraId="13E079B1">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0"/>
        <w:rPr>
          <w:rFonts w:hint="eastAsia" w:ascii="仿宋" w:hAnsi="仿宋" w:eastAsia="仿宋" w:cs="仿宋"/>
          <w:color w:val="auto"/>
          <w:kern w:val="2"/>
          <w:sz w:val="28"/>
          <w:szCs w:val="28"/>
          <w:highlight w:val="none"/>
          <w:lang w:val="en-US" w:eastAsia="zh-CN" w:bidi="ar-SA"/>
        </w:rPr>
      </w:pPr>
      <w:bookmarkStart w:id="143" w:name="_Toc25266"/>
      <w:bookmarkStart w:id="144" w:name="_Toc27429"/>
      <w:bookmarkStart w:id="145" w:name="_Toc26375"/>
      <w:bookmarkStart w:id="146" w:name="_Toc5013"/>
      <w:bookmarkStart w:id="147" w:name="_Toc16672"/>
      <w:r>
        <w:rPr>
          <w:rFonts w:hint="eastAsia" w:ascii="仿宋" w:hAnsi="仿宋" w:eastAsia="仿宋" w:cs="仿宋"/>
          <w:color w:val="auto"/>
          <w:kern w:val="2"/>
          <w:sz w:val="28"/>
          <w:szCs w:val="28"/>
          <w:highlight w:val="none"/>
          <w:lang w:val="en-US" w:eastAsia="zh-CN" w:bidi="ar-SA"/>
        </w:rPr>
        <w:t>附件四：《款项支付台账》格式</w:t>
      </w:r>
      <w:bookmarkEnd w:id="141"/>
      <w:bookmarkEnd w:id="142"/>
      <w:bookmarkStart w:id="148" w:name="_Toc19217"/>
      <w:bookmarkStart w:id="149" w:name="_Toc10096"/>
      <w:r>
        <w:rPr>
          <w:rFonts w:hint="eastAsia" w:ascii="仿宋" w:hAnsi="仿宋" w:eastAsia="仿宋" w:cs="仿宋"/>
          <w:color w:val="auto"/>
          <w:kern w:val="2"/>
          <w:sz w:val="28"/>
          <w:szCs w:val="28"/>
          <w:highlight w:val="none"/>
          <w:lang w:val="en-US" w:eastAsia="zh-CN" w:bidi="ar-SA"/>
        </w:rPr>
        <w:t>；</w:t>
      </w:r>
      <w:bookmarkEnd w:id="143"/>
      <w:bookmarkEnd w:id="144"/>
      <w:bookmarkEnd w:id="145"/>
      <w:bookmarkEnd w:id="146"/>
      <w:bookmarkEnd w:id="147"/>
    </w:p>
    <w:p w14:paraId="6F9DFBB2">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0"/>
        <w:rPr>
          <w:rFonts w:hint="eastAsia" w:ascii="仿宋" w:hAnsi="仿宋" w:eastAsia="仿宋" w:cs="仿宋"/>
          <w:color w:val="auto"/>
          <w:kern w:val="2"/>
          <w:sz w:val="28"/>
          <w:szCs w:val="28"/>
          <w:highlight w:val="none"/>
          <w:lang w:val="en-US" w:eastAsia="zh-CN" w:bidi="ar-SA"/>
        </w:rPr>
      </w:pPr>
      <w:bookmarkStart w:id="150" w:name="_Toc12833"/>
      <w:bookmarkStart w:id="151" w:name="_Toc2042"/>
      <w:bookmarkStart w:id="152" w:name="_Toc14369"/>
      <w:bookmarkStart w:id="153" w:name="_Toc19788"/>
      <w:bookmarkStart w:id="154" w:name="_Toc7099"/>
      <w:r>
        <w:rPr>
          <w:rFonts w:hint="eastAsia" w:ascii="仿宋" w:hAnsi="仿宋" w:eastAsia="仿宋" w:cs="仿宋"/>
          <w:color w:val="auto"/>
          <w:kern w:val="2"/>
          <w:sz w:val="28"/>
          <w:szCs w:val="28"/>
          <w:highlight w:val="none"/>
          <w:lang w:val="en-US" w:eastAsia="zh-CN" w:bidi="ar-SA"/>
        </w:rPr>
        <w:t>附件五：《结清承诺书》格式</w:t>
      </w:r>
      <w:bookmarkEnd w:id="148"/>
      <w:bookmarkEnd w:id="149"/>
      <w:r>
        <w:rPr>
          <w:rFonts w:hint="eastAsia" w:ascii="仿宋" w:hAnsi="仿宋" w:eastAsia="仿宋" w:cs="仿宋"/>
          <w:color w:val="auto"/>
          <w:kern w:val="2"/>
          <w:sz w:val="28"/>
          <w:szCs w:val="28"/>
          <w:highlight w:val="none"/>
          <w:lang w:val="en-US" w:eastAsia="zh-CN" w:bidi="ar-SA"/>
        </w:rPr>
        <w:t>；</w:t>
      </w:r>
      <w:bookmarkEnd w:id="150"/>
      <w:bookmarkEnd w:id="151"/>
      <w:bookmarkEnd w:id="152"/>
      <w:bookmarkEnd w:id="153"/>
      <w:bookmarkEnd w:id="154"/>
    </w:p>
    <w:p w14:paraId="24C0EC03">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0"/>
        <w:rPr>
          <w:rFonts w:hint="eastAsia" w:ascii="仿宋" w:hAnsi="仿宋" w:eastAsia="仿宋" w:cs="仿宋"/>
          <w:color w:val="auto"/>
          <w:kern w:val="2"/>
          <w:sz w:val="28"/>
          <w:szCs w:val="28"/>
          <w:highlight w:val="none"/>
          <w:lang w:val="en-US" w:eastAsia="zh-CN" w:bidi="ar-SA"/>
        </w:rPr>
      </w:pPr>
      <w:bookmarkStart w:id="155" w:name="_Toc26422"/>
      <w:bookmarkStart w:id="156" w:name="_Toc3265"/>
      <w:bookmarkStart w:id="157" w:name="_Toc6160"/>
      <w:bookmarkStart w:id="158" w:name="_Toc9332"/>
      <w:bookmarkStart w:id="159" w:name="_Toc16934"/>
      <w:r>
        <w:rPr>
          <w:rFonts w:hint="eastAsia" w:ascii="仿宋" w:hAnsi="仿宋" w:eastAsia="仿宋" w:cs="仿宋"/>
          <w:color w:val="auto"/>
          <w:kern w:val="2"/>
          <w:sz w:val="28"/>
          <w:szCs w:val="28"/>
          <w:highlight w:val="none"/>
          <w:lang w:val="en-US" w:eastAsia="zh-CN" w:bidi="ar-SA"/>
        </w:rPr>
        <w:t>附件六：《关于混凝土材料、结构的抗裂措施等说明》格式；</w:t>
      </w:r>
      <w:bookmarkEnd w:id="155"/>
      <w:bookmarkEnd w:id="156"/>
      <w:bookmarkEnd w:id="157"/>
      <w:bookmarkEnd w:id="158"/>
      <w:bookmarkEnd w:id="159"/>
    </w:p>
    <w:p w14:paraId="359D894D">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0"/>
        <w:rPr>
          <w:rFonts w:hint="eastAsia" w:ascii="仿宋" w:hAnsi="仿宋" w:eastAsia="仿宋" w:cs="仿宋"/>
          <w:color w:val="auto"/>
          <w:kern w:val="2"/>
          <w:sz w:val="28"/>
          <w:szCs w:val="28"/>
          <w:highlight w:val="none"/>
          <w:lang w:val="en-US" w:eastAsia="zh-CN" w:bidi="ar-SA"/>
        </w:rPr>
      </w:pPr>
      <w:bookmarkStart w:id="160" w:name="_Toc32375"/>
      <w:bookmarkStart w:id="161" w:name="_Toc14932"/>
      <w:bookmarkStart w:id="162" w:name="_Toc15873"/>
      <w:bookmarkStart w:id="163" w:name="_Toc2007"/>
      <w:bookmarkStart w:id="164" w:name="_Toc5832"/>
      <w:r>
        <w:rPr>
          <w:rFonts w:hint="eastAsia" w:ascii="仿宋" w:hAnsi="仿宋" w:eastAsia="仿宋" w:cs="仿宋"/>
          <w:color w:val="auto"/>
          <w:kern w:val="2"/>
          <w:sz w:val="28"/>
          <w:szCs w:val="28"/>
          <w:highlight w:val="none"/>
          <w:lang w:val="en-US" w:eastAsia="zh-CN" w:bidi="ar-SA"/>
        </w:rPr>
        <w:t>附件七：《供应商月度对账单》格式；</w:t>
      </w:r>
      <w:bookmarkEnd w:id="160"/>
      <w:bookmarkEnd w:id="161"/>
      <w:bookmarkEnd w:id="162"/>
      <w:bookmarkEnd w:id="163"/>
      <w:bookmarkEnd w:id="164"/>
    </w:p>
    <w:p w14:paraId="5B178F8B">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0"/>
        <w:rPr>
          <w:rFonts w:hint="eastAsia" w:ascii="仿宋" w:hAnsi="仿宋" w:eastAsia="仿宋" w:cs="仿宋"/>
          <w:color w:val="auto"/>
          <w:kern w:val="2"/>
          <w:sz w:val="28"/>
          <w:szCs w:val="28"/>
          <w:highlight w:val="none"/>
          <w:lang w:val="en-US" w:eastAsia="zh-CN" w:bidi="ar-SA"/>
        </w:rPr>
      </w:pPr>
      <w:bookmarkStart w:id="165" w:name="_Toc1955"/>
      <w:bookmarkStart w:id="166" w:name="_Toc17502"/>
      <w:bookmarkStart w:id="167" w:name="_Toc15879"/>
      <w:bookmarkStart w:id="168" w:name="_Toc29633"/>
      <w:bookmarkStart w:id="169" w:name="_Toc2557"/>
      <w:r>
        <w:rPr>
          <w:rFonts w:hint="eastAsia" w:ascii="仿宋" w:hAnsi="仿宋" w:eastAsia="仿宋" w:cs="仿宋"/>
          <w:color w:val="auto"/>
          <w:kern w:val="2"/>
          <w:sz w:val="28"/>
          <w:szCs w:val="28"/>
          <w:highlight w:val="none"/>
          <w:lang w:val="en-US" w:eastAsia="zh-CN" w:bidi="ar-SA"/>
        </w:rPr>
        <w:t>附件八：《物料申购单》格式；</w:t>
      </w:r>
      <w:bookmarkEnd w:id="165"/>
      <w:bookmarkEnd w:id="166"/>
      <w:bookmarkEnd w:id="167"/>
      <w:bookmarkEnd w:id="168"/>
      <w:bookmarkEnd w:id="169"/>
    </w:p>
    <w:p w14:paraId="5E03EDBC">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0"/>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附件九：《材料签收单》格式；</w:t>
      </w:r>
    </w:p>
    <w:p w14:paraId="2C04CB17">
      <w:pPr>
        <w:pStyle w:val="8"/>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outlineLvl w:val="0"/>
        <w:rPr>
          <w:rFonts w:hint="default" w:ascii="仿宋" w:hAnsi="仿宋" w:eastAsia="仿宋" w:cs="仿宋"/>
          <w:color w:val="auto"/>
          <w:kern w:val="2"/>
          <w:sz w:val="28"/>
          <w:szCs w:val="28"/>
          <w:highlight w:val="none"/>
          <w:lang w:val="en-US" w:eastAsia="zh-CN" w:bidi="ar-SA"/>
        </w:rPr>
      </w:pPr>
      <w:bookmarkStart w:id="170" w:name="_Toc19915"/>
      <w:bookmarkStart w:id="171" w:name="_Toc29541"/>
      <w:bookmarkStart w:id="172" w:name="_Toc3102"/>
      <w:bookmarkStart w:id="173" w:name="_Toc17124"/>
      <w:bookmarkStart w:id="174" w:name="_Toc4096"/>
      <w:r>
        <w:rPr>
          <w:rFonts w:hint="eastAsia" w:ascii="仿宋" w:hAnsi="仿宋" w:eastAsia="仿宋" w:cs="仿宋"/>
          <w:color w:val="auto"/>
          <w:kern w:val="2"/>
          <w:sz w:val="28"/>
          <w:szCs w:val="28"/>
          <w:highlight w:val="none"/>
          <w:lang w:val="en-US" w:eastAsia="zh-CN" w:bidi="ar-SA"/>
        </w:rPr>
        <w:t>附件十：《报价清单》格式</w:t>
      </w:r>
      <w:bookmarkEnd w:id="170"/>
      <w:bookmarkEnd w:id="171"/>
      <w:bookmarkEnd w:id="172"/>
      <w:bookmarkEnd w:id="173"/>
      <w:bookmarkEnd w:id="174"/>
      <w:r>
        <w:rPr>
          <w:rFonts w:hint="eastAsia" w:ascii="仿宋" w:hAnsi="仿宋" w:eastAsia="仿宋" w:cs="仿宋"/>
          <w:color w:val="auto"/>
          <w:kern w:val="2"/>
          <w:sz w:val="28"/>
          <w:szCs w:val="28"/>
          <w:highlight w:val="none"/>
          <w:lang w:val="en-US" w:eastAsia="zh-CN" w:bidi="ar-SA"/>
        </w:rPr>
        <w:t>。</w:t>
      </w:r>
    </w:p>
    <w:p w14:paraId="649FBA0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right"/>
        <w:textAlignment w:val="auto"/>
        <w:rPr>
          <w:rFonts w:hint="eastAsia" w:ascii="仿宋" w:hAnsi="仿宋" w:eastAsia="仿宋" w:cs="仿宋"/>
          <w:b/>
          <w:bCs/>
          <w:color w:val="auto"/>
          <w:sz w:val="44"/>
          <w:szCs w:val="44"/>
          <w:highlight w:val="none"/>
          <w:lang w:val="en-US" w:eastAsia="zh-CN"/>
        </w:rPr>
      </w:pPr>
      <w:bookmarkStart w:id="175" w:name="_Toc11233"/>
      <w:bookmarkStart w:id="176" w:name="_Toc19000"/>
      <w:r>
        <w:rPr>
          <w:rFonts w:hint="eastAsia" w:ascii="仿宋" w:hAnsi="仿宋" w:eastAsia="仿宋" w:cs="仿宋"/>
          <w:b/>
          <w:bCs/>
          <w:color w:val="auto"/>
          <w:sz w:val="48"/>
          <w:szCs w:val="44"/>
          <w:highlight w:val="none"/>
          <w:lang w:val="en-US" w:eastAsia="zh-CN"/>
        </w:rPr>
        <w:t>附件一</w:t>
      </w:r>
      <w:bookmarkEnd w:id="175"/>
      <w:bookmarkEnd w:id="176"/>
    </w:p>
    <w:p w14:paraId="665D8C9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4"/>
          <w:szCs w:val="44"/>
          <w:highlight w:val="none"/>
          <w:lang w:val="en-US" w:eastAsia="zh-CN"/>
        </w:rPr>
      </w:pPr>
    </w:p>
    <w:p w14:paraId="42E0053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4"/>
          <w:szCs w:val="44"/>
          <w:highlight w:val="none"/>
          <w:lang w:val="en-US" w:eastAsia="zh-CN"/>
        </w:rPr>
      </w:pPr>
    </w:p>
    <w:p w14:paraId="05BB4C5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color w:val="auto"/>
        </w:rPr>
      </w:pPr>
    </w:p>
    <w:p w14:paraId="17678B5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color w:val="auto"/>
          <w:sz w:val="44"/>
          <w:szCs w:val="44"/>
          <w:highlight w:val="none"/>
          <w:lang w:val="en-US" w:eastAsia="zh-CN"/>
        </w:rPr>
      </w:pPr>
      <w:r>
        <w:rPr>
          <w:color w:val="auto"/>
        </w:rPr>
        <w:drawing>
          <wp:inline distT="0" distB="0" distL="114300" distR="114300">
            <wp:extent cx="3932555" cy="2988310"/>
            <wp:effectExtent l="0" t="0" r="10795" b="2540"/>
            <wp:docPr id="2801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151" name="图片 1"/>
                    <pic:cNvPicPr>
                      <a:picLocks noChangeAspect="1"/>
                    </pic:cNvPicPr>
                  </pic:nvPicPr>
                  <pic:blipFill>
                    <a:blip r:embed="rId9"/>
                    <a:srcRect l="1535" t="47917" r="56396" b="1616"/>
                    <a:stretch>
                      <a:fillRect/>
                    </a:stretch>
                  </pic:blipFill>
                  <pic:spPr>
                    <a:xfrm>
                      <a:off x="0" y="0"/>
                      <a:ext cx="3932555" cy="2988310"/>
                    </a:xfrm>
                    <a:prstGeom prst="rect">
                      <a:avLst/>
                    </a:prstGeom>
                    <a:noFill/>
                    <a:ln w="9525">
                      <a:noFill/>
                    </a:ln>
                  </pic:spPr>
                </pic:pic>
              </a:graphicData>
            </a:graphic>
          </wp:inline>
        </w:drawing>
      </w:r>
    </w:p>
    <w:p w14:paraId="1A7BB1F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9"/>
        <w:rPr>
          <w:rFonts w:hint="eastAsia" w:ascii="仿宋" w:hAnsi="仿宋" w:eastAsia="仿宋" w:cs="仿宋"/>
          <w:b/>
          <w:bCs/>
          <w:color w:val="auto"/>
          <w:sz w:val="48"/>
          <w:szCs w:val="44"/>
          <w:highlight w:val="none"/>
          <w:lang w:val="en-US" w:eastAsia="zh-CN"/>
        </w:rPr>
      </w:pPr>
    </w:p>
    <w:p w14:paraId="0F17C58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48"/>
          <w:szCs w:val="44"/>
          <w:highlight w:val="none"/>
          <w:lang w:val="en-US" w:eastAsia="zh-CN"/>
        </w:rPr>
      </w:pPr>
    </w:p>
    <w:p w14:paraId="3DD4013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3B3AA9D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020C87B4">
      <w:pPr>
        <w:bidi w:val="0"/>
        <w:rPr>
          <w:rFonts w:hint="eastAsia" w:ascii="仿宋" w:hAnsi="仿宋" w:eastAsia="仿宋" w:cs="仿宋"/>
          <w:color w:val="auto"/>
          <w:kern w:val="2"/>
          <w:sz w:val="21"/>
          <w:szCs w:val="24"/>
          <w:highlight w:val="none"/>
          <w:lang w:val="en-US" w:eastAsia="zh-CN" w:bidi="ar-SA"/>
        </w:rPr>
      </w:pPr>
    </w:p>
    <w:p w14:paraId="3E3B1C6F">
      <w:pPr>
        <w:bidi w:val="0"/>
        <w:rPr>
          <w:rFonts w:hint="eastAsia" w:ascii="仿宋" w:hAnsi="仿宋" w:eastAsia="仿宋" w:cs="仿宋"/>
          <w:color w:val="auto"/>
          <w:highlight w:val="none"/>
          <w:lang w:val="en-US" w:eastAsia="zh-CN"/>
        </w:rPr>
      </w:pPr>
    </w:p>
    <w:p w14:paraId="2179EB7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rPr>
          <w:rFonts w:hint="eastAsia" w:ascii="仿宋" w:hAnsi="仿宋" w:eastAsia="仿宋" w:cs="仿宋"/>
          <w:b/>
          <w:bCs/>
          <w:color w:val="auto"/>
          <w:sz w:val="44"/>
          <w:szCs w:val="40"/>
          <w:highlight w:val="none"/>
          <w:lang w:val="en-US" w:eastAsia="zh-CN"/>
        </w:rPr>
      </w:pPr>
    </w:p>
    <w:p w14:paraId="3F42EF9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rPr>
          <w:rFonts w:hint="eastAsia" w:ascii="仿宋" w:hAnsi="仿宋" w:eastAsia="仿宋" w:cs="仿宋"/>
          <w:b/>
          <w:bCs/>
          <w:color w:val="auto"/>
          <w:sz w:val="44"/>
          <w:szCs w:val="40"/>
          <w:highlight w:val="none"/>
          <w:lang w:val="en-US" w:eastAsia="zh-CN"/>
        </w:rPr>
      </w:pPr>
    </w:p>
    <w:p w14:paraId="56309BA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rPr>
          <w:rFonts w:hint="eastAsia" w:ascii="仿宋" w:hAnsi="仿宋" w:eastAsia="仿宋" w:cs="仿宋"/>
          <w:b/>
          <w:bCs/>
          <w:color w:val="auto"/>
          <w:sz w:val="44"/>
          <w:szCs w:val="40"/>
          <w:highlight w:val="none"/>
          <w:lang w:val="en-US" w:eastAsia="zh-CN"/>
        </w:rPr>
      </w:pPr>
    </w:p>
    <w:p w14:paraId="0CA2308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rPr>
          <w:rFonts w:hint="eastAsia" w:ascii="仿宋" w:hAnsi="仿宋" w:eastAsia="仿宋" w:cs="仿宋"/>
          <w:b/>
          <w:bCs/>
          <w:color w:val="auto"/>
          <w:sz w:val="44"/>
          <w:szCs w:val="40"/>
          <w:highlight w:val="none"/>
          <w:lang w:val="en-US" w:eastAsia="zh-CN"/>
        </w:rPr>
      </w:pPr>
    </w:p>
    <w:p w14:paraId="186CDE5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rPr>
          <w:rFonts w:hint="eastAsia" w:ascii="仿宋" w:hAnsi="仿宋" w:eastAsia="仿宋" w:cs="仿宋"/>
          <w:b/>
          <w:bCs/>
          <w:color w:val="auto"/>
          <w:sz w:val="44"/>
          <w:szCs w:val="40"/>
          <w:highlight w:val="none"/>
          <w:lang w:val="en-US" w:eastAsia="zh-CN"/>
        </w:rPr>
      </w:pPr>
    </w:p>
    <w:p w14:paraId="5D0B72B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rPr>
          <w:rFonts w:hint="eastAsia" w:ascii="仿宋" w:hAnsi="仿宋" w:eastAsia="仿宋" w:cs="仿宋"/>
          <w:b/>
          <w:bCs/>
          <w:color w:val="auto"/>
          <w:sz w:val="44"/>
          <w:szCs w:val="40"/>
          <w:highlight w:val="none"/>
          <w:lang w:val="en-US" w:eastAsia="zh-CN"/>
        </w:rPr>
      </w:pPr>
    </w:p>
    <w:p w14:paraId="0008529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rPr>
          <w:rFonts w:hint="eastAsia" w:ascii="仿宋" w:hAnsi="仿宋" w:eastAsia="仿宋" w:cs="仿宋"/>
          <w:b/>
          <w:bCs/>
          <w:color w:val="auto"/>
          <w:sz w:val="44"/>
          <w:szCs w:val="40"/>
          <w:highlight w:val="none"/>
          <w:lang w:val="en-US" w:eastAsia="zh-CN"/>
        </w:rPr>
      </w:pPr>
    </w:p>
    <w:p w14:paraId="548DDAE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rPr>
          <w:rFonts w:hint="eastAsia" w:ascii="仿宋" w:hAnsi="仿宋" w:eastAsia="仿宋" w:cs="仿宋"/>
          <w:b/>
          <w:bCs/>
          <w:color w:val="auto"/>
          <w:sz w:val="30"/>
          <w:highlight w:val="none"/>
          <w:lang w:val="en-US" w:eastAsia="zh-CN"/>
        </w:rPr>
      </w:pPr>
      <w:r>
        <w:rPr>
          <w:rFonts w:hint="eastAsia" w:ascii="仿宋" w:hAnsi="仿宋" w:eastAsia="仿宋" w:cs="仿宋"/>
          <w:b/>
          <w:bCs/>
          <w:color w:val="auto"/>
          <w:sz w:val="44"/>
          <w:szCs w:val="40"/>
          <w:highlight w:val="none"/>
          <w:lang w:val="en-US" w:eastAsia="zh-CN"/>
        </w:rPr>
        <w:t>附件二</w:t>
      </w:r>
    </w:p>
    <w:p w14:paraId="272319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延 迟 付 款 声 明 函</w:t>
      </w:r>
    </w:p>
    <w:p w14:paraId="76904D7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30"/>
          <w:szCs w:val="30"/>
          <w:highlight w:val="none"/>
          <w:lang w:val="en-US" w:eastAsia="zh-CN"/>
        </w:rPr>
      </w:pPr>
    </w:p>
    <w:p w14:paraId="79FADA9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致东莞市中泰建安工程有限公司：</w:t>
      </w:r>
    </w:p>
    <w:p w14:paraId="5620FFDA">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u w:val="single"/>
          <w:lang w:val="en-US" w:eastAsia="zh-CN"/>
        </w:rPr>
        <w:t>对  年  月  日至  年  月  日送至贵司           项目/工程名称的     材料/设备（材料签收单单号：          ，货款金额：￥       元）</w:t>
      </w:r>
      <w:r>
        <w:rPr>
          <w:rFonts w:hint="eastAsia" w:ascii="仿宋" w:hAnsi="仿宋" w:eastAsia="仿宋" w:cs="仿宋"/>
          <w:color w:val="auto"/>
          <w:sz w:val="30"/>
          <w:szCs w:val="30"/>
          <w:highlight w:val="none"/>
          <w:u w:val="none"/>
          <w:lang w:val="en-US" w:eastAsia="zh-CN"/>
        </w:rPr>
        <w:t>，因</w:t>
      </w:r>
      <w:r>
        <w:rPr>
          <w:rFonts w:hint="eastAsia" w:ascii="仿宋" w:hAnsi="仿宋" w:eastAsia="仿宋" w:cs="仿宋"/>
          <w:color w:val="auto"/>
          <w:sz w:val="30"/>
          <w:szCs w:val="30"/>
          <w:highlight w:val="none"/>
          <w:lang w:val="en-US" w:eastAsia="zh-CN"/>
        </w:rPr>
        <w:t>我司</w:t>
      </w:r>
      <w:r>
        <w:rPr>
          <w:rFonts w:hint="eastAsia" w:ascii="仿宋" w:hAnsi="仿宋" w:eastAsia="仿宋" w:cs="仿宋"/>
          <w:color w:val="auto"/>
          <w:sz w:val="30"/>
          <w:szCs w:val="30"/>
          <w:highlight w:val="none"/>
          <w:u w:val="none"/>
          <w:lang w:val="en-US" w:eastAsia="zh-CN"/>
        </w:rPr>
        <w:t>原因导致无法</w:t>
      </w:r>
      <w:r>
        <w:rPr>
          <w:rFonts w:hint="eastAsia" w:ascii="仿宋" w:hAnsi="仿宋" w:eastAsia="仿宋" w:cs="仿宋"/>
          <w:color w:val="auto"/>
          <w:sz w:val="30"/>
          <w:szCs w:val="30"/>
          <w:highlight w:val="none"/>
          <w:lang w:val="en-US" w:eastAsia="zh-CN"/>
        </w:rPr>
        <w:t>按照贵我双方合同约定的时限与贵司完成对账并确定相应金额,属我司责任，与贵司无关。我司自愿接受按照合同约定延期支付该款项，我司承担因此导致的所有责任和损失。</w:t>
      </w:r>
    </w:p>
    <w:p w14:paraId="38C72B56">
      <w:pPr>
        <w:keepNext w:val="0"/>
        <w:keepLines w:val="0"/>
        <w:pageBreakBefore w:val="0"/>
        <w:widowControl w:val="0"/>
        <w:kinsoku/>
        <w:wordWrap/>
        <w:overflowPunct/>
        <w:topLinePunct w:val="0"/>
        <w:autoSpaceDE/>
        <w:autoSpaceDN/>
        <w:bidi w:val="0"/>
        <w:adjustRightInd w:val="0"/>
        <w:snapToGrid w:val="0"/>
        <w:spacing w:line="360" w:lineRule="auto"/>
        <w:ind w:firstLine="600" w:firstLineChars="200"/>
        <w:jc w:val="both"/>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30"/>
          <w:szCs w:val="30"/>
          <w:highlight w:val="none"/>
          <w:lang w:val="en-US" w:eastAsia="zh-CN"/>
        </w:rPr>
        <w:t>特此声明。</w:t>
      </w:r>
    </w:p>
    <w:p w14:paraId="1F3DC57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eastAsia" w:ascii="仿宋" w:hAnsi="仿宋" w:eastAsia="仿宋" w:cs="仿宋"/>
          <w:color w:val="auto"/>
          <w:highlight w:val="none"/>
          <w:lang w:val="en-US" w:eastAsia="zh-CN"/>
        </w:rPr>
      </w:pPr>
    </w:p>
    <w:p w14:paraId="4DE53586">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highlight w:val="none"/>
          <w:lang w:val="en-US" w:eastAsia="zh-CN"/>
        </w:rPr>
      </w:pPr>
    </w:p>
    <w:p w14:paraId="46355A54">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eastAsia" w:ascii="仿宋" w:hAnsi="仿宋" w:eastAsia="仿宋" w:cs="仿宋"/>
          <w:color w:val="auto"/>
          <w:highlight w:val="none"/>
          <w:lang w:val="en-US" w:eastAsia="zh-CN"/>
        </w:rPr>
      </w:pPr>
    </w:p>
    <w:p w14:paraId="2F8A734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color w:val="auto"/>
          <w:highlight w:val="none"/>
          <w:lang w:val="en-US" w:eastAsia="zh-CN"/>
        </w:rPr>
      </w:pPr>
    </w:p>
    <w:p w14:paraId="1BDC33C1">
      <w:pPr>
        <w:keepNext w:val="0"/>
        <w:keepLines w:val="0"/>
        <w:pageBreakBefore w:val="0"/>
        <w:widowControl w:val="0"/>
        <w:kinsoku/>
        <w:wordWrap/>
        <w:overflowPunct/>
        <w:topLinePunct w:val="0"/>
        <w:autoSpaceDE/>
        <w:autoSpaceDN/>
        <w:bidi w:val="0"/>
        <w:adjustRightInd/>
        <w:snapToGrid/>
        <w:spacing w:line="360" w:lineRule="auto"/>
        <w:ind w:firstLine="3900" w:firstLineChars="13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声明单位：</w:t>
      </w:r>
    </w:p>
    <w:p w14:paraId="15DA9B3A">
      <w:pPr>
        <w:keepNext w:val="0"/>
        <w:keepLines w:val="0"/>
        <w:pageBreakBefore w:val="0"/>
        <w:widowControl w:val="0"/>
        <w:kinsoku/>
        <w:wordWrap/>
        <w:overflowPunct/>
        <w:topLinePunct w:val="0"/>
        <w:autoSpaceDE/>
        <w:autoSpaceDN/>
        <w:bidi w:val="0"/>
        <w:adjustRightInd/>
        <w:snapToGrid/>
        <w:spacing w:line="360" w:lineRule="auto"/>
        <w:ind w:firstLine="3900" w:firstLineChars="1300"/>
        <w:jc w:val="both"/>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负责人：</w:t>
      </w:r>
    </w:p>
    <w:p w14:paraId="6735A65E">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righ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 xml:space="preserve">                 （加盖公章及法定代表人或授权代表）     </w:t>
      </w:r>
    </w:p>
    <w:p w14:paraId="1B7192C2">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 xml:space="preserve">                  年   月   日</w:t>
      </w:r>
    </w:p>
    <w:p w14:paraId="31D6F10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35EEF64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18F1C3A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1F27292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00F7D53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仿宋" w:hAnsi="仿宋" w:eastAsia="仿宋" w:cs="仿宋"/>
          <w:b/>
          <w:bCs/>
          <w:color w:val="auto"/>
          <w:sz w:val="30"/>
          <w:highlight w:val="none"/>
          <w:lang w:val="en-US" w:eastAsia="zh-CN"/>
        </w:rPr>
      </w:pPr>
    </w:p>
    <w:p w14:paraId="41E5948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仿宋" w:hAnsi="仿宋" w:eastAsia="仿宋" w:cs="仿宋"/>
          <w:b/>
          <w:bCs/>
          <w:color w:val="auto"/>
          <w:sz w:val="30"/>
          <w:highlight w:val="none"/>
          <w:lang w:val="en-US" w:eastAsia="zh-CN"/>
        </w:rPr>
      </w:pPr>
    </w:p>
    <w:p w14:paraId="577E4A7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仿宋" w:hAnsi="仿宋" w:eastAsia="仿宋" w:cs="仿宋"/>
          <w:b/>
          <w:bCs/>
          <w:color w:val="auto"/>
          <w:sz w:val="30"/>
          <w:highlight w:val="none"/>
          <w:lang w:val="en-US" w:eastAsia="zh-CN"/>
        </w:rPr>
      </w:pPr>
    </w:p>
    <w:p w14:paraId="15E776C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both"/>
        <w:textAlignment w:val="auto"/>
        <w:rPr>
          <w:rFonts w:hint="eastAsia" w:ascii="仿宋" w:hAnsi="仿宋" w:eastAsia="仿宋" w:cs="仿宋"/>
          <w:b/>
          <w:bCs/>
          <w:color w:val="auto"/>
          <w:sz w:val="30"/>
          <w:highlight w:val="none"/>
          <w:lang w:val="en-US" w:eastAsia="zh-CN"/>
        </w:rPr>
      </w:pPr>
    </w:p>
    <w:p w14:paraId="267CA21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5CE0B413">
      <w:pPr>
        <w:keepNext/>
        <w:keepLines/>
        <w:widowControl w:val="0"/>
        <w:spacing w:before="120"/>
        <w:jc w:val="right"/>
        <w:outlineLvl w:val="0"/>
        <w:rPr>
          <w:rFonts w:hint="eastAsia" w:ascii="仿宋" w:hAnsi="仿宋" w:eastAsia="仿宋" w:cs="仿宋"/>
          <w:color w:val="auto"/>
          <w:highlight w:val="none"/>
        </w:rPr>
      </w:pPr>
      <w:bookmarkStart w:id="177" w:name="_Toc29995"/>
      <w:bookmarkStart w:id="178" w:name="_Toc17143"/>
      <w:bookmarkStart w:id="179" w:name="_Toc12331"/>
      <w:bookmarkStart w:id="180" w:name="_Toc18596"/>
      <w:bookmarkStart w:id="181" w:name="_Toc25054"/>
      <w:bookmarkStart w:id="182" w:name="_Toc10314"/>
      <w:bookmarkStart w:id="183" w:name="_Toc86334254"/>
      <w:bookmarkStart w:id="184" w:name="_Toc25315"/>
      <w:r>
        <w:rPr>
          <w:rFonts w:hint="eastAsia" w:ascii="仿宋" w:hAnsi="仿宋" w:eastAsia="仿宋" w:cs="仿宋"/>
          <w:b/>
          <w:bCs/>
          <w:color w:val="auto"/>
          <w:kern w:val="2"/>
          <w:sz w:val="44"/>
          <w:szCs w:val="48"/>
          <w:highlight w:val="none"/>
          <w:lang w:val="en-US" w:eastAsia="zh-CN" w:bidi="ar-SA"/>
        </w:rPr>
        <w:t>附件三</w:t>
      </w:r>
      <w:bookmarkEnd w:id="177"/>
      <w:bookmarkEnd w:id="178"/>
      <w:bookmarkEnd w:id="179"/>
      <w:bookmarkEnd w:id="180"/>
      <w:bookmarkEnd w:id="181"/>
      <w:bookmarkEnd w:id="182"/>
      <w:bookmarkEnd w:id="183"/>
      <w:bookmarkEnd w:id="184"/>
    </w:p>
    <w:p w14:paraId="193A4393">
      <w:pPr>
        <w:tabs>
          <w:tab w:val="left" w:pos="720"/>
        </w:tabs>
        <w:adjustRightInd w:val="0"/>
        <w:snapToGrid w:val="0"/>
        <w:spacing w:line="360" w:lineRule="auto"/>
        <w:ind w:left="482" w:hanging="663" w:hangingChars="150"/>
        <w:jc w:val="center"/>
        <w:rPr>
          <w:rFonts w:hint="eastAsia" w:ascii="仿宋" w:hAnsi="仿宋" w:eastAsia="仿宋" w:cs="仿宋"/>
          <w:b/>
          <w:bCs w:val="0"/>
          <w:color w:val="auto"/>
          <w:sz w:val="44"/>
          <w:szCs w:val="44"/>
          <w:highlight w:val="none"/>
        </w:rPr>
      </w:pPr>
      <w:r>
        <w:rPr>
          <w:rFonts w:hint="eastAsia" w:ascii="仿宋" w:hAnsi="仿宋" w:eastAsia="仿宋" w:cs="仿宋"/>
          <w:b/>
          <w:bCs w:val="0"/>
          <w:color w:val="auto"/>
          <w:sz w:val="44"/>
          <w:szCs w:val="44"/>
          <w:highlight w:val="none"/>
        </w:rPr>
        <w:t>材料款申报</w:t>
      </w:r>
      <w:r>
        <w:rPr>
          <w:rFonts w:hint="eastAsia" w:ascii="仿宋" w:hAnsi="仿宋" w:eastAsia="仿宋" w:cs="仿宋"/>
          <w:b/>
          <w:bCs w:val="0"/>
          <w:color w:val="auto"/>
          <w:sz w:val="44"/>
          <w:szCs w:val="44"/>
          <w:highlight w:val="none"/>
          <w:lang w:val="en-US" w:eastAsia="zh-CN"/>
        </w:rPr>
        <w:t>审批</w:t>
      </w:r>
      <w:r>
        <w:rPr>
          <w:rFonts w:hint="eastAsia" w:ascii="仿宋" w:hAnsi="仿宋" w:eastAsia="仿宋" w:cs="仿宋"/>
          <w:b/>
          <w:bCs w:val="0"/>
          <w:color w:val="auto"/>
          <w:sz w:val="44"/>
          <w:szCs w:val="44"/>
          <w:highlight w:val="none"/>
        </w:rPr>
        <w:t>表</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7"/>
        <w:gridCol w:w="3197"/>
        <w:gridCol w:w="1257"/>
        <w:gridCol w:w="3217"/>
      </w:tblGrid>
      <w:tr w14:paraId="798BF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top"/>
          </w:tcPr>
          <w:p w14:paraId="4F6A3A97">
            <w:pPr>
              <w:tabs>
                <w:tab w:val="left" w:pos="720"/>
              </w:tabs>
              <w:adjustRightInd w:val="0"/>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工程名称</w:t>
            </w:r>
          </w:p>
        </w:tc>
        <w:tc>
          <w:tcPr>
            <w:tcW w:w="3402" w:type="dxa"/>
            <w:noWrap w:val="0"/>
            <w:vAlign w:val="top"/>
          </w:tcPr>
          <w:p w14:paraId="4DC8A8E8">
            <w:pPr>
              <w:tabs>
                <w:tab w:val="left" w:pos="720"/>
              </w:tabs>
              <w:adjustRightInd w:val="0"/>
              <w:snapToGrid w:val="0"/>
              <w:spacing w:line="360" w:lineRule="auto"/>
              <w:jc w:val="left"/>
              <w:rPr>
                <w:rFonts w:hint="eastAsia" w:ascii="仿宋" w:hAnsi="仿宋" w:eastAsia="仿宋" w:cs="仿宋"/>
                <w:b w:val="0"/>
                <w:bCs/>
                <w:color w:val="auto"/>
                <w:sz w:val="24"/>
                <w:highlight w:val="none"/>
              </w:rPr>
            </w:pPr>
          </w:p>
        </w:tc>
        <w:tc>
          <w:tcPr>
            <w:tcW w:w="1276" w:type="dxa"/>
            <w:noWrap w:val="0"/>
            <w:vAlign w:val="top"/>
          </w:tcPr>
          <w:p w14:paraId="1168DB87">
            <w:pPr>
              <w:tabs>
                <w:tab w:val="left" w:pos="720"/>
              </w:tabs>
              <w:adjustRightInd w:val="0"/>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合同名称</w:t>
            </w:r>
          </w:p>
        </w:tc>
        <w:tc>
          <w:tcPr>
            <w:tcW w:w="3423" w:type="dxa"/>
            <w:noWrap w:val="0"/>
            <w:vAlign w:val="top"/>
          </w:tcPr>
          <w:p w14:paraId="745E1E1E">
            <w:pPr>
              <w:tabs>
                <w:tab w:val="left" w:pos="720"/>
              </w:tabs>
              <w:adjustRightInd w:val="0"/>
              <w:snapToGrid w:val="0"/>
              <w:spacing w:line="360" w:lineRule="auto"/>
              <w:jc w:val="left"/>
              <w:rPr>
                <w:rFonts w:hint="eastAsia" w:ascii="仿宋" w:hAnsi="仿宋" w:eastAsia="仿宋" w:cs="仿宋"/>
                <w:b w:val="0"/>
                <w:bCs/>
                <w:color w:val="auto"/>
                <w:sz w:val="24"/>
                <w:highlight w:val="none"/>
              </w:rPr>
            </w:pPr>
          </w:p>
        </w:tc>
      </w:tr>
      <w:tr w14:paraId="086A5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noWrap w:val="0"/>
            <w:vAlign w:val="top"/>
          </w:tcPr>
          <w:p w14:paraId="422EB10C">
            <w:pPr>
              <w:tabs>
                <w:tab w:val="left" w:pos="720"/>
              </w:tabs>
              <w:adjustRightInd w:val="0"/>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供货单位</w:t>
            </w:r>
          </w:p>
        </w:tc>
        <w:tc>
          <w:tcPr>
            <w:tcW w:w="3402" w:type="dxa"/>
            <w:noWrap w:val="0"/>
            <w:vAlign w:val="top"/>
          </w:tcPr>
          <w:p w14:paraId="225279E4">
            <w:pPr>
              <w:tabs>
                <w:tab w:val="left" w:pos="720"/>
              </w:tabs>
              <w:adjustRightInd w:val="0"/>
              <w:snapToGrid w:val="0"/>
              <w:spacing w:line="360" w:lineRule="auto"/>
              <w:jc w:val="left"/>
              <w:rPr>
                <w:rFonts w:hint="eastAsia" w:ascii="仿宋" w:hAnsi="仿宋" w:eastAsia="仿宋" w:cs="仿宋"/>
                <w:b w:val="0"/>
                <w:bCs/>
                <w:color w:val="auto"/>
                <w:sz w:val="24"/>
                <w:highlight w:val="none"/>
              </w:rPr>
            </w:pPr>
          </w:p>
        </w:tc>
        <w:tc>
          <w:tcPr>
            <w:tcW w:w="1276" w:type="dxa"/>
            <w:noWrap w:val="0"/>
            <w:vAlign w:val="top"/>
          </w:tcPr>
          <w:p w14:paraId="13EA4291">
            <w:pPr>
              <w:tabs>
                <w:tab w:val="left" w:pos="720"/>
              </w:tabs>
              <w:adjustRightInd w:val="0"/>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合同编号</w:t>
            </w:r>
          </w:p>
        </w:tc>
        <w:tc>
          <w:tcPr>
            <w:tcW w:w="3423" w:type="dxa"/>
            <w:noWrap w:val="0"/>
            <w:vAlign w:val="top"/>
          </w:tcPr>
          <w:p w14:paraId="4DC5441B">
            <w:pPr>
              <w:tabs>
                <w:tab w:val="left" w:pos="720"/>
              </w:tabs>
              <w:adjustRightInd w:val="0"/>
              <w:snapToGrid w:val="0"/>
              <w:spacing w:line="360" w:lineRule="auto"/>
              <w:jc w:val="left"/>
              <w:rPr>
                <w:rFonts w:hint="eastAsia" w:ascii="仿宋" w:hAnsi="仿宋" w:eastAsia="仿宋" w:cs="仿宋"/>
                <w:b w:val="0"/>
                <w:bCs/>
                <w:color w:val="auto"/>
                <w:sz w:val="24"/>
                <w:highlight w:val="none"/>
              </w:rPr>
            </w:pPr>
          </w:p>
        </w:tc>
      </w:tr>
      <w:tr w14:paraId="71812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trPr>
        <w:tc>
          <w:tcPr>
            <w:tcW w:w="9377" w:type="dxa"/>
            <w:gridSpan w:val="4"/>
            <w:noWrap w:val="0"/>
            <w:vAlign w:val="top"/>
          </w:tcPr>
          <w:p w14:paraId="7A1C2734">
            <w:pPr>
              <w:tabs>
                <w:tab w:val="left" w:pos="720"/>
              </w:tabs>
              <w:adjustRightInd w:val="0"/>
              <w:snapToGrid w:val="0"/>
              <w:spacing w:line="360" w:lineRule="auto"/>
              <w:ind w:firstLine="120" w:firstLineChars="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材料申报内容：</w:t>
            </w:r>
          </w:p>
          <w:p w14:paraId="4A765757">
            <w:pPr>
              <w:tabs>
                <w:tab w:val="left" w:pos="720"/>
              </w:tabs>
              <w:adjustRightInd w:val="0"/>
              <w:snapToGrid w:val="0"/>
              <w:spacing w:line="360" w:lineRule="auto"/>
              <w:jc w:val="left"/>
              <w:rPr>
                <w:rFonts w:hint="eastAsia" w:ascii="仿宋" w:hAnsi="仿宋" w:eastAsia="仿宋" w:cs="仿宋"/>
                <w:b w:val="0"/>
                <w:bCs/>
                <w:color w:val="auto"/>
                <w:sz w:val="24"/>
                <w:highlight w:val="none"/>
              </w:rPr>
            </w:pPr>
          </w:p>
          <w:p w14:paraId="1375864A">
            <w:pPr>
              <w:tabs>
                <w:tab w:val="left" w:pos="720"/>
              </w:tabs>
              <w:adjustRightInd w:val="0"/>
              <w:snapToGrid w:val="0"/>
              <w:spacing w:line="360" w:lineRule="auto"/>
              <w:jc w:val="left"/>
              <w:rPr>
                <w:rFonts w:hint="eastAsia" w:ascii="仿宋" w:hAnsi="仿宋" w:eastAsia="仿宋" w:cs="仿宋"/>
                <w:b w:val="0"/>
                <w:bCs/>
                <w:color w:val="auto"/>
                <w:sz w:val="24"/>
                <w:highlight w:val="none"/>
              </w:rPr>
            </w:pPr>
          </w:p>
          <w:p w14:paraId="2637CFA7">
            <w:pPr>
              <w:tabs>
                <w:tab w:val="left" w:pos="720"/>
              </w:tabs>
              <w:adjustRightInd w:val="0"/>
              <w:snapToGrid w:val="0"/>
              <w:spacing w:line="360" w:lineRule="auto"/>
              <w:jc w:val="left"/>
              <w:rPr>
                <w:rFonts w:hint="eastAsia" w:ascii="仿宋" w:hAnsi="仿宋" w:eastAsia="仿宋" w:cs="仿宋"/>
                <w:b w:val="0"/>
                <w:bCs/>
                <w:color w:val="auto"/>
                <w:sz w:val="24"/>
                <w:highlight w:val="none"/>
              </w:rPr>
            </w:pPr>
          </w:p>
          <w:p w14:paraId="2BF1BCA1">
            <w:pPr>
              <w:tabs>
                <w:tab w:val="left" w:pos="720"/>
              </w:tabs>
              <w:adjustRightInd w:val="0"/>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 xml:space="preserve">                                       供货单位（章）：</w:t>
            </w:r>
          </w:p>
          <w:p w14:paraId="690836AE">
            <w:pPr>
              <w:tabs>
                <w:tab w:val="left" w:pos="720"/>
              </w:tabs>
              <w:adjustRightInd w:val="0"/>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 xml:space="preserve">                                       供货单位负责人：</w:t>
            </w:r>
          </w:p>
        </w:tc>
      </w:tr>
      <w:tr w14:paraId="49D22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9377" w:type="dxa"/>
            <w:gridSpan w:val="4"/>
            <w:noWrap w:val="0"/>
            <w:vAlign w:val="top"/>
          </w:tcPr>
          <w:p w14:paraId="28D13CC4">
            <w:pPr>
              <w:tabs>
                <w:tab w:val="left" w:pos="720"/>
              </w:tabs>
              <w:adjustRightInd w:val="0"/>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仓管员①/经办人审核意见：</w:t>
            </w:r>
          </w:p>
          <w:p w14:paraId="3386D221">
            <w:pPr>
              <w:tabs>
                <w:tab w:val="left" w:pos="720"/>
              </w:tabs>
              <w:adjustRightInd w:val="0"/>
              <w:snapToGrid w:val="0"/>
              <w:spacing w:line="360" w:lineRule="auto"/>
              <w:ind w:left="5421" w:hanging="5400" w:hangingChars="2250"/>
              <w:jc w:val="left"/>
              <w:rPr>
                <w:rFonts w:hint="eastAsia" w:ascii="仿宋" w:hAnsi="仿宋" w:eastAsia="仿宋" w:cs="仿宋"/>
                <w:b w:val="0"/>
                <w:bCs/>
                <w:color w:val="auto"/>
                <w:sz w:val="24"/>
                <w:highlight w:val="none"/>
              </w:rPr>
            </w:pPr>
          </w:p>
          <w:p w14:paraId="007F044E">
            <w:pPr>
              <w:tabs>
                <w:tab w:val="left" w:pos="720"/>
              </w:tabs>
              <w:adjustRightInd w:val="0"/>
              <w:snapToGrid w:val="0"/>
              <w:spacing w:line="360" w:lineRule="auto"/>
              <w:ind w:left="5421" w:hanging="5400" w:hangingChars="2250"/>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 xml:space="preserve">                                      签名及日期：</w:t>
            </w:r>
          </w:p>
        </w:tc>
      </w:tr>
      <w:tr w14:paraId="472DF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9377" w:type="dxa"/>
            <w:gridSpan w:val="4"/>
            <w:noWrap w:val="0"/>
            <w:vAlign w:val="top"/>
          </w:tcPr>
          <w:p w14:paraId="241CD40F">
            <w:pPr>
              <w:tabs>
                <w:tab w:val="left" w:pos="720"/>
              </w:tabs>
              <w:adjustRightInd w:val="0"/>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仓管员②审核意见：</w:t>
            </w:r>
          </w:p>
          <w:p w14:paraId="33524E24">
            <w:pPr>
              <w:tabs>
                <w:tab w:val="left" w:pos="720"/>
              </w:tabs>
              <w:adjustRightInd w:val="0"/>
              <w:snapToGrid w:val="0"/>
              <w:spacing w:line="360" w:lineRule="auto"/>
              <w:jc w:val="left"/>
              <w:rPr>
                <w:rFonts w:hint="eastAsia" w:ascii="仿宋" w:hAnsi="仿宋" w:eastAsia="仿宋" w:cs="仿宋"/>
                <w:b w:val="0"/>
                <w:bCs/>
                <w:color w:val="auto"/>
                <w:sz w:val="24"/>
                <w:highlight w:val="none"/>
              </w:rPr>
            </w:pPr>
          </w:p>
          <w:p w14:paraId="220B7CEE">
            <w:pPr>
              <w:tabs>
                <w:tab w:val="left" w:pos="720"/>
              </w:tabs>
              <w:adjustRightInd w:val="0"/>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 xml:space="preserve">                                      签名及日期： </w:t>
            </w:r>
          </w:p>
        </w:tc>
      </w:tr>
      <w:tr w14:paraId="20A56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trPr>
        <w:tc>
          <w:tcPr>
            <w:tcW w:w="9377" w:type="dxa"/>
            <w:gridSpan w:val="4"/>
            <w:noWrap w:val="0"/>
            <w:vAlign w:val="top"/>
          </w:tcPr>
          <w:p w14:paraId="6963B06C">
            <w:pPr>
              <w:tabs>
                <w:tab w:val="left" w:pos="720"/>
              </w:tabs>
              <w:adjustRightInd w:val="0"/>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项目成本管理员审核意见：</w:t>
            </w:r>
          </w:p>
          <w:p w14:paraId="12B81FA2">
            <w:pPr>
              <w:tabs>
                <w:tab w:val="left" w:pos="720"/>
              </w:tabs>
              <w:adjustRightInd w:val="0"/>
              <w:snapToGrid w:val="0"/>
              <w:spacing w:line="360" w:lineRule="auto"/>
              <w:jc w:val="left"/>
              <w:rPr>
                <w:rFonts w:hint="eastAsia" w:ascii="仿宋" w:hAnsi="仿宋" w:eastAsia="仿宋" w:cs="仿宋"/>
                <w:b w:val="0"/>
                <w:bCs/>
                <w:color w:val="auto"/>
                <w:sz w:val="24"/>
                <w:highlight w:val="none"/>
              </w:rPr>
            </w:pPr>
          </w:p>
          <w:p w14:paraId="52A02D80">
            <w:pPr>
              <w:tabs>
                <w:tab w:val="left" w:pos="720"/>
              </w:tabs>
              <w:adjustRightInd w:val="0"/>
              <w:snapToGrid w:val="0"/>
              <w:spacing w:line="360" w:lineRule="auto"/>
              <w:jc w:val="left"/>
              <w:rPr>
                <w:rFonts w:hint="eastAsia" w:ascii="仿宋" w:hAnsi="仿宋" w:eastAsia="仿宋" w:cs="仿宋"/>
                <w:b w:val="0"/>
                <w:bCs/>
                <w:color w:val="auto"/>
                <w:sz w:val="24"/>
                <w:highlight w:val="none"/>
              </w:rPr>
            </w:pPr>
          </w:p>
          <w:p w14:paraId="246A2A3A">
            <w:pPr>
              <w:tabs>
                <w:tab w:val="left" w:pos="720"/>
              </w:tabs>
              <w:adjustRightInd w:val="0"/>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 xml:space="preserve">                                      签名及日期：</w:t>
            </w:r>
          </w:p>
        </w:tc>
      </w:tr>
      <w:tr w14:paraId="1B73B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trPr>
        <w:tc>
          <w:tcPr>
            <w:tcW w:w="9377" w:type="dxa"/>
            <w:gridSpan w:val="4"/>
            <w:noWrap w:val="0"/>
            <w:vAlign w:val="top"/>
          </w:tcPr>
          <w:p w14:paraId="08ECB619">
            <w:pPr>
              <w:tabs>
                <w:tab w:val="left" w:pos="720"/>
              </w:tabs>
              <w:adjustRightInd w:val="0"/>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项目经理审核意见：</w:t>
            </w:r>
          </w:p>
          <w:p w14:paraId="652723EB">
            <w:pPr>
              <w:tabs>
                <w:tab w:val="left" w:pos="720"/>
              </w:tabs>
              <w:adjustRightInd w:val="0"/>
              <w:snapToGrid w:val="0"/>
              <w:spacing w:line="360" w:lineRule="auto"/>
              <w:jc w:val="left"/>
              <w:rPr>
                <w:rFonts w:hint="eastAsia" w:ascii="仿宋" w:hAnsi="仿宋" w:eastAsia="仿宋" w:cs="仿宋"/>
                <w:b w:val="0"/>
                <w:bCs/>
                <w:color w:val="auto"/>
                <w:sz w:val="24"/>
                <w:highlight w:val="none"/>
              </w:rPr>
            </w:pPr>
          </w:p>
          <w:p w14:paraId="2E5A5FD6">
            <w:pPr>
              <w:tabs>
                <w:tab w:val="left" w:pos="720"/>
              </w:tabs>
              <w:adjustRightInd w:val="0"/>
              <w:snapToGrid w:val="0"/>
              <w:spacing w:line="360" w:lineRule="auto"/>
              <w:jc w:val="left"/>
              <w:rPr>
                <w:rFonts w:hint="eastAsia" w:ascii="仿宋" w:hAnsi="仿宋" w:eastAsia="仿宋" w:cs="仿宋"/>
                <w:b w:val="0"/>
                <w:bCs/>
                <w:color w:val="auto"/>
                <w:sz w:val="24"/>
                <w:highlight w:val="none"/>
              </w:rPr>
            </w:pPr>
          </w:p>
          <w:p w14:paraId="4FECF339">
            <w:pPr>
              <w:tabs>
                <w:tab w:val="left" w:pos="720"/>
              </w:tabs>
              <w:adjustRightInd w:val="0"/>
              <w:snapToGrid w:val="0"/>
              <w:spacing w:line="360" w:lineRule="auto"/>
              <w:jc w:val="left"/>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 xml:space="preserve">                                      签名及日期：</w:t>
            </w:r>
          </w:p>
        </w:tc>
      </w:tr>
    </w:tbl>
    <w:p w14:paraId="309D2216">
      <w:pPr>
        <w:tabs>
          <w:tab w:val="left" w:pos="720"/>
        </w:tabs>
        <w:adjustRightInd w:val="0"/>
        <w:snapToGrid w:val="0"/>
        <w:spacing w:line="360" w:lineRule="auto"/>
        <w:ind w:left="-630" w:leftChars="-300" w:right="-630" w:rightChars="-300" w:firstLine="540" w:firstLineChars="300"/>
        <w:jc w:val="left"/>
        <w:rPr>
          <w:rFonts w:hint="eastAsia" w:ascii="仿宋" w:hAnsi="仿宋" w:eastAsia="仿宋" w:cs="仿宋"/>
          <w:b w:val="0"/>
          <w:bCs/>
          <w:color w:val="auto"/>
          <w:sz w:val="18"/>
          <w:szCs w:val="18"/>
          <w:highlight w:val="none"/>
        </w:rPr>
      </w:pPr>
      <w:r>
        <w:rPr>
          <w:rFonts w:hint="eastAsia" w:ascii="仿宋" w:hAnsi="仿宋" w:eastAsia="仿宋" w:cs="仿宋"/>
          <w:b w:val="0"/>
          <w:bCs/>
          <w:color w:val="auto"/>
          <w:sz w:val="18"/>
          <w:szCs w:val="18"/>
          <w:highlight w:val="none"/>
        </w:rPr>
        <w:t>填表要求：1、此表由</w:t>
      </w:r>
      <w:r>
        <w:rPr>
          <w:rFonts w:hint="eastAsia" w:ascii="仿宋" w:hAnsi="仿宋" w:eastAsia="仿宋" w:cs="仿宋"/>
          <w:b w:val="0"/>
          <w:bCs/>
          <w:color w:val="auto"/>
          <w:sz w:val="18"/>
          <w:szCs w:val="18"/>
          <w:highlight w:val="none"/>
          <w:lang w:val="en-US" w:eastAsia="zh-CN"/>
        </w:rPr>
        <w:t>乙方</w:t>
      </w:r>
      <w:r>
        <w:rPr>
          <w:rFonts w:hint="eastAsia" w:ascii="仿宋" w:hAnsi="仿宋" w:eastAsia="仿宋" w:cs="仿宋"/>
          <w:b w:val="0"/>
          <w:bCs/>
          <w:color w:val="auto"/>
          <w:sz w:val="18"/>
          <w:szCs w:val="18"/>
          <w:highlight w:val="none"/>
        </w:rPr>
        <w:t>发起，如实填写，不允许涂改，如有涂改或虚报，此表无效。</w:t>
      </w:r>
    </w:p>
    <w:p w14:paraId="3BAEBD22">
      <w:pPr>
        <w:numPr>
          <w:ilvl w:val="0"/>
          <w:numId w:val="3"/>
        </w:numPr>
        <w:tabs>
          <w:tab w:val="left" w:pos="720"/>
        </w:tabs>
        <w:adjustRightInd w:val="0"/>
        <w:snapToGrid w:val="0"/>
        <w:spacing w:line="360" w:lineRule="auto"/>
        <w:ind w:left="-315" w:leftChars="-150" w:right="-630" w:rightChars="-300" w:firstLine="1170" w:firstLineChars="650"/>
        <w:jc w:val="left"/>
        <w:rPr>
          <w:rFonts w:hint="eastAsia" w:ascii="仿宋" w:hAnsi="仿宋" w:eastAsia="仿宋" w:cs="仿宋"/>
          <w:b w:val="0"/>
          <w:bCs/>
          <w:color w:val="auto"/>
          <w:sz w:val="18"/>
          <w:szCs w:val="18"/>
          <w:highlight w:val="none"/>
        </w:rPr>
      </w:pPr>
      <w:r>
        <w:rPr>
          <w:rFonts w:hint="eastAsia" w:ascii="仿宋" w:hAnsi="仿宋" w:eastAsia="仿宋" w:cs="仿宋"/>
          <w:b w:val="0"/>
          <w:bCs/>
          <w:color w:val="auto"/>
          <w:sz w:val="18"/>
          <w:szCs w:val="18"/>
          <w:highlight w:val="none"/>
        </w:rPr>
        <w:t>此确认表作为向公司申报款项支付审批单的附件。</w:t>
      </w:r>
    </w:p>
    <w:p w14:paraId="553AB617">
      <w:pPr>
        <w:widowControl w:val="0"/>
        <w:numPr>
          <w:ilvl w:val="0"/>
          <w:numId w:val="0"/>
        </w:numPr>
        <w:tabs>
          <w:tab w:val="left" w:pos="720"/>
        </w:tabs>
        <w:adjustRightInd w:val="0"/>
        <w:snapToGrid w:val="0"/>
        <w:spacing w:line="360" w:lineRule="auto"/>
        <w:ind w:right="-630" w:rightChars="-300"/>
        <w:jc w:val="left"/>
        <w:rPr>
          <w:rFonts w:hint="eastAsia" w:ascii="仿宋" w:hAnsi="仿宋" w:eastAsia="仿宋" w:cs="仿宋"/>
          <w:b w:val="0"/>
          <w:bCs/>
          <w:color w:val="auto"/>
          <w:sz w:val="18"/>
          <w:szCs w:val="18"/>
          <w:highlight w:val="none"/>
        </w:rPr>
      </w:pPr>
    </w:p>
    <w:p w14:paraId="27D62FAF">
      <w:pPr>
        <w:widowControl w:val="0"/>
        <w:numPr>
          <w:ilvl w:val="0"/>
          <w:numId w:val="0"/>
        </w:numPr>
        <w:tabs>
          <w:tab w:val="left" w:pos="720"/>
        </w:tabs>
        <w:adjustRightInd w:val="0"/>
        <w:snapToGrid w:val="0"/>
        <w:spacing w:line="360" w:lineRule="auto"/>
        <w:ind w:right="-630" w:rightChars="-300"/>
        <w:jc w:val="left"/>
        <w:rPr>
          <w:rFonts w:hint="eastAsia" w:ascii="仿宋" w:hAnsi="仿宋" w:eastAsia="仿宋" w:cs="仿宋"/>
          <w:b w:val="0"/>
          <w:bCs/>
          <w:color w:val="auto"/>
          <w:sz w:val="18"/>
          <w:szCs w:val="18"/>
          <w:highlight w:val="none"/>
        </w:rPr>
      </w:pPr>
    </w:p>
    <w:p w14:paraId="7A6069BC">
      <w:pPr>
        <w:widowControl w:val="0"/>
        <w:numPr>
          <w:ilvl w:val="0"/>
          <w:numId w:val="0"/>
        </w:numPr>
        <w:tabs>
          <w:tab w:val="left" w:pos="720"/>
        </w:tabs>
        <w:adjustRightInd w:val="0"/>
        <w:snapToGrid w:val="0"/>
        <w:spacing w:line="360" w:lineRule="auto"/>
        <w:ind w:right="-630" w:rightChars="-300"/>
        <w:jc w:val="left"/>
        <w:rPr>
          <w:rFonts w:hint="eastAsia" w:ascii="仿宋" w:hAnsi="仿宋" w:eastAsia="仿宋" w:cs="仿宋"/>
          <w:b w:val="0"/>
          <w:bCs/>
          <w:color w:val="auto"/>
          <w:sz w:val="18"/>
          <w:szCs w:val="18"/>
          <w:highlight w:val="none"/>
        </w:rPr>
      </w:pPr>
    </w:p>
    <w:p w14:paraId="6614B83C">
      <w:pPr>
        <w:widowControl w:val="0"/>
        <w:numPr>
          <w:ilvl w:val="0"/>
          <w:numId w:val="0"/>
        </w:numPr>
        <w:tabs>
          <w:tab w:val="left" w:pos="720"/>
        </w:tabs>
        <w:adjustRightInd w:val="0"/>
        <w:snapToGrid w:val="0"/>
        <w:spacing w:line="360" w:lineRule="auto"/>
        <w:ind w:right="-630" w:rightChars="-300"/>
        <w:jc w:val="left"/>
        <w:rPr>
          <w:rFonts w:hint="eastAsia" w:ascii="仿宋" w:hAnsi="仿宋" w:eastAsia="仿宋" w:cs="仿宋"/>
          <w:b w:val="0"/>
          <w:bCs/>
          <w:color w:val="auto"/>
          <w:sz w:val="18"/>
          <w:szCs w:val="18"/>
          <w:highlight w:val="none"/>
        </w:rPr>
      </w:pPr>
    </w:p>
    <w:p w14:paraId="6265DCA4">
      <w:pPr>
        <w:widowControl w:val="0"/>
        <w:numPr>
          <w:ilvl w:val="0"/>
          <w:numId w:val="0"/>
        </w:numPr>
        <w:tabs>
          <w:tab w:val="left" w:pos="720"/>
        </w:tabs>
        <w:adjustRightInd w:val="0"/>
        <w:snapToGrid w:val="0"/>
        <w:spacing w:line="360" w:lineRule="auto"/>
        <w:ind w:right="-630" w:rightChars="-300"/>
        <w:jc w:val="left"/>
        <w:rPr>
          <w:rFonts w:hint="eastAsia" w:ascii="仿宋" w:hAnsi="仿宋" w:eastAsia="仿宋" w:cs="仿宋"/>
          <w:b w:val="0"/>
          <w:bCs/>
          <w:color w:val="auto"/>
          <w:sz w:val="18"/>
          <w:szCs w:val="18"/>
          <w:highlight w:val="none"/>
        </w:rPr>
      </w:pPr>
    </w:p>
    <w:p w14:paraId="57473033">
      <w:pPr>
        <w:widowControl w:val="0"/>
        <w:numPr>
          <w:ilvl w:val="0"/>
          <w:numId w:val="0"/>
        </w:numPr>
        <w:tabs>
          <w:tab w:val="left" w:pos="720"/>
        </w:tabs>
        <w:adjustRightInd w:val="0"/>
        <w:snapToGrid w:val="0"/>
        <w:spacing w:line="360" w:lineRule="auto"/>
        <w:ind w:right="-630" w:rightChars="-300"/>
        <w:jc w:val="left"/>
        <w:rPr>
          <w:rFonts w:hint="eastAsia" w:ascii="仿宋" w:hAnsi="仿宋" w:eastAsia="仿宋" w:cs="仿宋"/>
          <w:b w:val="0"/>
          <w:bCs/>
          <w:color w:val="auto"/>
          <w:sz w:val="18"/>
          <w:szCs w:val="18"/>
          <w:highlight w:val="none"/>
        </w:rPr>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2"/>
        <w:gridCol w:w="1286"/>
        <w:gridCol w:w="967"/>
        <w:gridCol w:w="967"/>
        <w:gridCol w:w="1361"/>
        <w:gridCol w:w="1749"/>
        <w:gridCol w:w="967"/>
        <w:gridCol w:w="995"/>
      </w:tblGrid>
      <w:tr w14:paraId="46EFD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8"/>
            <w:tcBorders>
              <w:top w:val="nil"/>
              <w:left w:val="nil"/>
              <w:bottom w:val="nil"/>
              <w:right w:val="nil"/>
            </w:tcBorders>
            <w:noWrap/>
            <w:vAlign w:val="center"/>
          </w:tcPr>
          <w:p w14:paraId="31ABCD3A">
            <w:pPr>
              <w:keepNext w:val="0"/>
              <w:keepLines w:val="0"/>
              <w:widowControl/>
              <w:suppressLineNumbers w:val="0"/>
              <w:jc w:val="right"/>
              <w:textAlignment w:val="center"/>
              <w:rPr>
                <w:rFonts w:hint="eastAsia" w:ascii="仿宋" w:hAnsi="仿宋" w:eastAsia="仿宋" w:cs="仿宋"/>
                <w:b/>
                <w:bCs/>
                <w:i w:val="0"/>
                <w:iCs w:val="0"/>
                <w:color w:val="auto"/>
                <w:kern w:val="0"/>
                <w:sz w:val="44"/>
                <w:szCs w:val="44"/>
                <w:highlight w:val="none"/>
                <w:u w:val="none"/>
                <w:lang w:val="en-US" w:eastAsia="zh-CN" w:bidi="ar"/>
              </w:rPr>
            </w:pPr>
            <w:r>
              <w:rPr>
                <w:rFonts w:hint="eastAsia" w:ascii="仿宋" w:hAnsi="仿宋" w:eastAsia="仿宋" w:cs="仿宋"/>
                <w:b/>
                <w:bCs/>
                <w:i w:val="0"/>
                <w:iCs w:val="0"/>
                <w:color w:val="auto"/>
                <w:kern w:val="0"/>
                <w:sz w:val="44"/>
                <w:szCs w:val="44"/>
                <w:highlight w:val="none"/>
                <w:u w:val="none"/>
                <w:lang w:val="en-US" w:eastAsia="zh-CN" w:bidi="ar"/>
              </w:rPr>
              <w:t>附件四</w:t>
            </w:r>
          </w:p>
          <w:p w14:paraId="7325ADA1">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44"/>
                <w:szCs w:val="44"/>
                <w:highlight w:val="none"/>
                <w:u w:val="none"/>
                <w:lang w:val="en-US" w:eastAsia="zh-CN" w:bidi="ar"/>
              </w:rPr>
              <w:t>款项支付台账</w:t>
            </w:r>
          </w:p>
        </w:tc>
      </w:tr>
      <w:tr w14:paraId="29F17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3FB45F5B">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项目名称：</w:t>
            </w:r>
          </w:p>
        </w:tc>
      </w:tr>
      <w:tr w14:paraId="7E8CA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105B009E">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合同名称：</w:t>
            </w:r>
          </w:p>
        </w:tc>
      </w:tr>
      <w:tr w14:paraId="4BA91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6ACBB4F0">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付款公司名称：东莞市中泰建安工程有限公司</w:t>
            </w:r>
          </w:p>
        </w:tc>
      </w:tr>
      <w:tr w14:paraId="176DE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44D6AA2F">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序号</w:t>
            </w:r>
          </w:p>
        </w:tc>
        <w:tc>
          <w:tcPr>
            <w:tcW w:w="711" w:type="pct"/>
            <w:tcBorders>
              <w:top w:val="single" w:color="000000" w:sz="4" w:space="0"/>
              <w:left w:val="single" w:color="000000" w:sz="4" w:space="0"/>
              <w:bottom w:val="single" w:color="000000" w:sz="4" w:space="0"/>
              <w:right w:val="single" w:color="000000" w:sz="4" w:space="0"/>
            </w:tcBorders>
            <w:noWrap w:val="0"/>
            <w:vAlign w:val="center"/>
          </w:tcPr>
          <w:p w14:paraId="247DE0DE">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收/付款日期</w:t>
            </w:r>
          </w:p>
          <w:p w14:paraId="4D710FB6">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p>
          <w:p w14:paraId="015417D3">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（年/月）</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415BF170">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发票代码</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92AF982">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发票号码</w:t>
            </w: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3BD6D4C8">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当期应付金额</w:t>
            </w: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5C34037B">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已支付金额</w:t>
            </w: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14B659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未付金额</w:t>
            </w: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0955D4C1">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付款内容</w:t>
            </w:r>
          </w:p>
        </w:tc>
      </w:tr>
      <w:tr w14:paraId="66165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59AD976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21E29ECA">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69A9D218">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06DAD310">
            <w:pPr>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7B63CF2F">
            <w:pPr>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7DA84BFF">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DF1EE09">
            <w:pPr>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4014998C">
            <w:pPr>
              <w:jc w:val="center"/>
              <w:rPr>
                <w:rFonts w:hint="eastAsia" w:ascii="仿宋" w:hAnsi="仿宋" w:eastAsia="仿宋" w:cs="仿宋"/>
                <w:i w:val="0"/>
                <w:iCs w:val="0"/>
                <w:color w:val="auto"/>
                <w:sz w:val="22"/>
                <w:szCs w:val="22"/>
                <w:highlight w:val="none"/>
                <w:u w:val="none"/>
              </w:rPr>
            </w:pPr>
          </w:p>
        </w:tc>
      </w:tr>
      <w:tr w14:paraId="08542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48FEE43D">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2</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40E3B6C5">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4F6F9B78">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51202A8A">
            <w:pPr>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3EB5BB64">
            <w:pPr>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409CF0B2">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559B0186">
            <w:pPr>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44055561">
            <w:pPr>
              <w:jc w:val="center"/>
              <w:rPr>
                <w:rFonts w:hint="eastAsia" w:ascii="仿宋" w:hAnsi="仿宋" w:eastAsia="仿宋" w:cs="仿宋"/>
                <w:i w:val="0"/>
                <w:iCs w:val="0"/>
                <w:color w:val="auto"/>
                <w:sz w:val="22"/>
                <w:szCs w:val="22"/>
                <w:highlight w:val="none"/>
                <w:u w:val="none"/>
              </w:rPr>
            </w:pPr>
          </w:p>
        </w:tc>
      </w:tr>
      <w:tr w14:paraId="6F72F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575DD6C8">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319E0DA3">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CEE13BF">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31C5D1C6">
            <w:pPr>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43F78229">
            <w:pPr>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041E48FD">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075A0E4C">
            <w:pPr>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2322F4A4">
            <w:pPr>
              <w:jc w:val="center"/>
              <w:rPr>
                <w:rFonts w:hint="eastAsia" w:ascii="仿宋" w:hAnsi="仿宋" w:eastAsia="仿宋" w:cs="仿宋"/>
                <w:i w:val="0"/>
                <w:iCs w:val="0"/>
                <w:color w:val="auto"/>
                <w:sz w:val="22"/>
                <w:szCs w:val="22"/>
                <w:highlight w:val="none"/>
                <w:u w:val="none"/>
              </w:rPr>
            </w:pPr>
          </w:p>
        </w:tc>
      </w:tr>
      <w:tr w14:paraId="2BB04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740A6D8B">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11BE616C">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D632967">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DB39056">
            <w:pPr>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31210EE1">
            <w:pPr>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59CFE288">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190DA95D">
            <w:pPr>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115E4F8E">
            <w:pPr>
              <w:jc w:val="center"/>
              <w:rPr>
                <w:rFonts w:hint="eastAsia" w:ascii="仿宋" w:hAnsi="仿宋" w:eastAsia="仿宋" w:cs="仿宋"/>
                <w:i w:val="0"/>
                <w:iCs w:val="0"/>
                <w:color w:val="auto"/>
                <w:sz w:val="22"/>
                <w:szCs w:val="22"/>
                <w:highlight w:val="none"/>
                <w:u w:val="none"/>
              </w:rPr>
            </w:pPr>
          </w:p>
        </w:tc>
      </w:tr>
      <w:tr w14:paraId="6531C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368B5173">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17BCC396">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264DDF3E">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6536E6C2">
            <w:pPr>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0E0A2CEA">
            <w:pPr>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59637C86">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62214AF1">
            <w:pPr>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2B5D4FF7">
            <w:pPr>
              <w:jc w:val="center"/>
              <w:rPr>
                <w:rFonts w:hint="eastAsia" w:ascii="仿宋" w:hAnsi="仿宋" w:eastAsia="仿宋" w:cs="仿宋"/>
                <w:i w:val="0"/>
                <w:iCs w:val="0"/>
                <w:color w:val="auto"/>
                <w:sz w:val="22"/>
                <w:szCs w:val="22"/>
                <w:highlight w:val="none"/>
                <w:u w:val="none"/>
              </w:rPr>
            </w:pPr>
          </w:p>
        </w:tc>
      </w:tr>
      <w:tr w14:paraId="60F1F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10" w:type="pct"/>
            <w:tcBorders>
              <w:top w:val="single" w:color="000000" w:sz="4" w:space="0"/>
              <w:left w:val="single" w:color="000000" w:sz="4" w:space="0"/>
              <w:bottom w:val="single" w:color="000000" w:sz="4" w:space="0"/>
              <w:right w:val="single" w:color="000000" w:sz="4" w:space="0"/>
            </w:tcBorders>
            <w:noWrap/>
            <w:vAlign w:val="center"/>
          </w:tcPr>
          <w:p w14:paraId="135A6FC0">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w:t>
            </w:r>
          </w:p>
        </w:tc>
        <w:tc>
          <w:tcPr>
            <w:tcW w:w="711" w:type="pct"/>
            <w:tcBorders>
              <w:top w:val="single" w:color="000000" w:sz="4" w:space="0"/>
              <w:left w:val="single" w:color="000000" w:sz="4" w:space="0"/>
              <w:bottom w:val="single" w:color="000000" w:sz="4" w:space="0"/>
              <w:right w:val="single" w:color="000000" w:sz="4" w:space="0"/>
            </w:tcBorders>
            <w:noWrap/>
            <w:vAlign w:val="center"/>
          </w:tcPr>
          <w:p w14:paraId="7EA8C204">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6F0D43FD">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775068CE">
            <w:pPr>
              <w:jc w:val="center"/>
              <w:rPr>
                <w:rFonts w:hint="eastAsia" w:ascii="仿宋" w:hAnsi="仿宋" w:eastAsia="仿宋" w:cs="仿宋"/>
                <w:i w:val="0"/>
                <w:iCs w:val="0"/>
                <w:color w:val="auto"/>
                <w:sz w:val="22"/>
                <w:szCs w:val="22"/>
                <w:highlight w:val="none"/>
                <w:u w:val="none"/>
              </w:rPr>
            </w:pPr>
          </w:p>
        </w:tc>
        <w:tc>
          <w:tcPr>
            <w:tcW w:w="753" w:type="pct"/>
            <w:tcBorders>
              <w:top w:val="single" w:color="000000" w:sz="4" w:space="0"/>
              <w:left w:val="single" w:color="000000" w:sz="4" w:space="0"/>
              <w:bottom w:val="single" w:color="000000" w:sz="4" w:space="0"/>
              <w:right w:val="single" w:color="000000" w:sz="4" w:space="0"/>
            </w:tcBorders>
            <w:noWrap/>
            <w:vAlign w:val="center"/>
          </w:tcPr>
          <w:p w14:paraId="235F19EA">
            <w:pPr>
              <w:jc w:val="center"/>
              <w:rPr>
                <w:rFonts w:hint="eastAsia" w:ascii="仿宋" w:hAnsi="仿宋" w:eastAsia="仿宋" w:cs="仿宋"/>
                <w:i w:val="0"/>
                <w:iCs w:val="0"/>
                <w:color w:val="auto"/>
                <w:sz w:val="22"/>
                <w:szCs w:val="22"/>
                <w:highlight w:val="none"/>
                <w:u w:val="none"/>
              </w:rPr>
            </w:pPr>
          </w:p>
        </w:tc>
        <w:tc>
          <w:tcPr>
            <w:tcW w:w="968" w:type="pct"/>
            <w:tcBorders>
              <w:top w:val="single" w:color="000000" w:sz="4" w:space="0"/>
              <w:left w:val="single" w:color="000000" w:sz="4" w:space="0"/>
              <w:bottom w:val="single" w:color="000000" w:sz="4" w:space="0"/>
              <w:right w:val="single" w:color="000000" w:sz="4" w:space="0"/>
            </w:tcBorders>
            <w:noWrap/>
            <w:vAlign w:val="center"/>
          </w:tcPr>
          <w:p w14:paraId="6F259DFA">
            <w:pPr>
              <w:jc w:val="center"/>
              <w:rPr>
                <w:rFonts w:hint="eastAsia" w:ascii="仿宋" w:hAnsi="仿宋" w:eastAsia="仿宋" w:cs="仿宋"/>
                <w:i w:val="0"/>
                <w:iCs w:val="0"/>
                <w:color w:val="auto"/>
                <w:sz w:val="22"/>
                <w:szCs w:val="22"/>
                <w:highlight w:val="none"/>
                <w:u w:val="none"/>
              </w:rPr>
            </w:pPr>
          </w:p>
        </w:tc>
        <w:tc>
          <w:tcPr>
            <w:tcW w:w="535" w:type="pct"/>
            <w:tcBorders>
              <w:top w:val="single" w:color="000000" w:sz="4" w:space="0"/>
              <w:left w:val="single" w:color="000000" w:sz="4" w:space="0"/>
              <w:bottom w:val="single" w:color="000000" w:sz="4" w:space="0"/>
              <w:right w:val="single" w:color="000000" w:sz="4" w:space="0"/>
            </w:tcBorders>
            <w:noWrap/>
            <w:vAlign w:val="center"/>
          </w:tcPr>
          <w:p w14:paraId="545A2AA1">
            <w:pPr>
              <w:jc w:val="center"/>
              <w:rPr>
                <w:rFonts w:hint="eastAsia" w:ascii="仿宋" w:hAnsi="仿宋" w:eastAsia="仿宋" w:cs="仿宋"/>
                <w:i w:val="0"/>
                <w:iCs w:val="0"/>
                <w:color w:val="auto"/>
                <w:sz w:val="22"/>
                <w:szCs w:val="22"/>
                <w:highlight w:val="none"/>
                <w:u w:val="none"/>
              </w:rPr>
            </w:pP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52E64F6E">
            <w:pPr>
              <w:jc w:val="center"/>
              <w:rPr>
                <w:rFonts w:hint="eastAsia" w:ascii="仿宋" w:hAnsi="仿宋" w:eastAsia="仿宋" w:cs="仿宋"/>
                <w:i w:val="0"/>
                <w:iCs w:val="0"/>
                <w:color w:val="auto"/>
                <w:sz w:val="22"/>
                <w:szCs w:val="22"/>
                <w:highlight w:val="none"/>
                <w:u w:val="none"/>
              </w:rPr>
            </w:pPr>
          </w:p>
        </w:tc>
      </w:tr>
      <w:tr w14:paraId="4690B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22" w:type="pct"/>
            <w:gridSpan w:val="2"/>
            <w:tcBorders>
              <w:top w:val="nil"/>
              <w:left w:val="nil"/>
              <w:bottom w:val="nil"/>
              <w:right w:val="nil"/>
            </w:tcBorders>
            <w:noWrap/>
            <w:vAlign w:val="center"/>
          </w:tcPr>
          <w:p w14:paraId="684FE76F">
            <w:pPr>
              <w:jc w:val="left"/>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制表人：</w:t>
            </w:r>
          </w:p>
        </w:tc>
        <w:tc>
          <w:tcPr>
            <w:tcW w:w="535" w:type="pct"/>
            <w:tcBorders>
              <w:top w:val="nil"/>
              <w:left w:val="nil"/>
              <w:bottom w:val="nil"/>
              <w:right w:val="nil"/>
            </w:tcBorders>
            <w:noWrap/>
            <w:vAlign w:val="center"/>
          </w:tcPr>
          <w:p w14:paraId="4A2D0C26">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24DFADE2">
            <w:pPr>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36447588">
            <w:pPr>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27DFC641">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制表日期：</w:t>
            </w:r>
          </w:p>
        </w:tc>
        <w:tc>
          <w:tcPr>
            <w:tcW w:w="535" w:type="pct"/>
            <w:tcBorders>
              <w:top w:val="nil"/>
              <w:left w:val="nil"/>
              <w:bottom w:val="nil"/>
              <w:right w:val="nil"/>
            </w:tcBorders>
            <w:noWrap/>
            <w:vAlign w:val="center"/>
          </w:tcPr>
          <w:p w14:paraId="0B76479A">
            <w:pPr>
              <w:jc w:val="left"/>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center"/>
          </w:tcPr>
          <w:p w14:paraId="2CD73262">
            <w:pPr>
              <w:jc w:val="center"/>
              <w:rPr>
                <w:rFonts w:hint="eastAsia" w:ascii="仿宋" w:hAnsi="仿宋" w:eastAsia="仿宋" w:cs="仿宋"/>
                <w:i w:val="0"/>
                <w:iCs w:val="0"/>
                <w:color w:val="auto"/>
                <w:sz w:val="22"/>
                <w:szCs w:val="22"/>
                <w:highlight w:val="none"/>
                <w:u w:val="none"/>
              </w:rPr>
            </w:pPr>
          </w:p>
        </w:tc>
      </w:tr>
      <w:tr w14:paraId="30931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0" w:type="pct"/>
            <w:tcBorders>
              <w:top w:val="nil"/>
              <w:left w:val="nil"/>
              <w:bottom w:val="nil"/>
              <w:right w:val="nil"/>
            </w:tcBorders>
            <w:noWrap/>
            <w:vAlign w:val="bottom"/>
          </w:tcPr>
          <w:p w14:paraId="037A409B">
            <w:pPr>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18118F5D">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141EFC5E">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0EE6BCAE">
            <w:pPr>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1FB1952B">
            <w:pPr>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518A9A6C">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0B2A1BBA">
            <w:pPr>
              <w:jc w:val="center"/>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center"/>
          </w:tcPr>
          <w:p w14:paraId="383BC52A">
            <w:pPr>
              <w:jc w:val="center"/>
              <w:rPr>
                <w:rFonts w:hint="eastAsia" w:ascii="仿宋" w:hAnsi="仿宋" w:eastAsia="仿宋" w:cs="仿宋"/>
                <w:i w:val="0"/>
                <w:iCs w:val="0"/>
                <w:color w:val="auto"/>
                <w:sz w:val="22"/>
                <w:szCs w:val="22"/>
                <w:highlight w:val="none"/>
                <w:u w:val="none"/>
              </w:rPr>
            </w:pPr>
          </w:p>
        </w:tc>
      </w:tr>
      <w:tr w14:paraId="5F6EC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0" w:type="pct"/>
            <w:tcBorders>
              <w:top w:val="nil"/>
              <w:left w:val="nil"/>
              <w:bottom w:val="nil"/>
              <w:right w:val="nil"/>
            </w:tcBorders>
            <w:noWrap/>
            <w:vAlign w:val="bottom"/>
          </w:tcPr>
          <w:p w14:paraId="7F97F686">
            <w:pPr>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3A4D2C99">
            <w:pP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03AE0BEC">
            <w:pP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66EF3F98">
            <w:pP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2462F545">
            <w:pP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3D4F6889">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收款公司名称：</w:t>
            </w:r>
          </w:p>
        </w:tc>
        <w:tc>
          <w:tcPr>
            <w:tcW w:w="535" w:type="pct"/>
            <w:tcBorders>
              <w:top w:val="nil"/>
              <w:left w:val="nil"/>
              <w:bottom w:val="nil"/>
              <w:right w:val="nil"/>
            </w:tcBorders>
            <w:noWrap/>
            <w:vAlign w:val="center"/>
          </w:tcPr>
          <w:p w14:paraId="3A059DC9">
            <w:pPr>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14:paraId="11DC7394">
            <w:pPr>
              <w:rPr>
                <w:rFonts w:hint="eastAsia" w:ascii="仿宋" w:hAnsi="仿宋" w:eastAsia="仿宋" w:cs="仿宋"/>
                <w:i w:val="0"/>
                <w:iCs w:val="0"/>
                <w:color w:val="auto"/>
                <w:sz w:val="22"/>
                <w:szCs w:val="22"/>
                <w:highlight w:val="none"/>
                <w:u w:val="none"/>
              </w:rPr>
            </w:pPr>
          </w:p>
        </w:tc>
      </w:tr>
      <w:tr w14:paraId="186E6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10" w:type="pct"/>
            <w:tcBorders>
              <w:top w:val="nil"/>
              <w:left w:val="nil"/>
              <w:bottom w:val="nil"/>
              <w:right w:val="nil"/>
            </w:tcBorders>
            <w:noWrap/>
            <w:vAlign w:val="bottom"/>
          </w:tcPr>
          <w:p w14:paraId="3A295437">
            <w:pPr>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0811B1B8">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263A0E59">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6DF19B9D">
            <w:pPr>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22375500">
            <w:pPr>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034B1AD4">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（加盖公章）</w:t>
            </w:r>
          </w:p>
        </w:tc>
        <w:tc>
          <w:tcPr>
            <w:tcW w:w="535" w:type="pct"/>
            <w:tcBorders>
              <w:top w:val="nil"/>
              <w:left w:val="nil"/>
              <w:bottom w:val="nil"/>
              <w:right w:val="nil"/>
            </w:tcBorders>
            <w:noWrap/>
            <w:vAlign w:val="center"/>
          </w:tcPr>
          <w:p w14:paraId="3926A3C6">
            <w:pPr>
              <w:jc w:val="left"/>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14:paraId="481DADE1">
            <w:pPr>
              <w:rPr>
                <w:rFonts w:hint="eastAsia" w:ascii="仿宋" w:hAnsi="仿宋" w:eastAsia="仿宋" w:cs="仿宋"/>
                <w:i w:val="0"/>
                <w:iCs w:val="0"/>
                <w:color w:val="auto"/>
                <w:sz w:val="22"/>
                <w:szCs w:val="22"/>
                <w:highlight w:val="none"/>
                <w:u w:val="none"/>
              </w:rPr>
            </w:pPr>
          </w:p>
        </w:tc>
      </w:tr>
      <w:tr w14:paraId="6E8B6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10" w:type="pct"/>
            <w:tcBorders>
              <w:top w:val="nil"/>
              <w:left w:val="nil"/>
              <w:bottom w:val="nil"/>
              <w:right w:val="nil"/>
            </w:tcBorders>
            <w:noWrap/>
            <w:vAlign w:val="center"/>
          </w:tcPr>
          <w:p w14:paraId="6B713172">
            <w:pPr>
              <w:jc w:val="center"/>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6552A03A">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6964E668">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3154D5FD">
            <w:pPr>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3FEB91D9">
            <w:pPr>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2AD287E3">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收款公司负责人：</w:t>
            </w:r>
          </w:p>
        </w:tc>
        <w:tc>
          <w:tcPr>
            <w:tcW w:w="535" w:type="pct"/>
            <w:tcBorders>
              <w:top w:val="nil"/>
              <w:left w:val="nil"/>
              <w:bottom w:val="nil"/>
              <w:right w:val="nil"/>
            </w:tcBorders>
            <w:noWrap/>
            <w:vAlign w:val="center"/>
          </w:tcPr>
          <w:p w14:paraId="4C581337">
            <w:pPr>
              <w:jc w:val="left"/>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14:paraId="551F869A">
            <w:pPr>
              <w:rPr>
                <w:rFonts w:hint="eastAsia" w:ascii="仿宋" w:hAnsi="仿宋" w:eastAsia="仿宋" w:cs="仿宋"/>
                <w:i w:val="0"/>
                <w:iCs w:val="0"/>
                <w:color w:val="auto"/>
                <w:sz w:val="22"/>
                <w:szCs w:val="22"/>
                <w:highlight w:val="none"/>
                <w:u w:val="none"/>
              </w:rPr>
            </w:pPr>
          </w:p>
        </w:tc>
      </w:tr>
      <w:tr w14:paraId="1265B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10" w:type="pct"/>
            <w:tcBorders>
              <w:top w:val="nil"/>
              <w:left w:val="nil"/>
              <w:bottom w:val="nil"/>
              <w:right w:val="nil"/>
            </w:tcBorders>
            <w:noWrap/>
            <w:vAlign w:val="center"/>
          </w:tcPr>
          <w:p w14:paraId="46342130">
            <w:pPr>
              <w:jc w:val="center"/>
              <w:rPr>
                <w:rFonts w:hint="eastAsia" w:ascii="仿宋" w:hAnsi="仿宋" w:eastAsia="仿宋" w:cs="仿宋"/>
                <w:i w:val="0"/>
                <w:iCs w:val="0"/>
                <w:color w:val="auto"/>
                <w:sz w:val="22"/>
                <w:szCs w:val="22"/>
                <w:highlight w:val="none"/>
                <w:u w:val="none"/>
              </w:rPr>
            </w:pPr>
          </w:p>
        </w:tc>
        <w:tc>
          <w:tcPr>
            <w:tcW w:w="711" w:type="pct"/>
            <w:tcBorders>
              <w:top w:val="nil"/>
              <w:left w:val="nil"/>
              <w:bottom w:val="nil"/>
              <w:right w:val="nil"/>
            </w:tcBorders>
            <w:noWrap/>
            <w:vAlign w:val="center"/>
          </w:tcPr>
          <w:p w14:paraId="5DC27F0D">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390EFC84">
            <w:pPr>
              <w:jc w:val="center"/>
              <w:rPr>
                <w:rFonts w:hint="eastAsia" w:ascii="仿宋" w:hAnsi="仿宋" w:eastAsia="仿宋" w:cs="仿宋"/>
                <w:i w:val="0"/>
                <w:iCs w:val="0"/>
                <w:color w:val="auto"/>
                <w:sz w:val="22"/>
                <w:szCs w:val="22"/>
                <w:highlight w:val="none"/>
                <w:u w:val="none"/>
              </w:rPr>
            </w:pPr>
          </w:p>
        </w:tc>
        <w:tc>
          <w:tcPr>
            <w:tcW w:w="535" w:type="pct"/>
            <w:tcBorders>
              <w:top w:val="nil"/>
              <w:left w:val="nil"/>
              <w:bottom w:val="nil"/>
              <w:right w:val="nil"/>
            </w:tcBorders>
            <w:noWrap/>
            <w:vAlign w:val="center"/>
          </w:tcPr>
          <w:p w14:paraId="61555221">
            <w:pPr>
              <w:jc w:val="center"/>
              <w:rPr>
                <w:rFonts w:hint="eastAsia" w:ascii="仿宋" w:hAnsi="仿宋" w:eastAsia="仿宋" w:cs="仿宋"/>
                <w:i w:val="0"/>
                <w:iCs w:val="0"/>
                <w:color w:val="auto"/>
                <w:sz w:val="22"/>
                <w:szCs w:val="22"/>
                <w:highlight w:val="none"/>
                <w:u w:val="none"/>
              </w:rPr>
            </w:pPr>
          </w:p>
        </w:tc>
        <w:tc>
          <w:tcPr>
            <w:tcW w:w="753" w:type="pct"/>
            <w:tcBorders>
              <w:top w:val="nil"/>
              <w:left w:val="nil"/>
              <w:bottom w:val="nil"/>
              <w:right w:val="nil"/>
            </w:tcBorders>
            <w:noWrap/>
            <w:vAlign w:val="center"/>
          </w:tcPr>
          <w:p w14:paraId="00A909B9">
            <w:pPr>
              <w:jc w:val="center"/>
              <w:rPr>
                <w:rFonts w:hint="eastAsia" w:ascii="仿宋" w:hAnsi="仿宋" w:eastAsia="仿宋" w:cs="仿宋"/>
                <w:i w:val="0"/>
                <w:iCs w:val="0"/>
                <w:color w:val="auto"/>
                <w:sz w:val="22"/>
                <w:szCs w:val="22"/>
                <w:highlight w:val="none"/>
                <w:u w:val="none"/>
              </w:rPr>
            </w:pPr>
          </w:p>
        </w:tc>
        <w:tc>
          <w:tcPr>
            <w:tcW w:w="968" w:type="pct"/>
            <w:tcBorders>
              <w:top w:val="nil"/>
              <w:left w:val="nil"/>
              <w:bottom w:val="nil"/>
              <w:right w:val="nil"/>
            </w:tcBorders>
            <w:noWrap/>
            <w:vAlign w:val="center"/>
          </w:tcPr>
          <w:p w14:paraId="5B731B55">
            <w:pPr>
              <w:keepNext w:val="0"/>
              <w:keepLines w:val="0"/>
              <w:widowControl/>
              <w:suppressLineNumbers w:val="0"/>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（签名）</w:t>
            </w:r>
          </w:p>
        </w:tc>
        <w:tc>
          <w:tcPr>
            <w:tcW w:w="535" w:type="pct"/>
            <w:tcBorders>
              <w:top w:val="nil"/>
              <w:left w:val="nil"/>
              <w:bottom w:val="nil"/>
              <w:right w:val="nil"/>
            </w:tcBorders>
            <w:noWrap/>
            <w:vAlign w:val="center"/>
          </w:tcPr>
          <w:p w14:paraId="6E3177D8">
            <w:pPr>
              <w:jc w:val="center"/>
              <w:rPr>
                <w:rFonts w:hint="eastAsia" w:ascii="仿宋" w:hAnsi="仿宋" w:eastAsia="仿宋" w:cs="仿宋"/>
                <w:i w:val="0"/>
                <w:iCs w:val="0"/>
                <w:color w:val="auto"/>
                <w:sz w:val="22"/>
                <w:szCs w:val="22"/>
                <w:highlight w:val="none"/>
                <w:u w:val="none"/>
              </w:rPr>
            </w:pPr>
          </w:p>
        </w:tc>
        <w:tc>
          <w:tcPr>
            <w:tcW w:w="548" w:type="pct"/>
            <w:tcBorders>
              <w:top w:val="nil"/>
              <w:left w:val="nil"/>
              <w:bottom w:val="nil"/>
              <w:right w:val="nil"/>
            </w:tcBorders>
            <w:noWrap/>
            <w:vAlign w:val="bottom"/>
          </w:tcPr>
          <w:p w14:paraId="15B3A0E7">
            <w:pPr>
              <w:rPr>
                <w:rFonts w:hint="eastAsia" w:ascii="仿宋" w:hAnsi="仿宋" w:eastAsia="仿宋" w:cs="仿宋"/>
                <w:i w:val="0"/>
                <w:iCs w:val="0"/>
                <w:color w:val="auto"/>
                <w:sz w:val="22"/>
                <w:szCs w:val="22"/>
                <w:highlight w:val="none"/>
                <w:u w:val="none"/>
              </w:rPr>
            </w:pPr>
          </w:p>
        </w:tc>
      </w:tr>
    </w:tbl>
    <w:p w14:paraId="5359D812">
      <w:pPr>
        <w:pStyle w:val="8"/>
        <w:tabs>
          <w:tab w:val="left" w:pos="840"/>
          <w:tab w:val="clear" w:pos="-116"/>
          <w:tab w:val="clear" w:pos="420"/>
        </w:tabs>
        <w:rPr>
          <w:rFonts w:hint="eastAsia" w:ascii="仿宋" w:hAnsi="仿宋" w:eastAsia="仿宋" w:cs="仿宋"/>
          <w:bCs/>
          <w:color w:val="auto"/>
          <w:kern w:val="0"/>
          <w:sz w:val="24"/>
          <w:szCs w:val="24"/>
          <w:highlight w:val="none"/>
          <w:lang w:val="en-US" w:eastAsia="zh-CN"/>
        </w:rPr>
      </w:pPr>
    </w:p>
    <w:p w14:paraId="4617C732">
      <w:pPr>
        <w:jc w:val="right"/>
        <w:rPr>
          <w:rFonts w:hint="eastAsia" w:ascii="仿宋" w:hAnsi="仿宋" w:eastAsia="仿宋" w:cs="仿宋"/>
          <w:b/>
          <w:bCs/>
          <w:color w:val="auto"/>
          <w:sz w:val="44"/>
          <w:szCs w:val="44"/>
          <w:highlight w:val="none"/>
          <w:lang w:val="en-US" w:eastAsia="zh-CN"/>
        </w:rPr>
      </w:pPr>
    </w:p>
    <w:p w14:paraId="7272CD92">
      <w:pPr>
        <w:jc w:val="right"/>
        <w:rPr>
          <w:rFonts w:hint="eastAsia" w:ascii="仿宋" w:hAnsi="仿宋" w:eastAsia="仿宋" w:cs="仿宋"/>
          <w:b/>
          <w:bCs/>
          <w:color w:val="auto"/>
          <w:sz w:val="44"/>
          <w:szCs w:val="44"/>
          <w:highlight w:val="none"/>
          <w:lang w:val="en-US" w:eastAsia="zh-CN"/>
        </w:rPr>
      </w:pPr>
    </w:p>
    <w:p w14:paraId="16369A98">
      <w:pPr>
        <w:jc w:val="right"/>
        <w:rPr>
          <w:rFonts w:hint="eastAsia" w:ascii="仿宋" w:hAnsi="仿宋" w:eastAsia="仿宋" w:cs="仿宋"/>
          <w:b/>
          <w:bCs/>
          <w:color w:val="auto"/>
          <w:sz w:val="44"/>
          <w:szCs w:val="44"/>
          <w:highlight w:val="none"/>
          <w:lang w:val="en-US" w:eastAsia="zh-CN"/>
        </w:rPr>
      </w:pPr>
    </w:p>
    <w:p w14:paraId="41818E6F">
      <w:pPr>
        <w:jc w:val="both"/>
        <w:rPr>
          <w:rFonts w:hint="eastAsia" w:ascii="仿宋" w:hAnsi="仿宋" w:eastAsia="仿宋" w:cs="仿宋"/>
          <w:b/>
          <w:bCs/>
          <w:color w:val="auto"/>
          <w:sz w:val="44"/>
          <w:szCs w:val="44"/>
          <w:highlight w:val="none"/>
          <w:lang w:val="en-US" w:eastAsia="zh-CN"/>
        </w:rPr>
      </w:pPr>
    </w:p>
    <w:p w14:paraId="227FE55E">
      <w:pPr>
        <w:jc w:val="both"/>
        <w:outlineLvl w:val="9"/>
        <w:rPr>
          <w:rFonts w:hint="eastAsia" w:ascii="仿宋" w:hAnsi="仿宋" w:eastAsia="仿宋" w:cs="仿宋"/>
          <w:b/>
          <w:bCs/>
          <w:color w:val="auto"/>
          <w:sz w:val="44"/>
          <w:szCs w:val="44"/>
          <w:highlight w:val="none"/>
          <w:lang w:val="en-US" w:eastAsia="zh-CN"/>
        </w:rPr>
      </w:pPr>
      <w:bookmarkStart w:id="185" w:name="_Toc18939"/>
      <w:bookmarkStart w:id="186" w:name="_Toc19067"/>
      <w:bookmarkStart w:id="187" w:name="_Toc16723"/>
      <w:bookmarkStart w:id="188" w:name="_Toc13551"/>
    </w:p>
    <w:p w14:paraId="053C0F69">
      <w:pPr>
        <w:jc w:val="both"/>
        <w:outlineLvl w:val="9"/>
        <w:rPr>
          <w:rFonts w:hint="eastAsia" w:ascii="仿宋" w:hAnsi="仿宋" w:eastAsia="仿宋" w:cs="仿宋"/>
          <w:b/>
          <w:bCs/>
          <w:color w:val="auto"/>
          <w:sz w:val="44"/>
          <w:szCs w:val="44"/>
          <w:highlight w:val="none"/>
          <w:lang w:val="en-US" w:eastAsia="zh-CN"/>
        </w:rPr>
      </w:pPr>
    </w:p>
    <w:p w14:paraId="0D7A9DEA">
      <w:pPr>
        <w:jc w:val="both"/>
        <w:outlineLvl w:val="9"/>
        <w:rPr>
          <w:rFonts w:hint="eastAsia" w:ascii="仿宋" w:hAnsi="仿宋" w:eastAsia="仿宋" w:cs="仿宋"/>
          <w:b/>
          <w:bCs/>
          <w:color w:val="auto"/>
          <w:sz w:val="44"/>
          <w:szCs w:val="44"/>
          <w:highlight w:val="none"/>
          <w:lang w:val="en-US" w:eastAsia="zh-CN"/>
        </w:rPr>
      </w:pPr>
    </w:p>
    <w:p w14:paraId="54C100C8">
      <w:pPr>
        <w:jc w:val="both"/>
        <w:outlineLvl w:val="9"/>
        <w:rPr>
          <w:rFonts w:hint="eastAsia" w:ascii="仿宋" w:hAnsi="仿宋" w:eastAsia="仿宋" w:cs="仿宋"/>
          <w:b/>
          <w:bCs/>
          <w:color w:val="auto"/>
          <w:sz w:val="44"/>
          <w:szCs w:val="44"/>
          <w:highlight w:val="none"/>
          <w:lang w:val="en-US" w:eastAsia="zh-CN"/>
        </w:rPr>
      </w:pPr>
    </w:p>
    <w:p w14:paraId="4D64159F">
      <w:pPr>
        <w:jc w:val="right"/>
        <w:outlineLvl w:val="0"/>
        <w:rPr>
          <w:rFonts w:hint="eastAsia" w:ascii="仿宋" w:hAnsi="仿宋" w:eastAsia="仿宋" w:cs="仿宋"/>
          <w:b/>
          <w:bCs/>
          <w:color w:val="auto"/>
          <w:sz w:val="44"/>
          <w:szCs w:val="44"/>
          <w:highlight w:val="none"/>
          <w:lang w:val="en-US" w:eastAsia="zh-CN"/>
        </w:rPr>
      </w:pPr>
      <w:bookmarkStart w:id="189" w:name="_Toc857"/>
      <w:bookmarkStart w:id="190" w:name="_Toc31175"/>
      <w:bookmarkStart w:id="191" w:name="_Toc20620"/>
      <w:r>
        <w:rPr>
          <w:rFonts w:hint="eastAsia" w:ascii="仿宋" w:hAnsi="仿宋" w:eastAsia="仿宋" w:cs="仿宋"/>
          <w:b/>
          <w:bCs/>
          <w:color w:val="auto"/>
          <w:sz w:val="44"/>
          <w:szCs w:val="44"/>
          <w:highlight w:val="none"/>
          <w:lang w:val="en-US" w:eastAsia="zh-CN"/>
        </w:rPr>
        <w:t>附件五</w:t>
      </w:r>
      <w:bookmarkEnd w:id="185"/>
      <w:bookmarkEnd w:id="186"/>
      <w:bookmarkEnd w:id="187"/>
      <w:bookmarkEnd w:id="188"/>
      <w:bookmarkEnd w:id="189"/>
      <w:bookmarkEnd w:id="190"/>
      <w:bookmarkEnd w:id="191"/>
    </w:p>
    <w:p w14:paraId="2AFECF84">
      <w:pPr>
        <w:jc w:val="center"/>
        <w:rPr>
          <w:rFonts w:ascii="仿宋" w:hAnsi="仿宋" w:eastAsia="仿宋" w:cs="仿宋"/>
          <w:b w:val="0"/>
          <w:bCs w:val="0"/>
          <w:color w:val="auto"/>
          <w:kern w:val="0"/>
          <w:sz w:val="28"/>
          <w:szCs w:val="28"/>
          <w:highlight w:val="none"/>
        </w:rPr>
      </w:pPr>
      <w:r>
        <w:rPr>
          <w:rFonts w:hint="eastAsia" w:ascii="仿宋" w:hAnsi="仿宋" w:eastAsia="仿宋" w:cs="仿宋"/>
          <w:b w:val="0"/>
          <w:bCs w:val="0"/>
          <w:color w:val="auto"/>
          <w:sz w:val="44"/>
          <w:szCs w:val="44"/>
          <w:highlight w:val="none"/>
        </w:rPr>
        <w:t>结清承诺书</w:t>
      </w:r>
    </w:p>
    <w:p w14:paraId="29668AED">
      <w:pPr>
        <w:pStyle w:val="3"/>
        <w:spacing w:before="97" w:line="222" w:lineRule="auto"/>
        <w:ind w:left="23"/>
        <w:rPr>
          <w:color w:val="auto"/>
          <w:sz w:val="28"/>
          <w:szCs w:val="28"/>
          <w:highlight w:val="none"/>
        </w:rPr>
      </w:pPr>
      <w:r>
        <w:rPr>
          <w:color w:val="auto"/>
          <w:spacing w:val="-2"/>
          <w:sz w:val="28"/>
          <w:szCs w:val="28"/>
          <w:highlight w:val="none"/>
        </w:rPr>
        <w:t>致：东莞市中泰建安工程有限公司</w:t>
      </w:r>
    </w:p>
    <w:p w14:paraId="0A2D1D76">
      <w:pPr>
        <w:pStyle w:val="3"/>
        <w:spacing w:before="51" w:line="376" w:lineRule="auto"/>
        <w:ind w:left="21" w:right="84" w:firstLine="597"/>
        <w:jc w:val="both"/>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感谢贵司选择我司作为</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项目的</w:t>
      </w:r>
      <w:r>
        <w:rPr>
          <w:rFonts w:hint="eastAsia" w:ascii="仿宋" w:hAnsi="仿宋" w:eastAsia="仿宋" w:cs="仿宋"/>
          <w:color w:val="auto"/>
          <w:kern w:val="2"/>
          <w:sz w:val="30"/>
          <w:szCs w:val="30"/>
          <w:highlight w:val="none"/>
          <w:u w:val="single"/>
          <w:lang w:val="en-US" w:eastAsia="zh-CN" w:bidi="ar-SA"/>
        </w:rPr>
        <w:t xml:space="preserve">          （材料名称）</w:t>
      </w:r>
      <w:r>
        <w:rPr>
          <w:rFonts w:hint="eastAsia" w:ascii="仿宋" w:hAnsi="仿宋" w:eastAsia="仿宋" w:cs="仿宋"/>
          <w:color w:val="auto"/>
          <w:kern w:val="2"/>
          <w:sz w:val="30"/>
          <w:szCs w:val="30"/>
          <w:highlight w:val="none"/>
          <w:lang w:val="en-US" w:eastAsia="zh-CN" w:bidi="ar-SA"/>
        </w:rPr>
        <w:t xml:space="preserve">  供应商，履约期间的材料费合计</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元，其中我司已收款项为</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 待收款项</w:t>
      </w:r>
      <w:r>
        <w:rPr>
          <w:rFonts w:hint="eastAsia" w:cs="仿宋"/>
          <w:color w:val="auto"/>
          <w:kern w:val="2"/>
          <w:sz w:val="30"/>
          <w:szCs w:val="30"/>
          <w:highlight w:val="none"/>
          <w:lang w:val="en-US" w:eastAsia="zh-CN" w:bidi="ar-SA"/>
        </w:rPr>
        <w:t>（尾款）</w:t>
      </w:r>
      <w:r>
        <w:rPr>
          <w:rFonts w:hint="eastAsia" w:ascii="仿宋" w:hAnsi="仿宋" w:eastAsia="仿宋" w:cs="仿宋"/>
          <w:color w:val="auto"/>
          <w:kern w:val="2"/>
          <w:sz w:val="30"/>
          <w:szCs w:val="30"/>
          <w:highlight w:val="none"/>
          <w:lang w:val="en-US" w:eastAsia="zh-CN" w:bidi="ar-SA"/>
        </w:rPr>
        <w:t>为</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w:t>
      </w:r>
    </w:p>
    <w:p w14:paraId="2A67EA7B">
      <w:pPr>
        <w:pStyle w:val="3"/>
        <w:spacing w:before="51" w:line="376" w:lineRule="auto"/>
        <w:ind w:left="21" w:right="84" w:firstLine="597"/>
        <w:jc w:val="both"/>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现我司在此确认并郑重承诺：收到贵司支付的</w:t>
      </w:r>
      <w:r>
        <w:rPr>
          <w:rFonts w:hint="eastAsia" w:cs="仿宋"/>
          <w:color w:val="auto"/>
          <w:kern w:val="2"/>
          <w:sz w:val="30"/>
          <w:szCs w:val="30"/>
          <w:highlight w:val="none"/>
          <w:lang w:val="en-US" w:eastAsia="zh-CN" w:bidi="ar-SA"/>
        </w:rPr>
        <w:t>上述</w:t>
      </w:r>
      <w:r>
        <w:rPr>
          <w:rFonts w:hint="eastAsia" w:ascii="仿宋" w:hAnsi="仿宋" w:eastAsia="仿宋" w:cs="仿宋"/>
          <w:color w:val="auto"/>
          <w:kern w:val="2"/>
          <w:sz w:val="30"/>
          <w:szCs w:val="30"/>
          <w:highlight w:val="none"/>
          <w:lang w:val="en-US" w:eastAsia="zh-CN" w:bidi="ar-SA"/>
        </w:rPr>
        <w:t>尾款</w:t>
      </w:r>
      <w:r>
        <w:rPr>
          <w:rFonts w:hint="eastAsia" w:ascii="仿宋" w:hAnsi="仿宋" w:eastAsia="仿宋" w:cs="仿宋"/>
          <w:color w:val="auto"/>
          <w:kern w:val="2"/>
          <w:sz w:val="30"/>
          <w:szCs w:val="30"/>
          <w:highlight w:val="none"/>
          <w:u w:val="single"/>
          <w:lang w:val="en-US" w:eastAsia="zh-CN" w:bidi="ar-SA"/>
        </w:rPr>
        <w:t xml:space="preserve">       </w:t>
      </w:r>
      <w:r>
        <w:rPr>
          <w:rFonts w:hint="eastAsia" w:ascii="仿宋" w:hAnsi="仿宋" w:eastAsia="仿宋" w:cs="仿宋"/>
          <w:color w:val="auto"/>
          <w:kern w:val="2"/>
          <w:sz w:val="30"/>
          <w:szCs w:val="30"/>
          <w:highlight w:val="none"/>
          <w:lang w:val="en-US" w:eastAsia="zh-CN" w:bidi="ar-SA"/>
        </w:rPr>
        <w:t>元</w:t>
      </w:r>
      <w:r>
        <w:rPr>
          <w:rFonts w:hint="eastAsia" w:cs="仿宋"/>
          <w:color w:val="auto"/>
          <w:kern w:val="2"/>
          <w:sz w:val="30"/>
          <w:szCs w:val="30"/>
          <w:highlight w:val="none"/>
          <w:lang w:val="en-US" w:eastAsia="zh-CN" w:bidi="ar-SA"/>
        </w:rPr>
        <w:t>后</w:t>
      </w:r>
      <w:r>
        <w:rPr>
          <w:rFonts w:hint="eastAsia" w:ascii="仿宋" w:hAnsi="仿宋" w:eastAsia="仿宋" w:cs="仿宋"/>
          <w:color w:val="auto"/>
          <w:kern w:val="2"/>
          <w:sz w:val="30"/>
          <w:szCs w:val="30"/>
          <w:highlight w:val="none"/>
          <w:lang w:val="en-US" w:eastAsia="zh-CN" w:bidi="ar-SA"/>
        </w:rPr>
        <w:t>，该项目 的</w:t>
      </w:r>
      <w:r>
        <w:rPr>
          <w:rFonts w:hint="eastAsia" w:ascii="仿宋" w:hAnsi="仿宋" w:eastAsia="仿宋" w:cs="仿宋"/>
          <w:color w:val="auto"/>
          <w:kern w:val="2"/>
          <w:sz w:val="30"/>
          <w:szCs w:val="30"/>
          <w:highlight w:val="none"/>
          <w:u w:val="single"/>
          <w:lang w:val="en-US" w:eastAsia="zh-CN" w:bidi="ar-SA"/>
        </w:rPr>
        <w:t>（材料名称）</w:t>
      </w:r>
      <w:r>
        <w:rPr>
          <w:rFonts w:hint="eastAsia" w:ascii="仿宋" w:hAnsi="仿宋" w:eastAsia="仿宋" w:cs="仿宋"/>
          <w:color w:val="auto"/>
          <w:kern w:val="2"/>
          <w:sz w:val="30"/>
          <w:szCs w:val="30"/>
          <w:highlight w:val="none"/>
          <w:lang w:val="en-US" w:eastAsia="zh-CN" w:bidi="ar-SA"/>
        </w:rPr>
        <w:t>所涉及的材料费用全部结清，我司合同中的所有权利全部消灭，我司将不再以任何理由、任何方式就该项目的合作向贵司提出任何权利主张或追索其他任何费用，同时我司相应的义务和责任按照合同执行。</w:t>
      </w:r>
    </w:p>
    <w:p w14:paraId="1D27F88F">
      <w:pPr>
        <w:pStyle w:val="3"/>
        <w:spacing w:before="50" w:line="223" w:lineRule="auto"/>
        <w:ind w:left="619"/>
        <w:rPr>
          <w:rFonts w:hint="eastAsia" w:ascii="仿宋" w:hAnsi="仿宋" w:eastAsia="仿宋" w:cs="仿宋"/>
          <w:color w:val="auto"/>
          <w:kern w:val="2"/>
          <w:sz w:val="30"/>
          <w:szCs w:val="30"/>
          <w:highlight w:val="none"/>
          <w:lang w:val="en-US" w:eastAsia="zh-CN" w:bidi="ar-SA"/>
        </w:rPr>
      </w:pPr>
      <w:r>
        <w:rPr>
          <w:rFonts w:hint="eastAsia" w:ascii="仿宋" w:hAnsi="仿宋" w:eastAsia="仿宋" w:cs="仿宋"/>
          <w:color w:val="auto"/>
          <w:kern w:val="2"/>
          <w:sz w:val="30"/>
          <w:szCs w:val="30"/>
          <w:highlight w:val="none"/>
          <w:lang w:val="en-US" w:eastAsia="zh-CN" w:bidi="ar-SA"/>
        </w:rPr>
        <w:t>特此</w:t>
      </w:r>
      <w:r>
        <w:rPr>
          <w:rFonts w:hint="eastAsia" w:cs="仿宋"/>
          <w:color w:val="auto"/>
          <w:kern w:val="2"/>
          <w:sz w:val="30"/>
          <w:szCs w:val="30"/>
          <w:highlight w:val="none"/>
          <w:lang w:val="en-US" w:eastAsia="zh-CN" w:bidi="ar-SA"/>
        </w:rPr>
        <w:t>承诺</w:t>
      </w:r>
      <w:r>
        <w:rPr>
          <w:rFonts w:hint="eastAsia" w:ascii="仿宋" w:hAnsi="仿宋" w:eastAsia="仿宋" w:cs="仿宋"/>
          <w:color w:val="auto"/>
          <w:kern w:val="2"/>
          <w:sz w:val="30"/>
          <w:szCs w:val="30"/>
          <w:highlight w:val="none"/>
          <w:lang w:val="en-US" w:eastAsia="zh-CN" w:bidi="ar-SA"/>
        </w:rPr>
        <w:t>！</w:t>
      </w:r>
    </w:p>
    <w:p w14:paraId="304A1332">
      <w:pPr>
        <w:spacing w:line="261" w:lineRule="auto"/>
        <w:rPr>
          <w:rFonts w:ascii="Arial"/>
          <w:color w:val="auto"/>
          <w:sz w:val="20"/>
          <w:szCs w:val="22"/>
          <w:highlight w:val="none"/>
        </w:rPr>
      </w:pPr>
    </w:p>
    <w:p w14:paraId="2E09D7F6">
      <w:pPr>
        <w:spacing w:line="261" w:lineRule="auto"/>
        <w:rPr>
          <w:rFonts w:ascii="Arial"/>
          <w:color w:val="auto"/>
          <w:sz w:val="20"/>
          <w:szCs w:val="22"/>
          <w:highlight w:val="none"/>
        </w:rPr>
      </w:pPr>
    </w:p>
    <w:p w14:paraId="672E19C8">
      <w:pPr>
        <w:pStyle w:val="3"/>
        <w:spacing w:before="98" w:line="221" w:lineRule="auto"/>
        <w:ind w:firstLine="4658" w:firstLineChars="1700"/>
        <w:rPr>
          <w:color w:val="auto"/>
          <w:sz w:val="28"/>
          <w:szCs w:val="28"/>
          <w:highlight w:val="none"/>
        </w:rPr>
      </w:pPr>
      <w:r>
        <w:rPr>
          <w:color w:val="auto"/>
          <w:spacing w:val="-3"/>
          <w:sz w:val="28"/>
          <w:szCs w:val="28"/>
          <w:highlight w:val="none"/>
        </w:rPr>
        <w:t>承诺单位（盖章</w:t>
      </w:r>
      <w:r>
        <w:rPr>
          <w:color w:val="auto"/>
          <w:sz w:val="28"/>
          <w:szCs w:val="28"/>
          <w:highlight w:val="none"/>
        </w:rPr>
        <w:t>）：</w:t>
      </w:r>
    </w:p>
    <w:p w14:paraId="7C1286F8">
      <w:pPr>
        <w:pStyle w:val="3"/>
        <w:spacing w:before="265" w:line="222" w:lineRule="auto"/>
        <w:jc w:val="center"/>
        <w:rPr>
          <w:color w:val="auto"/>
          <w:sz w:val="28"/>
          <w:szCs w:val="28"/>
          <w:highlight w:val="none"/>
        </w:rPr>
      </w:pPr>
      <w:r>
        <w:rPr>
          <w:rFonts w:hint="eastAsia"/>
          <w:color w:val="auto"/>
          <w:spacing w:val="-35"/>
          <w:sz w:val="28"/>
          <w:szCs w:val="28"/>
          <w:highlight w:val="none"/>
          <w:lang w:val="en-US" w:eastAsia="zh-CN"/>
        </w:rPr>
        <w:t xml:space="preserve">                                               </w:t>
      </w:r>
      <w:r>
        <w:rPr>
          <w:color w:val="auto"/>
          <w:spacing w:val="-35"/>
          <w:sz w:val="28"/>
          <w:szCs w:val="28"/>
          <w:highlight w:val="none"/>
        </w:rPr>
        <w:t>日</w:t>
      </w:r>
      <w:r>
        <w:rPr>
          <w:rFonts w:hint="eastAsia" w:ascii="仿宋" w:hAnsi="仿宋" w:eastAsia="仿宋" w:cs="仿宋"/>
          <w:color w:val="auto"/>
          <w:kern w:val="2"/>
          <w:sz w:val="28"/>
          <w:szCs w:val="28"/>
          <w:highlight w:val="none"/>
          <w:lang w:val="en-US" w:eastAsia="zh-CN" w:bidi="ar-SA"/>
        </w:rPr>
        <w:t xml:space="preserve">   期 ：</w:t>
      </w:r>
      <w:r>
        <w:rPr>
          <w:rFonts w:hint="eastAsia" w:cs="仿宋"/>
          <w:color w:val="auto"/>
          <w:kern w:val="2"/>
          <w:sz w:val="28"/>
          <w:szCs w:val="28"/>
          <w:highlight w:val="none"/>
          <w:lang w:val="en-US" w:eastAsia="zh-CN" w:bidi="ar-SA"/>
        </w:rPr>
        <w:t xml:space="preserve">     </w:t>
      </w:r>
      <w:r>
        <w:rPr>
          <w:rFonts w:hint="eastAsia" w:ascii="仿宋" w:hAnsi="仿宋" w:eastAsia="仿宋" w:cs="仿宋"/>
          <w:color w:val="auto"/>
          <w:kern w:val="2"/>
          <w:sz w:val="28"/>
          <w:szCs w:val="28"/>
          <w:highlight w:val="none"/>
          <w:lang w:val="en-US" w:eastAsia="zh-CN" w:bidi="ar-SA"/>
        </w:rPr>
        <w:t>年</w:t>
      </w:r>
      <w:r>
        <w:rPr>
          <w:rFonts w:hint="eastAsia" w:cs="仿宋"/>
          <w:color w:val="auto"/>
          <w:kern w:val="2"/>
          <w:sz w:val="28"/>
          <w:szCs w:val="28"/>
          <w:highlight w:val="none"/>
          <w:lang w:val="en-US" w:eastAsia="zh-CN" w:bidi="ar-SA"/>
        </w:rPr>
        <w:t xml:space="preserve"> </w:t>
      </w:r>
      <w:r>
        <w:rPr>
          <w:rFonts w:hint="eastAsia" w:ascii="仿宋" w:hAnsi="仿宋" w:eastAsia="仿宋" w:cs="仿宋"/>
          <w:color w:val="auto"/>
          <w:kern w:val="2"/>
          <w:sz w:val="28"/>
          <w:szCs w:val="28"/>
          <w:highlight w:val="none"/>
          <w:lang w:val="en-US" w:eastAsia="zh-CN" w:bidi="ar-SA"/>
        </w:rPr>
        <w:t xml:space="preserve"> 月  日</w:t>
      </w:r>
    </w:p>
    <w:p w14:paraId="36500A2E">
      <w:pPr>
        <w:spacing w:line="281" w:lineRule="auto"/>
        <w:rPr>
          <w:rFonts w:ascii="Arial"/>
          <w:color w:val="auto"/>
          <w:sz w:val="20"/>
          <w:szCs w:val="22"/>
          <w:highlight w:val="none"/>
        </w:rPr>
      </w:pPr>
    </w:p>
    <w:p w14:paraId="26DC81F4">
      <w:pPr>
        <w:spacing w:line="281" w:lineRule="auto"/>
        <w:rPr>
          <w:rFonts w:ascii="Arial"/>
          <w:color w:val="auto"/>
          <w:sz w:val="20"/>
          <w:szCs w:val="22"/>
          <w:highlight w:val="none"/>
        </w:rPr>
      </w:pPr>
    </w:p>
    <w:p w14:paraId="322BA300">
      <w:pPr>
        <w:spacing w:line="281" w:lineRule="auto"/>
        <w:rPr>
          <w:rFonts w:ascii="Arial"/>
          <w:color w:val="auto"/>
          <w:sz w:val="20"/>
          <w:szCs w:val="22"/>
          <w:highlight w:val="none"/>
        </w:rPr>
      </w:pPr>
      <w:r>
        <w:rPr>
          <w:color w:val="auto"/>
          <w:sz w:val="20"/>
          <w:szCs w:val="22"/>
          <w:highlight w:val="none"/>
        </w:rPr>
        <mc:AlternateContent>
          <mc:Choice Requires="wps">
            <w:drawing>
              <wp:anchor distT="0" distB="0" distL="114300" distR="114300" simplePos="0" relativeHeight="251664384" behindDoc="0" locked="0" layoutInCell="1" allowOverlap="1">
                <wp:simplePos x="0" y="0"/>
                <wp:positionH relativeFrom="column">
                  <wp:posOffset>4445</wp:posOffset>
                </wp:positionH>
                <wp:positionV relativeFrom="paragraph">
                  <wp:posOffset>29210</wp:posOffset>
                </wp:positionV>
                <wp:extent cx="6330950" cy="9525"/>
                <wp:effectExtent l="0" t="0" r="0" b="0"/>
                <wp:wrapNone/>
                <wp:docPr id="9" name="任意多边形 9"/>
                <wp:cNvGraphicFramePr/>
                <a:graphic xmlns:a="http://schemas.openxmlformats.org/drawingml/2006/main">
                  <a:graphicData uri="http://schemas.microsoft.com/office/word/2010/wordprocessingShape">
                    <wps:wsp>
                      <wps:cNvSpPr/>
                      <wps:spPr>
                        <a:xfrm>
                          <a:off x="0" y="0"/>
                          <a:ext cx="6330950" cy="9525"/>
                        </a:xfrm>
                        <a:custGeom>
                          <a:avLst/>
                          <a:gdLst/>
                          <a:ahLst/>
                          <a:cxnLst/>
                          <a:pathLst>
                            <a:path w="9970" h="15">
                              <a:moveTo>
                                <a:pt x="0" y="7"/>
                              </a:moveTo>
                              <a:lnTo>
                                <a:pt x="9969" y="7"/>
                              </a:lnTo>
                            </a:path>
                          </a:pathLst>
                        </a:custGeom>
                        <a:noFill/>
                        <a:ln w="9144"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35pt;margin-top:2.3pt;height:0.75pt;width:498.5pt;z-index:251664384;mso-width-relative:page;mso-height-relative:page;" filled="f" stroked="t" coordsize="9970,15" o:gfxdata="UEsDBAoAAAAAAIdO4kAAAAAAAAAAAAAAAAAEAAAAZHJzL1BLAwQUAAAACACHTuJAFaje/tQAAAAE&#10;AQAADwAAAGRycy9kb3ducmV2LnhtbE2OwU7DMBBE70j8g7VIXBB1gqqUptlUAokLJygV6tGJ3Thq&#10;vDax2wa+nuVEj6MZvXnVenKDOJkx9p4Q8lkGwlDrdU8dwvbj5f4RREyKtBo8GYRvE2FdX19VqtT+&#10;TO/mtEmdYAjFUiHYlEIpZWytcSrOfDDE3d6PTiWOYyf1qM4Md4N8yLJCOtUTP1gVzLM17WFzdAj7&#10;p7v5a+hCY9+24+5nF6avz9wi3t7k2QpEMlP6H8OfPqtDzU6NP5KOYkBY8A5hXoDgcrlccG4Qihxk&#10;XclL+foXUEsDBBQAAAAIAIdO4kBJPhH8PAIAAJUEAAAOAAAAZHJzL2Uyb0RvYy54bWytVM2O0zAQ&#10;viPxDpbvNG132yVR0z1QlguClXZ5ANd2Ekv+k+0m7Z07d46Il0AreBoW8RiMnfSH5dIDOSRjz/ib&#10;7xvPZHG9VRK13HlhdIknozFGXFPDhK5L/OH+5sVLjHwgmhFpNC/xjnt8vXz+bNHZgk9NYyTjDgGI&#10;9kVnS9yEYIss87ThiviRsVyDszJOkQBLV2fMkQ7Qlcym4/E864xj1hnKvYfdVe/EA6I7B9BUlaB8&#10;ZehGcR16VMclCSDJN8J6vExsq4rT8L6qPA9IlhiUhvSGJGCv4ztbLkhRO2IbQQcK5BwKTzQpIjQk&#10;PUCtSCBo48Q/UEpQZ7ypwogalfVCUkVAxWT8pDZ3DbE8aYFSe3souv9/sPRde+uQYCXOMdJEwYX/&#10;fHj49fHT49fPv398e/z+BeWxSJ31BcTe2Vs3rDyYUfG2cip+QQvapsLuDoXl24AobM4vLsb5DGpO&#10;wZfPprMImR3P0o0Pb7hJOKR960N/LWxvkWZv0a3em5aEuB1zRxN1AJ1fQZIG2nqWbkOZlt+bFBGO&#10;5K6G7Eev1KdReT6HYgDTfWDvBr4xTyJ+yA2bp+S1uRFSJvZSJ0aTy0uQTWBQKmhQMJWFYntdJ4Le&#10;SMHikcjRu3r9SjrUktis6RmY/hVmnQ8r4ps+joEVo0ix5i3vUzecsNeaobCzcJ8axhhHLoozjCSH&#10;qY9WOhOIkOdEgkypQXlsg/7io7U2bAfds7FO1A2M1iTRjR7o1lSnYbLiOJyuE9Lxb7L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Wo3v7UAAAABAEAAA8AAAAAAAAAAQAgAAAAIgAAAGRycy9kb3du&#10;cmV2LnhtbFBLAQIUABQAAAAIAIdO4kBJPhH8PAIAAJUEAAAOAAAAAAAAAAEAIAAAACMBAABkcnMv&#10;ZTJvRG9jLnhtbFBLBQYAAAAABgAGAFkBAADRBQAAAAA=&#10;" path="m0,7l9969,7e">
                <v:fill on="f" focussize="0,0"/>
                <v:stroke weight="0.72pt" color="#000000" joinstyle="bevel" dashstyle="dash"/>
                <v:imagedata o:title=""/>
                <o:lock v:ext="edit" aspectratio="f"/>
              </v:shape>
            </w:pict>
          </mc:Fallback>
        </mc:AlternateContent>
      </w:r>
    </w:p>
    <w:p w14:paraId="008C8547">
      <w:pPr>
        <w:pStyle w:val="3"/>
        <w:spacing w:before="98" w:line="222" w:lineRule="auto"/>
        <w:ind w:left="21"/>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使用说明：</w:t>
      </w:r>
    </w:p>
    <w:p w14:paraId="227C6778">
      <w:pPr>
        <w:pStyle w:val="3"/>
        <w:spacing w:before="263" w:line="220" w:lineRule="auto"/>
        <w:ind w:left="32"/>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1、本费用结清声明仅适用于“材料类”的购销合同。</w:t>
      </w:r>
    </w:p>
    <w:p w14:paraId="3DE1A821">
      <w:pPr>
        <w:numPr>
          <w:ilvl w:val="0"/>
          <w:numId w:val="0"/>
        </w:numPr>
        <w:ind w:leftChars="0"/>
        <w:jc w:val="left"/>
        <w:rPr>
          <w:rFonts w:hint="eastAsia" w:ascii="仿宋" w:hAnsi="仿宋" w:eastAsia="仿宋" w:cs="仿宋"/>
          <w:bCs/>
          <w:color w:val="auto"/>
          <w:kern w:val="0"/>
          <w:sz w:val="24"/>
          <w:szCs w:val="24"/>
          <w:highlight w:val="none"/>
          <w:lang w:val="en-US" w:eastAsia="zh-CN"/>
        </w:rPr>
      </w:pPr>
      <w:r>
        <w:rPr>
          <w:rFonts w:hint="eastAsia" w:ascii="仿宋" w:hAnsi="仿宋" w:eastAsia="仿宋" w:cs="仿宋"/>
          <w:color w:val="auto"/>
          <w:kern w:val="2"/>
          <w:sz w:val="24"/>
          <w:szCs w:val="24"/>
          <w:highlight w:val="none"/>
          <w:u w:val="none"/>
          <w:lang w:val="en-US" w:eastAsia="zh-CN" w:bidi="ar-SA"/>
        </w:rPr>
        <w:t>2、承诺方须在“中泰建安”支付该合同最后一笔款前完成本承诺书签章，且原件交给“中泰建安”作为支付最后一笔款的前提条件。</w:t>
      </w:r>
    </w:p>
    <w:p w14:paraId="082F1BDB">
      <w:pPr>
        <w:numPr>
          <w:ilvl w:val="0"/>
          <w:numId w:val="0"/>
        </w:numPr>
        <w:ind w:leftChars="0"/>
        <w:jc w:val="left"/>
        <w:rPr>
          <w:rFonts w:hint="eastAsia" w:ascii="仿宋" w:hAnsi="仿宋" w:eastAsia="仿宋" w:cs="仿宋"/>
          <w:bCs/>
          <w:color w:val="auto"/>
          <w:kern w:val="0"/>
          <w:sz w:val="24"/>
          <w:szCs w:val="24"/>
          <w:highlight w:val="none"/>
          <w:lang w:val="en-US" w:eastAsia="zh-CN"/>
        </w:rPr>
      </w:pPr>
    </w:p>
    <w:p w14:paraId="44EADE15">
      <w:pPr>
        <w:numPr>
          <w:ilvl w:val="0"/>
          <w:numId w:val="0"/>
        </w:numPr>
        <w:ind w:leftChars="0"/>
        <w:jc w:val="left"/>
        <w:rPr>
          <w:rFonts w:hint="eastAsia" w:ascii="仿宋" w:hAnsi="仿宋" w:eastAsia="仿宋" w:cs="仿宋"/>
          <w:bCs/>
          <w:color w:val="auto"/>
          <w:kern w:val="0"/>
          <w:sz w:val="24"/>
          <w:szCs w:val="24"/>
          <w:highlight w:val="none"/>
          <w:lang w:val="en-US" w:eastAsia="zh-CN"/>
        </w:rPr>
      </w:pPr>
    </w:p>
    <w:p w14:paraId="6CB4AFE7">
      <w:pPr>
        <w:numPr>
          <w:ilvl w:val="0"/>
          <w:numId w:val="0"/>
        </w:numPr>
        <w:ind w:leftChars="0"/>
        <w:jc w:val="left"/>
        <w:rPr>
          <w:rFonts w:hint="eastAsia" w:ascii="仿宋" w:hAnsi="仿宋" w:eastAsia="仿宋" w:cs="仿宋"/>
          <w:bCs/>
          <w:color w:val="auto"/>
          <w:kern w:val="0"/>
          <w:sz w:val="24"/>
          <w:szCs w:val="24"/>
          <w:highlight w:val="none"/>
          <w:lang w:val="en-US" w:eastAsia="zh-CN"/>
        </w:rPr>
      </w:pPr>
    </w:p>
    <w:p w14:paraId="226A53B5">
      <w:pPr>
        <w:numPr>
          <w:ilvl w:val="0"/>
          <w:numId w:val="0"/>
        </w:numPr>
        <w:ind w:leftChars="0"/>
        <w:jc w:val="left"/>
        <w:rPr>
          <w:rFonts w:hint="eastAsia" w:ascii="仿宋" w:hAnsi="仿宋" w:eastAsia="仿宋" w:cs="仿宋"/>
          <w:bCs/>
          <w:color w:val="auto"/>
          <w:kern w:val="0"/>
          <w:sz w:val="24"/>
          <w:szCs w:val="24"/>
          <w:highlight w:val="none"/>
          <w:lang w:val="en-US" w:eastAsia="zh-CN"/>
        </w:rPr>
      </w:pPr>
    </w:p>
    <w:p w14:paraId="46DDAA97">
      <w:pPr>
        <w:jc w:val="right"/>
        <w:outlineLvl w:val="0"/>
        <w:rPr>
          <w:rFonts w:hint="eastAsia" w:ascii="仿宋" w:hAnsi="仿宋" w:eastAsia="仿宋" w:cs="仿宋"/>
          <w:b/>
          <w:bCs/>
          <w:color w:val="auto"/>
          <w:sz w:val="44"/>
          <w:szCs w:val="44"/>
          <w:highlight w:val="none"/>
          <w:lang w:val="en-US" w:eastAsia="zh-CN"/>
        </w:rPr>
      </w:pPr>
      <w:bookmarkStart w:id="192" w:name="_Toc27755"/>
      <w:bookmarkStart w:id="193" w:name="_Toc22809"/>
      <w:bookmarkStart w:id="194" w:name="_Toc17650"/>
      <w:bookmarkStart w:id="195" w:name="_Toc19580"/>
      <w:bookmarkStart w:id="196" w:name="_Toc13340"/>
    </w:p>
    <w:p w14:paraId="169D2C2B">
      <w:pPr>
        <w:jc w:val="right"/>
        <w:outlineLvl w:val="0"/>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附件六</w:t>
      </w:r>
      <w:bookmarkEnd w:id="192"/>
      <w:bookmarkEnd w:id="193"/>
      <w:bookmarkEnd w:id="194"/>
      <w:bookmarkEnd w:id="195"/>
      <w:bookmarkEnd w:id="196"/>
    </w:p>
    <w:p w14:paraId="13218B89">
      <w:pPr>
        <w:jc w:val="right"/>
        <w:outlineLvl w:val="9"/>
        <w:rPr>
          <w:color w:val="auto"/>
          <w:highlight w:val="none"/>
        </w:rPr>
      </w:pPr>
    </w:p>
    <w:p w14:paraId="0C1E45DF">
      <w:pPr>
        <w:jc w:val="right"/>
        <w:outlineLvl w:val="9"/>
        <w:rPr>
          <w:color w:val="auto"/>
          <w:highlight w:val="none"/>
        </w:rPr>
      </w:pPr>
      <w:r>
        <w:rPr>
          <w:color w:val="auto"/>
          <w:highlight w:val="none"/>
        </w:rPr>
        <w:drawing>
          <wp:inline distT="0" distB="0" distL="114300" distR="114300">
            <wp:extent cx="5825490" cy="5674995"/>
            <wp:effectExtent l="0" t="0" r="381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rcRect b="-1338"/>
                    <a:stretch>
                      <a:fillRect/>
                    </a:stretch>
                  </pic:blipFill>
                  <pic:spPr>
                    <a:xfrm>
                      <a:off x="0" y="0"/>
                      <a:ext cx="5825490" cy="5674995"/>
                    </a:xfrm>
                    <a:prstGeom prst="rect">
                      <a:avLst/>
                    </a:prstGeom>
                    <a:noFill/>
                    <a:ln>
                      <a:noFill/>
                    </a:ln>
                  </pic:spPr>
                </pic:pic>
              </a:graphicData>
            </a:graphic>
          </wp:inline>
        </w:drawing>
      </w:r>
    </w:p>
    <w:p w14:paraId="1580FFB5">
      <w:pPr>
        <w:jc w:val="right"/>
        <w:outlineLvl w:val="9"/>
        <w:rPr>
          <w:color w:val="auto"/>
          <w:highlight w:val="none"/>
        </w:rPr>
      </w:pPr>
    </w:p>
    <w:p w14:paraId="02912091">
      <w:pPr>
        <w:jc w:val="right"/>
        <w:outlineLvl w:val="9"/>
        <w:rPr>
          <w:color w:val="auto"/>
          <w:highlight w:val="none"/>
        </w:rPr>
      </w:pPr>
    </w:p>
    <w:p w14:paraId="66BEC6FE">
      <w:pPr>
        <w:jc w:val="right"/>
        <w:outlineLvl w:val="9"/>
        <w:rPr>
          <w:color w:val="auto"/>
          <w:highlight w:val="none"/>
        </w:rPr>
      </w:pPr>
    </w:p>
    <w:p w14:paraId="27E63052">
      <w:pPr>
        <w:jc w:val="right"/>
        <w:outlineLvl w:val="9"/>
        <w:rPr>
          <w:color w:val="auto"/>
          <w:highlight w:val="none"/>
        </w:rPr>
      </w:pPr>
    </w:p>
    <w:p w14:paraId="7D6701B5">
      <w:pPr>
        <w:jc w:val="right"/>
        <w:outlineLvl w:val="9"/>
        <w:rPr>
          <w:color w:val="auto"/>
          <w:highlight w:val="none"/>
        </w:rPr>
      </w:pPr>
    </w:p>
    <w:p w14:paraId="094F7EF0">
      <w:pPr>
        <w:jc w:val="right"/>
        <w:outlineLvl w:val="9"/>
        <w:rPr>
          <w:color w:val="auto"/>
          <w:highlight w:val="none"/>
        </w:rPr>
      </w:pPr>
    </w:p>
    <w:p w14:paraId="308CFB48">
      <w:pPr>
        <w:jc w:val="right"/>
        <w:outlineLvl w:val="9"/>
        <w:rPr>
          <w:color w:val="auto"/>
          <w:highlight w:val="none"/>
        </w:rPr>
      </w:pPr>
    </w:p>
    <w:p w14:paraId="4BBFC273">
      <w:pPr>
        <w:jc w:val="right"/>
        <w:outlineLvl w:val="9"/>
        <w:rPr>
          <w:color w:val="auto"/>
          <w:highlight w:val="none"/>
        </w:rPr>
      </w:pPr>
    </w:p>
    <w:p w14:paraId="3F34467A">
      <w:pPr>
        <w:jc w:val="right"/>
        <w:outlineLvl w:val="9"/>
        <w:rPr>
          <w:color w:val="auto"/>
          <w:highlight w:val="none"/>
        </w:rPr>
      </w:pPr>
    </w:p>
    <w:p w14:paraId="4EE65A15">
      <w:pPr>
        <w:jc w:val="right"/>
        <w:outlineLvl w:val="9"/>
        <w:rPr>
          <w:color w:val="auto"/>
          <w:highlight w:val="none"/>
        </w:rPr>
      </w:pPr>
    </w:p>
    <w:p w14:paraId="064954DF">
      <w:pPr>
        <w:jc w:val="right"/>
        <w:outlineLvl w:val="9"/>
        <w:rPr>
          <w:color w:val="auto"/>
          <w:highlight w:val="none"/>
        </w:rPr>
      </w:pPr>
    </w:p>
    <w:p w14:paraId="2CB15158">
      <w:pPr>
        <w:spacing w:before="63" w:line="219" w:lineRule="auto"/>
        <w:jc w:val="both"/>
        <w:rPr>
          <w:rFonts w:hint="eastAsia" w:ascii="仿宋" w:hAnsi="仿宋" w:eastAsia="仿宋" w:cs="仿宋"/>
          <w:color w:val="auto"/>
          <w:spacing w:val="-13"/>
          <w:sz w:val="44"/>
          <w:szCs w:val="44"/>
          <w:highlight w:val="none"/>
        </w:rPr>
      </w:pPr>
    </w:p>
    <w:p w14:paraId="304BC931">
      <w:pPr>
        <w:spacing w:before="63" w:line="219" w:lineRule="auto"/>
        <w:jc w:val="both"/>
        <w:rPr>
          <w:rFonts w:hint="eastAsia" w:ascii="仿宋" w:hAnsi="仿宋" w:eastAsia="仿宋" w:cs="仿宋"/>
          <w:color w:val="auto"/>
          <w:spacing w:val="-13"/>
          <w:sz w:val="44"/>
          <w:szCs w:val="44"/>
          <w:highlight w:val="none"/>
        </w:rPr>
      </w:pPr>
    </w:p>
    <w:p w14:paraId="7F56367E">
      <w:pPr>
        <w:spacing w:before="63" w:line="219" w:lineRule="auto"/>
        <w:jc w:val="right"/>
        <w:outlineLvl w:val="0"/>
        <w:rPr>
          <w:rFonts w:hint="eastAsia" w:ascii="仿宋" w:hAnsi="仿宋" w:eastAsia="仿宋" w:cs="仿宋"/>
          <w:color w:val="auto"/>
          <w:sz w:val="44"/>
          <w:szCs w:val="44"/>
          <w:highlight w:val="none"/>
        </w:rPr>
      </w:pPr>
      <w:bookmarkStart w:id="197" w:name="_Toc531"/>
      <w:bookmarkStart w:id="198" w:name="_Toc17240"/>
      <w:bookmarkStart w:id="199" w:name="_Toc7365"/>
      <w:bookmarkStart w:id="200" w:name="_Toc8036"/>
      <w:bookmarkStart w:id="201" w:name="_Toc11863"/>
      <w:r>
        <w:rPr>
          <w:rFonts w:hint="eastAsia" w:ascii="仿宋" w:hAnsi="仿宋" w:eastAsia="仿宋" w:cs="仿宋"/>
          <w:color w:val="auto"/>
          <w:spacing w:val="-13"/>
          <w:sz w:val="44"/>
          <w:szCs w:val="44"/>
          <w:highlight w:val="none"/>
        </w:rPr>
        <w:t>附件</w:t>
      </w:r>
      <w:r>
        <w:rPr>
          <w:rFonts w:hint="eastAsia" w:ascii="仿宋" w:hAnsi="仿宋" w:eastAsia="仿宋" w:cs="仿宋"/>
          <w:color w:val="auto"/>
          <w:spacing w:val="-13"/>
          <w:sz w:val="44"/>
          <w:szCs w:val="44"/>
          <w:highlight w:val="none"/>
          <w:lang w:val="en-US" w:eastAsia="zh-CN"/>
        </w:rPr>
        <w:t>七</w:t>
      </w:r>
      <w:bookmarkEnd w:id="197"/>
      <w:bookmarkEnd w:id="198"/>
      <w:bookmarkEnd w:id="199"/>
      <w:bookmarkEnd w:id="200"/>
      <w:bookmarkEnd w:id="201"/>
    </w:p>
    <w:p w14:paraId="6F120776">
      <w:pPr>
        <w:pStyle w:val="3"/>
        <w:tabs>
          <w:tab w:val="left" w:pos="5740"/>
        </w:tabs>
        <w:spacing w:before="111" w:line="184" w:lineRule="auto"/>
        <w:ind w:left="0"/>
        <w:jc w:val="center"/>
        <w:outlineLvl w:val="0"/>
        <w:rPr>
          <w:rFonts w:hint="eastAsia" w:ascii="宋体" w:hAnsi="宋体" w:eastAsia="宋体" w:cs="宋体"/>
          <w:b/>
          <w:bCs/>
          <w:color w:val="auto"/>
          <w:sz w:val="44"/>
          <w:szCs w:val="40"/>
          <w:highlight w:val="none"/>
          <w:lang w:val="en-US" w:eastAsia="zh-CN"/>
        </w:rPr>
      </w:pPr>
      <w:bookmarkStart w:id="202" w:name="_Toc21370"/>
      <w:bookmarkStart w:id="203" w:name="_Toc22816"/>
      <w:bookmarkStart w:id="204" w:name="_Toc6884"/>
      <w:bookmarkStart w:id="205" w:name="_Toc16828"/>
      <w:bookmarkStart w:id="206" w:name="_Toc1085"/>
      <w:r>
        <w:rPr>
          <w:rFonts w:hint="eastAsia" w:ascii="宋体" w:hAnsi="宋体" w:eastAsia="宋体" w:cs="宋体"/>
          <w:b/>
          <w:bCs/>
          <w:color w:val="auto"/>
          <w:sz w:val="32"/>
          <w:szCs w:val="32"/>
          <w:highlight w:val="none"/>
          <w:lang w:val="en-US" w:eastAsia="zh-CN"/>
        </w:rPr>
        <w:t>xxx</w:t>
      </w:r>
      <w:r>
        <w:rPr>
          <w:rFonts w:hint="eastAsia" w:ascii="宋体" w:hAnsi="宋体" w:eastAsia="宋体" w:cs="宋体"/>
          <w:b/>
          <w:bCs/>
          <w:color w:val="auto"/>
          <w:sz w:val="32"/>
          <w:szCs w:val="32"/>
          <w:highlight w:val="none"/>
        </w:rPr>
        <w:t>公司</w:t>
      </w:r>
      <w:r>
        <w:rPr>
          <w:rFonts w:hint="eastAsia" w:ascii="宋体" w:hAnsi="宋体" w:eastAsia="宋体" w:cs="宋体"/>
          <w:b/>
          <w:bCs/>
          <w:color w:val="auto"/>
          <w:sz w:val="32"/>
          <w:szCs w:val="32"/>
          <w:highlight w:val="none"/>
          <w:u w:val="single" w:color="auto"/>
        </w:rPr>
        <w:t xml:space="preserve">      </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pacing w:val="4"/>
          <w:sz w:val="32"/>
          <w:szCs w:val="32"/>
          <w:highlight w:val="none"/>
          <w:u w:val="single" w:color="auto"/>
        </w:rPr>
        <w:t xml:space="preserve">   </w:t>
      </w:r>
      <w:r>
        <w:rPr>
          <w:rFonts w:hint="eastAsia" w:ascii="宋体" w:hAnsi="宋体" w:eastAsia="宋体" w:cs="宋体"/>
          <w:b/>
          <w:bCs/>
          <w:color w:val="auto"/>
          <w:spacing w:val="-72"/>
          <w:sz w:val="32"/>
          <w:szCs w:val="32"/>
          <w:highlight w:val="none"/>
        </w:rPr>
        <w:t xml:space="preserve"> </w:t>
      </w:r>
      <w:r>
        <w:rPr>
          <w:rFonts w:hint="eastAsia" w:ascii="宋体" w:hAnsi="宋体" w:eastAsia="宋体" w:cs="宋体"/>
          <w:b/>
          <w:bCs/>
          <w:color w:val="auto"/>
          <w:sz w:val="32"/>
          <w:szCs w:val="32"/>
          <w:highlight w:val="none"/>
        </w:rPr>
        <w:t>月对账单</w:t>
      </w:r>
      <w:bookmarkEnd w:id="202"/>
      <w:bookmarkEnd w:id="203"/>
      <w:bookmarkEnd w:id="204"/>
      <w:bookmarkEnd w:id="205"/>
      <w:bookmarkEnd w:id="206"/>
    </w:p>
    <w:p w14:paraId="1C4ED749">
      <w:pPr>
        <w:rPr>
          <w:rFonts w:hint="default"/>
          <w:color w:val="auto"/>
          <w:highlight w:val="none"/>
          <w:lang w:val="en-US" w:eastAsia="zh-CN"/>
        </w:rPr>
      </w:pPr>
    </w:p>
    <w:p w14:paraId="4748A5BA">
      <w:pPr>
        <w:pStyle w:val="3"/>
        <w:spacing w:before="0" w:line="309" w:lineRule="exact"/>
        <w:ind w:left="0"/>
        <w:rPr>
          <w:rFonts w:hint="eastAsia" w:ascii="宋体" w:hAnsi="宋体" w:eastAsia="宋体" w:cs="宋体"/>
          <w:color w:val="auto"/>
          <w:spacing w:val="8"/>
          <w:position w:val="10"/>
          <w:sz w:val="20"/>
          <w:szCs w:val="20"/>
          <w:highlight w:val="none"/>
        </w:rPr>
      </w:pPr>
      <w:r>
        <w:rPr>
          <w:rFonts w:hint="eastAsia" w:ascii="宋体" w:hAnsi="宋体" w:eastAsia="宋体" w:cs="宋体"/>
          <w:color w:val="auto"/>
          <w:spacing w:val="8"/>
          <w:position w:val="10"/>
          <w:sz w:val="20"/>
          <w:szCs w:val="20"/>
          <w:highlight w:val="none"/>
        </w:rPr>
        <w:t>项目名称：</w:t>
      </w:r>
    </w:p>
    <w:p w14:paraId="0E3F191B">
      <w:pPr>
        <w:rPr>
          <w:rFonts w:hint="eastAsia" w:ascii="宋体" w:hAnsi="宋体" w:eastAsia="宋体" w:cs="宋体"/>
          <w:color w:val="auto"/>
          <w:spacing w:val="8"/>
          <w:position w:val="10"/>
          <w:sz w:val="20"/>
          <w:szCs w:val="20"/>
          <w:highlight w:val="none"/>
        </w:rPr>
      </w:pPr>
      <w:r>
        <w:rPr>
          <w:rFonts w:hint="eastAsia" w:ascii="宋体" w:hAnsi="宋体" w:eastAsia="宋体" w:cs="宋体"/>
          <w:color w:val="auto"/>
          <w:spacing w:val="8"/>
          <w:position w:val="10"/>
          <w:sz w:val="20"/>
          <w:szCs w:val="20"/>
          <w:highlight w:val="none"/>
        </w:rPr>
        <w:t>收货单位：</w:t>
      </w:r>
    </w:p>
    <w:tbl>
      <w:tblPr>
        <w:tblStyle w:val="14"/>
        <w:tblW w:w="94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8"/>
        <w:gridCol w:w="535"/>
        <w:gridCol w:w="578"/>
        <w:gridCol w:w="556"/>
        <w:gridCol w:w="502"/>
        <w:gridCol w:w="524"/>
        <w:gridCol w:w="600"/>
        <w:gridCol w:w="567"/>
        <w:gridCol w:w="556"/>
        <w:gridCol w:w="910"/>
        <w:gridCol w:w="940"/>
        <w:gridCol w:w="1772"/>
        <w:gridCol w:w="927"/>
      </w:tblGrid>
      <w:tr w14:paraId="191882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468" w:type="dxa"/>
            <w:noWrap w:val="0"/>
            <w:vAlign w:val="center"/>
          </w:tcPr>
          <w:p w14:paraId="09C40C31">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序号</w:t>
            </w:r>
          </w:p>
        </w:tc>
        <w:tc>
          <w:tcPr>
            <w:tcW w:w="535" w:type="dxa"/>
            <w:noWrap w:val="0"/>
            <w:vAlign w:val="center"/>
          </w:tcPr>
          <w:p w14:paraId="22B4EC50">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送货日期</w:t>
            </w:r>
          </w:p>
        </w:tc>
        <w:tc>
          <w:tcPr>
            <w:tcW w:w="578" w:type="dxa"/>
            <w:noWrap w:val="0"/>
            <w:vAlign w:val="center"/>
          </w:tcPr>
          <w:p w14:paraId="609F7D97">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送货单号</w:t>
            </w:r>
          </w:p>
        </w:tc>
        <w:tc>
          <w:tcPr>
            <w:tcW w:w="556" w:type="dxa"/>
            <w:noWrap w:val="0"/>
            <w:vAlign w:val="center"/>
          </w:tcPr>
          <w:p w14:paraId="259E894B">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签收单号</w:t>
            </w:r>
          </w:p>
        </w:tc>
        <w:tc>
          <w:tcPr>
            <w:tcW w:w="502" w:type="dxa"/>
            <w:noWrap w:val="0"/>
            <w:vAlign w:val="center"/>
          </w:tcPr>
          <w:p w14:paraId="34D65F90">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过磅单号</w:t>
            </w:r>
          </w:p>
        </w:tc>
        <w:tc>
          <w:tcPr>
            <w:tcW w:w="524" w:type="dxa"/>
            <w:noWrap w:val="0"/>
            <w:vAlign w:val="center"/>
          </w:tcPr>
          <w:p w14:paraId="4CC51150">
            <w:pPr>
              <w:spacing w:before="0" w:line="190" w:lineRule="auto"/>
              <w:ind w:firstLine="0" w:firstLineChars="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货物名称</w:t>
            </w:r>
          </w:p>
        </w:tc>
        <w:tc>
          <w:tcPr>
            <w:tcW w:w="600" w:type="dxa"/>
            <w:noWrap w:val="0"/>
            <w:vAlign w:val="center"/>
          </w:tcPr>
          <w:p w14:paraId="50DD4E5E">
            <w:pPr>
              <w:spacing w:before="0" w:line="191" w:lineRule="auto"/>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5"/>
                <w:sz w:val="17"/>
                <w:szCs w:val="17"/>
                <w:highlight w:val="none"/>
              </w:rPr>
              <w:t>品牌</w:t>
            </w:r>
          </w:p>
        </w:tc>
        <w:tc>
          <w:tcPr>
            <w:tcW w:w="567" w:type="dxa"/>
            <w:noWrap w:val="0"/>
            <w:vAlign w:val="center"/>
          </w:tcPr>
          <w:p w14:paraId="795404B8">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规格型号</w:t>
            </w:r>
          </w:p>
        </w:tc>
        <w:tc>
          <w:tcPr>
            <w:tcW w:w="556" w:type="dxa"/>
            <w:noWrap w:val="0"/>
            <w:vAlign w:val="center"/>
          </w:tcPr>
          <w:p w14:paraId="52CE3F57">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8"/>
                <w:sz w:val="17"/>
                <w:szCs w:val="17"/>
                <w:highlight w:val="none"/>
              </w:rPr>
              <w:t>单位</w:t>
            </w:r>
          </w:p>
        </w:tc>
        <w:tc>
          <w:tcPr>
            <w:tcW w:w="910" w:type="dxa"/>
            <w:noWrap w:val="0"/>
            <w:vAlign w:val="center"/>
          </w:tcPr>
          <w:p w14:paraId="098CE355">
            <w:pPr>
              <w:spacing w:before="0" w:line="19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数量</w:t>
            </w:r>
          </w:p>
        </w:tc>
        <w:tc>
          <w:tcPr>
            <w:tcW w:w="940" w:type="dxa"/>
            <w:noWrap w:val="0"/>
            <w:vAlign w:val="center"/>
          </w:tcPr>
          <w:p w14:paraId="4C08EECE">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8"/>
                <w:sz w:val="17"/>
                <w:szCs w:val="17"/>
                <w:highlight w:val="none"/>
              </w:rPr>
              <w:t>单价</w:t>
            </w:r>
          </w:p>
        </w:tc>
        <w:tc>
          <w:tcPr>
            <w:tcW w:w="1772" w:type="dxa"/>
            <w:noWrap w:val="0"/>
            <w:vAlign w:val="center"/>
          </w:tcPr>
          <w:p w14:paraId="2DF695F3">
            <w:pPr>
              <w:spacing w:before="0" w:line="19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金额</w:t>
            </w:r>
          </w:p>
        </w:tc>
        <w:tc>
          <w:tcPr>
            <w:tcW w:w="927" w:type="dxa"/>
            <w:noWrap w:val="0"/>
            <w:vAlign w:val="center"/>
          </w:tcPr>
          <w:p w14:paraId="16DFB379">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备注</w:t>
            </w:r>
          </w:p>
        </w:tc>
      </w:tr>
      <w:tr w14:paraId="35E1D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468" w:type="dxa"/>
            <w:noWrap w:val="0"/>
            <w:vAlign w:val="center"/>
          </w:tcPr>
          <w:p w14:paraId="53DF29F5">
            <w:pPr>
              <w:spacing w:before="0" w:line="18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1</w:t>
            </w:r>
          </w:p>
        </w:tc>
        <w:tc>
          <w:tcPr>
            <w:tcW w:w="535" w:type="dxa"/>
            <w:noWrap w:val="0"/>
            <w:vAlign w:val="center"/>
          </w:tcPr>
          <w:p w14:paraId="6B60ABAB">
            <w:pPr>
              <w:pStyle w:val="15"/>
              <w:jc w:val="center"/>
              <w:rPr>
                <w:color w:val="auto"/>
                <w:highlight w:val="none"/>
              </w:rPr>
            </w:pPr>
          </w:p>
        </w:tc>
        <w:tc>
          <w:tcPr>
            <w:tcW w:w="578" w:type="dxa"/>
            <w:noWrap w:val="0"/>
            <w:vAlign w:val="center"/>
          </w:tcPr>
          <w:p w14:paraId="322BA347">
            <w:pPr>
              <w:pStyle w:val="15"/>
              <w:jc w:val="center"/>
              <w:rPr>
                <w:color w:val="auto"/>
                <w:highlight w:val="none"/>
              </w:rPr>
            </w:pPr>
          </w:p>
        </w:tc>
        <w:tc>
          <w:tcPr>
            <w:tcW w:w="556" w:type="dxa"/>
            <w:noWrap w:val="0"/>
            <w:vAlign w:val="center"/>
          </w:tcPr>
          <w:p w14:paraId="0F736773">
            <w:pPr>
              <w:pStyle w:val="15"/>
              <w:jc w:val="center"/>
              <w:rPr>
                <w:color w:val="auto"/>
                <w:highlight w:val="none"/>
              </w:rPr>
            </w:pPr>
          </w:p>
        </w:tc>
        <w:tc>
          <w:tcPr>
            <w:tcW w:w="502" w:type="dxa"/>
            <w:noWrap w:val="0"/>
            <w:vAlign w:val="center"/>
          </w:tcPr>
          <w:p w14:paraId="0150634F">
            <w:pPr>
              <w:pStyle w:val="15"/>
              <w:jc w:val="center"/>
              <w:rPr>
                <w:color w:val="auto"/>
                <w:highlight w:val="none"/>
              </w:rPr>
            </w:pPr>
          </w:p>
        </w:tc>
        <w:tc>
          <w:tcPr>
            <w:tcW w:w="524" w:type="dxa"/>
            <w:noWrap w:val="0"/>
            <w:vAlign w:val="center"/>
          </w:tcPr>
          <w:p w14:paraId="7C04F1FF">
            <w:pPr>
              <w:pStyle w:val="15"/>
              <w:jc w:val="center"/>
              <w:rPr>
                <w:color w:val="auto"/>
                <w:highlight w:val="none"/>
              </w:rPr>
            </w:pPr>
          </w:p>
        </w:tc>
        <w:tc>
          <w:tcPr>
            <w:tcW w:w="600" w:type="dxa"/>
            <w:noWrap w:val="0"/>
            <w:vAlign w:val="center"/>
          </w:tcPr>
          <w:p w14:paraId="4497A1D9">
            <w:pPr>
              <w:pStyle w:val="15"/>
              <w:jc w:val="center"/>
              <w:rPr>
                <w:color w:val="auto"/>
                <w:highlight w:val="none"/>
              </w:rPr>
            </w:pPr>
          </w:p>
        </w:tc>
        <w:tc>
          <w:tcPr>
            <w:tcW w:w="567" w:type="dxa"/>
            <w:noWrap w:val="0"/>
            <w:vAlign w:val="center"/>
          </w:tcPr>
          <w:p w14:paraId="75711C41">
            <w:pPr>
              <w:pStyle w:val="15"/>
              <w:jc w:val="center"/>
              <w:rPr>
                <w:color w:val="auto"/>
                <w:highlight w:val="none"/>
              </w:rPr>
            </w:pPr>
          </w:p>
        </w:tc>
        <w:tc>
          <w:tcPr>
            <w:tcW w:w="556" w:type="dxa"/>
            <w:noWrap w:val="0"/>
            <w:vAlign w:val="center"/>
          </w:tcPr>
          <w:p w14:paraId="57BA46A5">
            <w:pPr>
              <w:pStyle w:val="15"/>
              <w:jc w:val="center"/>
              <w:rPr>
                <w:color w:val="auto"/>
                <w:highlight w:val="none"/>
              </w:rPr>
            </w:pPr>
          </w:p>
        </w:tc>
        <w:tc>
          <w:tcPr>
            <w:tcW w:w="910" w:type="dxa"/>
            <w:noWrap w:val="0"/>
            <w:vAlign w:val="center"/>
          </w:tcPr>
          <w:p w14:paraId="1B639CD7">
            <w:pPr>
              <w:pStyle w:val="15"/>
              <w:jc w:val="center"/>
              <w:rPr>
                <w:color w:val="auto"/>
                <w:highlight w:val="none"/>
              </w:rPr>
            </w:pPr>
          </w:p>
        </w:tc>
        <w:tc>
          <w:tcPr>
            <w:tcW w:w="940" w:type="dxa"/>
            <w:noWrap w:val="0"/>
            <w:vAlign w:val="center"/>
          </w:tcPr>
          <w:p w14:paraId="33E2AF12">
            <w:pPr>
              <w:pStyle w:val="15"/>
              <w:jc w:val="center"/>
              <w:rPr>
                <w:color w:val="auto"/>
                <w:highlight w:val="none"/>
              </w:rPr>
            </w:pPr>
          </w:p>
        </w:tc>
        <w:tc>
          <w:tcPr>
            <w:tcW w:w="1772" w:type="dxa"/>
            <w:noWrap w:val="0"/>
            <w:vAlign w:val="center"/>
          </w:tcPr>
          <w:p w14:paraId="30ADE786">
            <w:pPr>
              <w:pStyle w:val="15"/>
              <w:jc w:val="center"/>
              <w:rPr>
                <w:color w:val="auto"/>
                <w:highlight w:val="none"/>
              </w:rPr>
            </w:pPr>
          </w:p>
        </w:tc>
        <w:tc>
          <w:tcPr>
            <w:tcW w:w="927" w:type="dxa"/>
            <w:noWrap w:val="0"/>
            <w:vAlign w:val="center"/>
          </w:tcPr>
          <w:p w14:paraId="3EE0776E">
            <w:pPr>
              <w:pStyle w:val="15"/>
              <w:jc w:val="center"/>
              <w:rPr>
                <w:color w:val="auto"/>
                <w:highlight w:val="none"/>
              </w:rPr>
            </w:pPr>
          </w:p>
        </w:tc>
      </w:tr>
      <w:tr w14:paraId="2BC9F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468" w:type="dxa"/>
            <w:noWrap w:val="0"/>
            <w:vAlign w:val="center"/>
          </w:tcPr>
          <w:p w14:paraId="627601A3">
            <w:pPr>
              <w:spacing w:before="0" w:line="18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2</w:t>
            </w:r>
          </w:p>
        </w:tc>
        <w:tc>
          <w:tcPr>
            <w:tcW w:w="535" w:type="dxa"/>
            <w:noWrap w:val="0"/>
            <w:vAlign w:val="center"/>
          </w:tcPr>
          <w:p w14:paraId="55940EB4">
            <w:pPr>
              <w:pStyle w:val="15"/>
              <w:jc w:val="center"/>
              <w:rPr>
                <w:color w:val="auto"/>
                <w:highlight w:val="none"/>
              </w:rPr>
            </w:pPr>
          </w:p>
        </w:tc>
        <w:tc>
          <w:tcPr>
            <w:tcW w:w="578" w:type="dxa"/>
            <w:noWrap w:val="0"/>
            <w:vAlign w:val="center"/>
          </w:tcPr>
          <w:p w14:paraId="0090D15F">
            <w:pPr>
              <w:pStyle w:val="15"/>
              <w:jc w:val="center"/>
              <w:rPr>
                <w:color w:val="auto"/>
                <w:highlight w:val="none"/>
              </w:rPr>
            </w:pPr>
          </w:p>
        </w:tc>
        <w:tc>
          <w:tcPr>
            <w:tcW w:w="556" w:type="dxa"/>
            <w:noWrap w:val="0"/>
            <w:vAlign w:val="center"/>
          </w:tcPr>
          <w:p w14:paraId="613617EE">
            <w:pPr>
              <w:pStyle w:val="15"/>
              <w:jc w:val="center"/>
              <w:rPr>
                <w:color w:val="auto"/>
                <w:highlight w:val="none"/>
              </w:rPr>
            </w:pPr>
          </w:p>
        </w:tc>
        <w:tc>
          <w:tcPr>
            <w:tcW w:w="502" w:type="dxa"/>
            <w:noWrap w:val="0"/>
            <w:vAlign w:val="center"/>
          </w:tcPr>
          <w:p w14:paraId="2E26DDB1">
            <w:pPr>
              <w:pStyle w:val="15"/>
              <w:jc w:val="center"/>
              <w:rPr>
                <w:color w:val="auto"/>
                <w:highlight w:val="none"/>
              </w:rPr>
            </w:pPr>
          </w:p>
        </w:tc>
        <w:tc>
          <w:tcPr>
            <w:tcW w:w="524" w:type="dxa"/>
            <w:noWrap w:val="0"/>
            <w:vAlign w:val="center"/>
          </w:tcPr>
          <w:p w14:paraId="610327D3">
            <w:pPr>
              <w:pStyle w:val="15"/>
              <w:jc w:val="center"/>
              <w:rPr>
                <w:color w:val="auto"/>
                <w:highlight w:val="none"/>
              </w:rPr>
            </w:pPr>
          </w:p>
        </w:tc>
        <w:tc>
          <w:tcPr>
            <w:tcW w:w="600" w:type="dxa"/>
            <w:noWrap w:val="0"/>
            <w:vAlign w:val="center"/>
          </w:tcPr>
          <w:p w14:paraId="703549D8">
            <w:pPr>
              <w:pStyle w:val="15"/>
              <w:jc w:val="center"/>
              <w:rPr>
                <w:color w:val="auto"/>
                <w:highlight w:val="none"/>
              </w:rPr>
            </w:pPr>
          </w:p>
        </w:tc>
        <w:tc>
          <w:tcPr>
            <w:tcW w:w="567" w:type="dxa"/>
            <w:noWrap w:val="0"/>
            <w:vAlign w:val="center"/>
          </w:tcPr>
          <w:p w14:paraId="66DC0A1E">
            <w:pPr>
              <w:pStyle w:val="15"/>
              <w:jc w:val="center"/>
              <w:rPr>
                <w:color w:val="auto"/>
                <w:highlight w:val="none"/>
              </w:rPr>
            </w:pPr>
          </w:p>
        </w:tc>
        <w:tc>
          <w:tcPr>
            <w:tcW w:w="556" w:type="dxa"/>
            <w:noWrap w:val="0"/>
            <w:vAlign w:val="center"/>
          </w:tcPr>
          <w:p w14:paraId="7DD74CA3">
            <w:pPr>
              <w:pStyle w:val="15"/>
              <w:jc w:val="center"/>
              <w:rPr>
                <w:color w:val="auto"/>
                <w:highlight w:val="none"/>
              </w:rPr>
            </w:pPr>
          </w:p>
        </w:tc>
        <w:tc>
          <w:tcPr>
            <w:tcW w:w="910" w:type="dxa"/>
            <w:noWrap w:val="0"/>
            <w:vAlign w:val="center"/>
          </w:tcPr>
          <w:p w14:paraId="3D4483A0">
            <w:pPr>
              <w:pStyle w:val="15"/>
              <w:jc w:val="center"/>
              <w:rPr>
                <w:color w:val="auto"/>
                <w:highlight w:val="none"/>
              </w:rPr>
            </w:pPr>
          </w:p>
        </w:tc>
        <w:tc>
          <w:tcPr>
            <w:tcW w:w="940" w:type="dxa"/>
            <w:noWrap w:val="0"/>
            <w:vAlign w:val="center"/>
          </w:tcPr>
          <w:p w14:paraId="6AADE851">
            <w:pPr>
              <w:pStyle w:val="15"/>
              <w:jc w:val="center"/>
              <w:rPr>
                <w:color w:val="auto"/>
                <w:highlight w:val="none"/>
              </w:rPr>
            </w:pPr>
          </w:p>
        </w:tc>
        <w:tc>
          <w:tcPr>
            <w:tcW w:w="1772" w:type="dxa"/>
            <w:noWrap w:val="0"/>
            <w:vAlign w:val="center"/>
          </w:tcPr>
          <w:p w14:paraId="2D79689E">
            <w:pPr>
              <w:pStyle w:val="15"/>
              <w:jc w:val="center"/>
              <w:rPr>
                <w:color w:val="auto"/>
                <w:highlight w:val="none"/>
              </w:rPr>
            </w:pPr>
          </w:p>
        </w:tc>
        <w:tc>
          <w:tcPr>
            <w:tcW w:w="927" w:type="dxa"/>
            <w:noWrap w:val="0"/>
            <w:vAlign w:val="center"/>
          </w:tcPr>
          <w:p w14:paraId="43A2EC0A">
            <w:pPr>
              <w:pStyle w:val="15"/>
              <w:jc w:val="center"/>
              <w:rPr>
                <w:color w:val="auto"/>
                <w:highlight w:val="none"/>
              </w:rPr>
            </w:pPr>
          </w:p>
        </w:tc>
      </w:tr>
      <w:tr w14:paraId="01834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468" w:type="dxa"/>
            <w:noWrap w:val="0"/>
            <w:vAlign w:val="center"/>
          </w:tcPr>
          <w:p w14:paraId="43D3196D">
            <w:pPr>
              <w:spacing w:before="0" w:line="18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3</w:t>
            </w:r>
          </w:p>
        </w:tc>
        <w:tc>
          <w:tcPr>
            <w:tcW w:w="535" w:type="dxa"/>
            <w:noWrap w:val="0"/>
            <w:vAlign w:val="center"/>
          </w:tcPr>
          <w:p w14:paraId="02DE73E3">
            <w:pPr>
              <w:pStyle w:val="15"/>
              <w:jc w:val="center"/>
              <w:rPr>
                <w:color w:val="auto"/>
                <w:highlight w:val="none"/>
              </w:rPr>
            </w:pPr>
          </w:p>
        </w:tc>
        <w:tc>
          <w:tcPr>
            <w:tcW w:w="578" w:type="dxa"/>
            <w:noWrap w:val="0"/>
            <w:vAlign w:val="center"/>
          </w:tcPr>
          <w:p w14:paraId="58AD78B3">
            <w:pPr>
              <w:pStyle w:val="15"/>
              <w:jc w:val="center"/>
              <w:rPr>
                <w:color w:val="auto"/>
                <w:highlight w:val="none"/>
              </w:rPr>
            </w:pPr>
          </w:p>
        </w:tc>
        <w:tc>
          <w:tcPr>
            <w:tcW w:w="556" w:type="dxa"/>
            <w:noWrap w:val="0"/>
            <w:vAlign w:val="center"/>
          </w:tcPr>
          <w:p w14:paraId="3D6D268D">
            <w:pPr>
              <w:pStyle w:val="15"/>
              <w:jc w:val="center"/>
              <w:rPr>
                <w:color w:val="auto"/>
                <w:highlight w:val="none"/>
              </w:rPr>
            </w:pPr>
          </w:p>
        </w:tc>
        <w:tc>
          <w:tcPr>
            <w:tcW w:w="502" w:type="dxa"/>
            <w:noWrap w:val="0"/>
            <w:vAlign w:val="center"/>
          </w:tcPr>
          <w:p w14:paraId="2524FCD3">
            <w:pPr>
              <w:pStyle w:val="15"/>
              <w:jc w:val="center"/>
              <w:rPr>
                <w:color w:val="auto"/>
                <w:highlight w:val="none"/>
              </w:rPr>
            </w:pPr>
          </w:p>
        </w:tc>
        <w:tc>
          <w:tcPr>
            <w:tcW w:w="524" w:type="dxa"/>
            <w:noWrap w:val="0"/>
            <w:vAlign w:val="center"/>
          </w:tcPr>
          <w:p w14:paraId="3830CB2B">
            <w:pPr>
              <w:pStyle w:val="15"/>
              <w:jc w:val="center"/>
              <w:rPr>
                <w:color w:val="auto"/>
                <w:highlight w:val="none"/>
              </w:rPr>
            </w:pPr>
          </w:p>
        </w:tc>
        <w:tc>
          <w:tcPr>
            <w:tcW w:w="600" w:type="dxa"/>
            <w:noWrap w:val="0"/>
            <w:vAlign w:val="center"/>
          </w:tcPr>
          <w:p w14:paraId="76609E74">
            <w:pPr>
              <w:pStyle w:val="15"/>
              <w:jc w:val="center"/>
              <w:rPr>
                <w:color w:val="auto"/>
                <w:highlight w:val="none"/>
              </w:rPr>
            </w:pPr>
          </w:p>
        </w:tc>
        <w:tc>
          <w:tcPr>
            <w:tcW w:w="567" w:type="dxa"/>
            <w:noWrap w:val="0"/>
            <w:vAlign w:val="center"/>
          </w:tcPr>
          <w:p w14:paraId="720A6BE5">
            <w:pPr>
              <w:pStyle w:val="15"/>
              <w:jc w:val="center"/>
              <w:rPr>
                <w:color w:val="auto"/>
                <w:highlight w:val="none"/>
              </w:rPr>
            </w:pPr>
          </w:p>
        </w:tc>
        <w:tc>
          <w:tcPr>
            <w:tcW w:w="556" w:type="dxa"/>
            <w:noWrap w:val="0"/>
            <w:vAlign w:val="center"/>
          </w:tcPr>
          <w:p w14:paraId="585DA7C4">
            <w:pPr>
              <w:pStyle w:val="15"/>
              <w:jc w:val="center"/>
              <w:rPr>
                <w:color w:val="auto"/>
                <w:highlight w:val="none"/>
              </w:rPr>
            </w:pPr>
          </w:p>
        </w:tc>
        <w:tc>
          <w:tcPr>
            <w:tcW w:w="910" w:type="dxa"/>
            <w:noWrap w:val="0"/>
            <w:vAlign w:val="center"/>
          </w:tcPr>
          <w:p w14:paraId="69500092">
            <w:pPr>
              <w:pStyle w:val="15"/>
              <w:jc w:val="center"/>
              <w:rPr>
                <w:color w:val="auto"/>
                <w:highlight w:val="none"/>
              </w:rPr>
            </w:pPr>
          </w:p>
        </w:tc>
        <w:tc>
          <w:tcPr>
            <w:tcW w:w="940" w:type="dxa"/>
            <w:noWrap w:val="0"/>
            <w:vAlign w:val="center"/>
          </w:tcPr>
          <w:p w14:paraId="442A201B">
            <w:pPr>
              <w:pStyle w:val="15"/>
              <w:jc w:val="center"/>
              <w:rPr>
                <w:color w:val="auto"/>
                <w:highlight w:val="none"/>
              </w:rPr>
            </w:pPr>
          </w:p>
        </w:tc>
        <w:tc>
          <w:tcPr>
            <w:tcW w:w="1772" w:type="dxa"/>
            <w:noWrap w:val="0"/>
            <w:vAlign w:val="center"/>
          </w:tcPr>
          <w:p w14:paraId="45224E49">
            <w:pPr>
              <w:pStyle w:val="15"/>
              <w:jc w:val="center"/>
              <w:rPr>
                <w:color w:val="auto"/>
                <w:highlight w:val="none"/>
              </w:rPr>
            </w:pPr>
          </w:p>
        </w:tc>
        <w:tc>
          <w:tcPr>
            <w:tcW w:w="927" w:type="dxa"/>
            <w:noWrap w:val="0"/>
            <w:vAlign w:val="center"/>
          </w:tcPr>
          <w:p w14:paraId="70679B4F">
            <w:pPr>
              <w:pStyle w:val="15"/>
              <w:jc w:val="center"/>
              <w:rPr>
                <w:color w:val="auto"/>
                <w:highlight w:val="none"/>
              </w:rPr>
            </w:pPr>
          </w:p>
        </w:tc>
      </w:tr>
      <w:tr w14:paraId="32C46A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468" w:type="dxa"/>
            <w:noWrap w:val="0"/>
            <w:vAlign w:val="center"/>
          </w:tcPr>
          <w:p w14:paraId="749EB99B">
            <w:pPr>
              <w:spacing w:before="0" w:line="178"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pacing w:val="4"/>
                <w:sz w:val="17"/>
                <w:szCs w:val="17"/>
                <w:highlight w:val="none"/>
              </w:rPr>
              <w:t>4</w:t>
            </w:r>
          </w:p>
        </w:tc>
        <w:tc>
          <w:tcPr>
            <w:tcW w:w="535" w:type="dxa"/>
            <w:noWrap w:val="0"/>
            <w:vAlign w:val="center"/>
          </w:tcPr>
          <w:p w14:paraId="7C1DA075">
            <w:pPr>
              <w:pStyle w:val="15"/>
              <w:jc w:val="center"/>
              <w:rPr>
                <w:color w:val="auto"/>
                <w:highlight w:val="none"/>
              </w:rPr>
            </w:pPr>
          </w:p>
        </w:tc>
        <w:tc>
          <w:tcPr>
            <w:tcW w:w="578" w:type="dxa"/>
            <w:noWrap w:val="0"/>
            <w:vAlign w:val="center"/>
          </w:tcPr>
          <w:p w14:paraId="2CCCAC05">
            <w:pPr>
              <w:pStyle w:val="15"/>
              <w:jc w:val="center"/>
              <w:rPr>
                <w:color w:val="auto"/>
                <w:highlight w:val="none"/>
              </w:rPr>
            </w:pPr>
          </w:p>
        </w:tc>
        <w:tc>
          <w:tcPr>
            <w:tcW w:w="556" w:type="dxa"/>
            <w:noWrap w:val="0"/>
            <w:vAlign w:val="center"/>
          </w:tcPr>
          <w:p w14:paraId="4B4605EE">
            <w:pPr>
              <w:pStyle w:val="15"/>
              <w:jc w:val="center"/>
              <w:rPr>
                <w:color w:val="auto"/>
                <w:highlight w:val="none"/>
              </w:rPr>
            </w:pPr>
          </w:p>
        </w:tc>
        <w:tc>
          <w:tcPr>
            <w:tcW w:w="502" w:type="dxa"/>
            <w:noWrap w:val="0"/>
            <w:vAlign w:val="center"/>
          </w:tcPr>
          <w:p w14:paraId="2993B703">
            <w:pPr>
              <w:pStyle w:val="15"/>
              <w:jc w:val="center"/>
              <w:rPr>
                <w:color w:val="auto"/>
                <w:highlight w:val="none"/>
              </w:rPr>
            </w:pPr>
          </w:p>
        </w:tc>
        <w:tc>
          <w:tcPr>
            <w:tcW w:w="524" w:type="dxa"/>
            <w:noWrap w:val="0"/>
            <w:vAlign w:val="center"/>
          </w:tcPr>
          <w:p w14:paraId="459B8843">
            <w:pPr>
              <w:pStyle w:val="15"/>
              <w:jc w:val="center"/>
              <w:rPr>
                <w:color w:val="auto"/>
                <w:highlight w:val="none"/>
              </w:rPr>
            </w:pPr>
          </w:p>
        </w:tc>
        <w:tc>
          <w:tcPr>
            <w:tcW w:w="600" w:type="dxa"/>
            <w:noWrap w:val="0"/>
            <w:vAlign w:val="center"/>
          </w:tcPr>
          <w:p w14:paraId="015BB14F">
            <w:pPr>
              <w:pStyle w:val="15"/>
              <w:jc w:val="center"/>
              <w:rPr>
                <w:color w:val="auto"/>
                <w:highlight w:val="none"/>
              </w:rPr>
            </w:pPr>
          </w:p>
        </w:tc>
        <w:tc>
          <w:tcPr>
            <w:tcW w:w="567" w:type="dxa"/>
            <w:noWrap w:val="0"/>
            <w:vAlign w:val="center"/>
          </w:tcPr>
          <w:p w14:paraId="312C077E">
            <w:pPr>
              <w:pStyle w:val="15"/>
              <w:jc w:val="center"/>
              <w:rPr>
                <w:color w:val="auto"/>
                <w:highlight w:val="none"/>
              </w:rPr>
            </w:pPr>
          </w:p>
        </w:tc>
        <w:tc>
          <w:tcPr>
            <w:tcW w:w="556" w:type="dxa"/>
            <w:noWrap w:val="0"/>
            <w:vAlign w:val="center"/>
          </w:tcPr>
          <w:p w14:paraId="41F55D6D">
            <w:pPr>
              <w:pStyle w:val="15"/>
              <w:jc w:val="center"/>
              <w:rPr>
                <w:color w:val="auto"/>
                <w:highlight w:val="none"/>
              </w:rPr>
            </w:pPr>
          </w:p>
        </w:tc>
        <w:tc>
          <w:tcPr>
            <w:tcW w:w="910" w:type="dxa"/>
            <w:noWrap w:val="0"/>
            <w:vAlign w:val="center"/>
          </w:tcPr>
          <w:p w14:paraId="5DF13BEA">
            <w:pPr>
              <w:pStyle w:val="15"/>
              <w:jc w:val="center"/>
              <w:rPr>
                <w:color w:val="auto"/>
                <w:highlight w:val="none"/>
              </w:rPr>
            </w:pPr>
          </w:p>
        </w:tc>
        <w:tc>
          <w:tcPr>
            <w:tcW w:w="940" w:type="dxa"/>
            <w:noWrap w:val="0"/>
            <w:vAlign w:val="center"/>
          </w:tcPr>
          <w:p w14:paraId="49BA9F37">
            <w:pPr>
              <w:pStyle w:val="15"/>
              <w:jc w:val="center"/>
              <w:rPr>
                <w:color w:val="auto"/>
                <w:highlight w:val="none"/>
              </w:rPr>
            </w:pPr>
          </w:p>
        </w:tc>
        <w:tc>
          <w:tcPr>
            <w:tcW w:w="1772" w:type="dxa"/>
            <w:noWrap w:val="0"/>
            <w:vAlign w:val="center"/>
          </w:tcPr>
          <w:p w14:paraId="37A0571B">
            <w:pPr>
              <w:pStyle w:val="15"/>
              <w:jc w:val="center"/>
              <w:rPr>
                <w:color w:val="auto"/>
                <w:highlight w:val="none"/>
              </w:rPr>
            </w:pPr>
          </w:p>
        </w:tc>
        <w:tc>
          <w:tcPr>
            <w:tcW w:w="927" w:type="dxa"/>
            <w:noWrap w:val="0"/>
            <w:vAlign w:val="center"/>
          </w:tcPr>
          <w:p w14:paraId="44F65EC1">
            <w:pPr>
              <w:pStyle w:val="15"/>
              <w:jc w:val="center"/>
              <w:rPr>
                <w:color w:val="auto"/>
                <w:highlight w:val="none"/>
              </w:rPr>
            </w:pPr>
          </w:p>
        </w:tc>
      </w:tr>
      <w:tr w14:paraId="5A0B1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468" w:type="dxa"/>
            <w:noWrap w:val="0"/>
            <w:vAlign w:val="center"/>
          </w:tcPr>
          <w:p w14:paraId="6CD7DD30">
            <w:pPr>
              <w:spacing w:before="0" w:line="178"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5</w:t>
            </w:r>
          </w:p>
        </w:tc>
        <w:tc>
          <w:tcPr>
            <w:tcW w:w="535" w:type="dxa"/>
            <w:noWrap w:val="0"/>
            <w:vAlign w:val="center"/>
          </w:tcPr>
          <w:p w14:paraId="391406CD">
            <w:pPr>
              <w:pStyle w:val="15"/>
              <w:jc w:val="center"/>
              <w:rPr>
                <w:color w:val="auto"/>
                <w:highlight w:val="none"/>
              </w:rPr>
            </w:pPr>
          </w:p>
        </w:tc>
        <w:tc>
          <w:tcPr>
            <w:tcW w:w="578" w:type="dxa"/>
            <w:noWrap w:val="0"/>
            <w:vAlign w:val="center"/>
          </w:tcPr>
          <w:p w14:paraId="0B726E81">
            <w:pPr>
              <w:pStyle w:val="15"/>
              <w:jc w:val="center"/>
              <w:rPr>
                <w:color w:val="auto"/>
                <w:highlight w:val="none"/>
              </w:rPr>
            </w:pPr>
          </w:p>
        </w:tc>
        <w:tc>
          <w:tcPr>
            <w:tcW w:w="556" w:type="dxa"/>
            <w:noWrap w:val="0"/>
            <w:vAlign w:val="center"/>
          </w:tcPr>
          <w:p w14:paraId="56509936">
            <w:pPr>
              <w:pStyle w:val="15"/>
              <w:jc w:val="center"/>
              <w:rPr>
                <w:color w:val="auto"/>
                <w:highlight w:val="none"/>
              </w:rPr>
            </w:pPr>
          </w:p>
        </w:tc>
        <w:tc>
          <w:tcPr>
            <w:tcW w:w="502" w:type="dxa"/>
            <w:noWrap w:val="0"/>
            <w:vAlign w:val="center"/>
          </w:tcPr>
          <w:p w14:paraId="2F4E1DB7">
            <w:pPr>
              <w:pStyle w:val="15"/>
              <w:jc w:val="center"/>
              <w:rPr>
                <w:color w:val="auto"/>
                <w:highlight w:val="none"/>
              </w:rPr>
            </w:pPr>
          </w:p>
        </w:tc>
        <w:tc>
          <w:tcPr>
            <w:tcW w:w="524" w:type="dxa"/>
            <w:noWrap w:val="0"/>
            <w:vAlign w:val="center"/>
          </w:tcPr>
          <w:p w14:paraId="30060D56">
            <w:pPr>
              <w:pStyle w:val="15"/>
              <w:jc w:val="center"/>
              <w:rPr>
                <w:color w:val="auto"/>
                <w:highlight w:val="none"/>
              </w:rPr>
            </w:pPr>
          </w:p>
        </w:tc>
        <w:tc>
          <w:tcPr>
            <w:tcW w:w="600" w:type="dxa"/>
            <w:noWrap w:val="0"/>
            <w:vAlign w:val="center"/>
          </w:tcPr>
          <w:p w14:paraId="1FAD018E">
            <w:pPr>
              <w:pStyle w:val="15"/>
              <w:jc w:val="center"/>
              <w:rPr>
                <w:color w:val="auto"/>
                <w:highlight w:val="none"/>
              </w:rPr>
            </w:pPr>
          </w:p>
        </w:tc>
        <w:tc>
          <w:tcPr>
            <w:tcW w:w="567" w:type="dxa"/>
            <w:noWrap w:val="0"/>
            <w:vAlign w:val="center"/>
          </w:tcPr>
          <w:p w14:paraId="6C29365B">
            <w:pPr>
              <w:pStyle w:val="15"/>
              <w:jc w:val="center"/>
              <w:rPr>
                <w:color w:val="auto"/>
                <w:highlight w:val="none"/>
              </w:rPr>
            </w:pPr>
          </w:p>
        </w:tc>
        <w:tc>
          <w:tcPr>
            <w:tcW w:w="556" w:type="dxa"/>
            <w:noWrap w:val="0"/>
            <w:vAlign w:val="center"/>
          </w:tcPr>
          <w:p w14:paraId="26F2C3FE">
            <w:pPr>
              <w:pStyle w:val="15"/>
              <w:jc w:val="center"/>
              <w:rPr>
                <w:color w:val="auto"/>
                <w:highlight w:val="none"/>
              </w:rPr>
            </w:pPr>
          </w:p>
        </w:tc>
        <w:tc>
          <w:tcPr>
            <w:tcW w:w="910" w:type="dxa"/>
            <w:noWrap w:val="0"/>
            <w:vAlign w:val="center"/>
          </w:tcPr>
          <w:p w14:paraId="1CD0C5BC">
            <w:pPr>
              <w:pStyle w:val="15"/>
              <w:jc w:val="center"/>
              <w:rPr>
                <w:color w:val="auto"/>
                <w:highlight w:val="none"/>
              </w:rPr>
            </w:pPr>
          </w:p>
        </w:tc>
        <w:tc>
          <w:tcPr>
            <w:tcW w:w="940" w:type="dxa"/>
            <w:noWrap w:val="0"/>
            <w:vAlign w:val="center"/>
          </w:tcPr>
          <w:p w14:paraId="39F14FEC">
            <w:pPr>
              <w:pStyle w:val="15"/>
              <w:jc w:val="center"/>
              <w:rPr>
                <w:color w:val="auto"/>
                <w:highlight w:val="none"/>
              </w:rPr>
            </w:pPr>
          </w:p>
        </w:tc>
        <w:tc>
          <w:tcPr>
            <w:tcW w:w="1772" w:type="dxa"/>
            <w:noWrap w:val="0"/>
            <w:vAlign w:val="center"/>
          </w:tcPr>
          <w:p w14:paraId="618185B1">
            <w:pPr>
              <w:pStyle w:val="15"/>
              <w:jc w:val="center"/>
              <w:rPr>
                <w:color w:val="auto"/>
                <w:highlight w:val="none"/>
              </w:rPr>
            </w:pPr>
          </w:p>
        </w:tc>
        <w:tc>
          <w:tcPr>
            <w:tcW w:w="927" w:type="dxa"/>
            <w:noWrap w:val="0"/>
            <w:vAlign w:val="center"/>
          </w:tcPr>
          <w:p w14:paraId="293E6422">
            <w:pPr>
              <w:pStyle w:val="15"/>
              <w:jc w:val="center"/>
              <w:rPr>
                <w:color w:val="auto"/>
                <w:highlight w:val="none"/>
              </w:rPr>
            </w:pPr>
          </w:p>
        </w:tc>
      </w:tr>
      <w:tr w14:paraId="33EBA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468" w:type="dxa"/>
            <w:noWrap w:val="0"/>
            <w:vAlign w:val="center"/>
          </w:tcPr>
          <w:p w14:paraId="0BF4AB41">
            <w:pPr>
              <w:spacing w:before="0" w:line="18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6</w:t>
            </w:r>
          </w:p>
        </w:tc>
        <w:tc>
          <w:tcPr>
            <w:tcW w:w="535" w:type="dxa"/>
            <w:noWrap w:val="0"/>
            <w:vAlign w:val="center"/>
          </w:tcPr>
          <w:p w14:paraId="70C92BC5">
            <w:pPr>
              <w:pStyle w:val="15"/>
              <w:jc w:val="center"/>
              <w:rPr>
                <w:color w:val="auto"/>
                <w:highlight w:val="none"/>
              </w:rPr>
            </w:pPr>
          </w:p>
        </w:tc>
        <w:tc>
          <w:tcPr>
            <w:tcW w:w="578" w:type="dxa"/>
            <w:noWrap w:val="0"/>
            <w:vAlign w:val="center"/>
          </w:tcPr>
          <w:p w14:paraId="15D4203D">
            <w:pPr>
              <w:pStyle w:val="15"/>
              <w:jc w:val="center"/>
              <w:rPr>
                <w:color w:val="auto"/>
                <w:highlight w:val="none"/>
              </w:rPr>
            </w:pPr>
          </w:p>
        </w:tc>
        <w:tc>
          <w:tcPr>
            <w:tcW w:w="556" w:type="dxa"/>
            <w:noWrap w:val="0"/>
            <w:vAlign w:val="center"/>
          </w:tcPr>
          <w:p w14:paraId="155D67FC">
            <w:pPr>
              <w:pStyle w:val="15"/>
              <w:jc w:val="center"/>
              <w:rPr>
                <w:color w:val="auto"/>
                <w:highlight w:val="none"/>
              </w:rPr>
            </w:pPr>
          </w:p>
        </w:tc>
        <w:tc>
          <w:tcPr>
            <w:tcW w:w="502" w:type="dxa"/>
            <w:noWrap w:val="0"/>
            <w:vAlign w:val="center"/>
          </w:tcPr>
          <w:p w14:paraId="23B24536">
            <w:pPr>
              <w:pStyle w:val="15"/>
              <w:jc w:val="center"/>
              <w:rPr>
                <w:color w:val="auto"/>
                <w:highlight w:val="none"/>
              </w:rPr>
            </w:pPr>
          </w:p>
        </w:tc>
        <w:tc>
          <w:tcPr>
            <w:tcW w:w="524" w:type="dxa"/>
            <w:noWrap w:val="0"/>
            <w:vAlign w:val="center"/>
          </w:tcPr>
          <w:p w14:paraId="3C47042F">
            <w:pPr>
              <w:pStyle w:val="15"/>
              <w:jc w:val="center"/>
              <w:rPr>
                <w:color w:val="auto"/>
                <w:highlight w:val="none"/>
              </w:rPr>
            </w:pPr>
          </w:p>
        </w:tc>
        <w:tc>
          <w:tcPr>
            <w:tcW w:w="600" w:type="dxa"/>
            <w:noWrap w:val="0"/>
            <w:vAlign w:val="center"/>
          </w:tcPr>
          <w:p w14:paraId="0C831290">
            <w:pPr>
              <w:pStyle w:val="15"/>
              <w:jc w:val="center"/>
              <w:rPr>
                <w:color w:val="auto"/>
                <w:highlight w:val="none"/>
              </w:rPr>
            </w:pPr>
          </w:p>
        </w:tc>
        <w:tc>
          <w:tcPr>
            <w:tcW w:w="567" w:type="dxa"/>
            <w:noWrap w:val="0"/>
            <w:vAlign w:val="center"/>
          </w:tcPr>
          <w:p w14:paraId="52078594">
            <w:pPr>
              <w:pStyle w:val="15"/>
              <w:jc w:val="center"/>
              <w:rPr>
                <w:color w:val="auto"/>
                <w:highlight w:val="none"/>
              </w:rPr>
            </w:pPr>
          </w:p>
        </w:tc>
        <w:tc>
          <w:tcPr>
            <w:tcW w:w="556" w:type="dxa"/>
            <w:noWrap w:val="0"/>
            <w:vAlign w:val="center"/>
          </w:tcPr>
          <w:p w14:paraId="12335BA8">
            <w:pPr>
              <w:pStyle w:val="15"/>
              <w:jc w:val="center"/>
              <w:rPr>
                <w:color w:val="auto"/>
                <w:highlight w:val="none"/>
              </w:rPr>
            </w:pPr>
          </w:p>
        </w:tc>
        <w:tc>
          <w:tcPr>
            <w:tcW w:w="910" w:type="dxa"/>
            <w:noWrap w:val="0"/>
            <w:vAlign w:val="center"/>
          </w:tcPr>
          <w:p w14:paraId="1A2ED415">
            <w:pPr>
              <w:pStyle w:val="15"/>
              <w:jc w:val="center"/>
              <w:rPr>
                <w:color w:val="auto"/>
                <w:highlight w:val="none"/>
              </w:rPr>
            </w:pPr>
          </w:p>
        </w:tc>
        <w:tc>
          <w:tcPr>
            <w:tcW w:w="940" w:type="dxa"/>
            <w:noWrap w:val="0"/>
            <w:vAlign w:val="center"/>
          </w:tcPr>
          <w:p w14:paraId="7115491F">
            <w:pPr>
              <w:pStyle w:val="15"/>
              <w:jc w:val="center"/>
              <w:rPr>
                <w:color w:val="auto"/>
                <w:highlight w:val="none"/>
              </w:rPr>
            </w:pPr>
          </w:p>
        </w:tc>
        <w:tc>
          <w:tcPr>
            <w:tcW w:w="1772" w:type="dxa"/>
            <w:noWrap w:val="0"/>
            <w:vAlign w:val="center"/>
          </w:tcPr>
          <w:p w14:paraId="01D55F91">
            <w:pPr>
              <w:pStyle w:val="15"/>
              <w:jc w:val="center"/>
              <w:rPr>
                <w:color w:val="auto"/>
                <w:highlight w:val="none"/>
              </w:rPr>
            </w:pPr>
          </w:p>
        </w:tc>
        <w:tc>
          <w:tcPr>
            <w:tcW w:w="927" w:type="dxa"/>
            <w:noWrap w:val="0"/>
            <w:vAlign w:val="center"/>
          </w:tcPr>
          <w:p w14:paraId="5C08CBB3">
            <w:pPr>
              <w:pStyle w:val="15"/>
              <w:jc w:val="center"/>
              <w:rPr>
                <w:color w:val="auto"/>
                <w:highlight w:val="none"/>
              </w:rPr>
            </w:pPr>
          </w:p>
        </w:tc>
      </w:tr>
      <w:tr w14:paraId="7447D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468" w:type="dxa"/>
            <w:noWrap w:val="0"/>
            <w:vAlign w:val="center"/>
          </w:tcPr>
          <w:p w14:paraId="5B172909">
            <w:pPr>
              <w:spacing w:before="0" w:line="178"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7</w:t>
            </w:r>
          </w:p>
        </w:tc>
        <w:tc>
          <w:tcPr>
            <w:tcW w:w="535" w:type="dxa"/>
            <w:noWrap w:val="0"/>
            <w:vAlign w:val="center"/>
          </w:tcPr>
          <w:p w14:paraId="0FC6F4A2">
            <w:pPr>
              <w:pStyle w:val="15"/>
              <w:jc w:val="center"/>
              <w:rPr>
                <w:color w:val="auto"/>
                <w:highlight w:val="none"/>
              </w:rPr>
            </w:pPr>
          </w:p>
        </w:tc>
        <w:tc>
          <w:tcPr>
            <w:tcW w:w="578" w:type="dxa"/>
            <w:noWrap w:val="0"/>
            <w:vAlign w:val="center"/>
          </w:tcPr>
          <w:p w14:paraId="27CCF6C6">
            <w:pPr>
              <w:pStyle w:val="15"/>
              <w:jc w:val="center"/>
              <w:rPr>
                <w:color w:val="auto"/>
                <w:highlight w:val="none"/>
              </w:rPr>
            </w:pPr>
          </w:p>
        </w:tc>
        <w:tc>
          <w:tcPr>
            <w:tcW w:w="556" w:type="dxa"/>
            <w:noWrap w:val="0"/>
            <w:vAlign w:val="center"/>
          </w:tcPr>
          <w:p w14:paraId="5D69515E">
            <w:pPr>
              <w:pStyle w:val="15"/>
              <w:jc w:val="center"/>
              <w:rPr>
                <w:color w:val="auto"/>
                <w:highlight w:val="none"/>
              </w:rPr>
            </w:pPr>
          </w:p>
        </w:tc>
        <w:tc>
          <w:tcPr>
            <w:tcW w:w="502" w:type="dxa"/>
            <w:noWrap w:val="0"/>
            <w:vAlign w:val="center"/>
          </w:tcPr>
          <w:p w14:paraId="4FC1B4CB">
            <w:pPr>
              <w:pStyle w:val="15"/>
              <w:jc w:val="center"/>
              <w:rPr>
                <w:color w:val="auto"/>
                <w:highlight w:val="none"/>
              </w:rPr>
            </w:pPr>
          </w:p>
        </w:tc>
        <w:tc>
          <w:tcPr>
            <w:tcW w:w="524" w:type="dxa"/>
            <w:noWrap w:val="0"/>
            <w:vAlign w:val="center"/>
          </w:tcPr>
          <w:p w14:paraId="7BF97FCC">
            <w:pPr>
              <w:pStyle w:val="15"/>
              <w:jc w:val="center"/>
              <w:rPr>
                <w:color w:val="auto"/>
                <w:highlight w:val="none"/>
              </w:rPr>
            </w:pPr>
          </w:p>
        </w:tc>
        <w:tc>
          <w:tcPr>
            <w:tcW w:w="600" w:type="dxa"/>
            <w:noWrap w:val="0"/>
            <w:vAlign w:val="center"/>
          </w:tcPr>
          <w:p w14:paraId="3A3B9B8B">
            <w:pPr>
              <w:pStyle w:val="15"/>
              <w:jc w:val="center"/>
              <w:rPr>
                <w:color w:val="auto"/>
                <w:highlight w:val="none"/>
              </w:rPr>
            </w:pPr>
          </w:p>
        </w:tc>
        <w:tc>
          <w:tcPr>
            <w:tcW w:w="567" w:type="dxa"/>
            <w:noWrap w:val="0"/>
            <w:vAlign w:val="center"/>
          </w:tcPr>
          <w:p w14:paraId="4FFF8962">
            <w:pPr>
              <w:pStyle w:val="15"/>
              <w:jc w:val="center"/>
              <w:rPr>
                <w:color w:val="auto"/>
                <w:highlight w:val="none"/>
              </w:rPr>
            </w:pPr>
          </w:p>
        </w:tc>
        <w:tc>
          <w:tcPr>
            <w:tcW w:w="556" w:type="dxa"/>
            <w:noWrap w:val="0"/>
            <w:vAlign w:val="center"/>
          </w:tcPr>
          <w:p w14:paraId="48C1B748">
            <w:pPr>
              <w:pStyle w:val="15"/>
              <w:jc w:val="center"/>
              <w:rPr>
                <w:color w:val="auto"/>
                <w:highlight w:val="none"/>
              </w:rPr>
            </w:pPr>
          </w:p>
        </w:tc>
        <w:tc>
          <w:tcPr>
            <w:tcW w:w="910" w:type="dxa"/>
            <w:noWrap w:val="0"/>
            <w:vAlign w:val="center"/>
          </w:tcPr>
          <w:p w14:paraId="6042B1E7">
            <w:pPr>
              <w:pStyle w:val="15"/>
              <w:jc w:val="center"/>
              <w:rPr>
                <w:color w:val="auto"/>
                <w:highlight w:val="none"/>
              </w:rPr>
            </w:pPr>
          </w:p>
        </w:tc>
        <w:tc>
          <w:tcPr>
            <w:tcW w:w="940" w:type="dxa"/>
            <w:noWrap w:val="0"/>
            <w:vAlign w:val="center"/>
          </w:tcPr>
          <w:p w14:paraId="3AFE4F7C">
            <w:pPr>
              <w:pStyle w:val="15"/>
              <w:jc w:val="center"/>
              <w:rPr>
                <w:color w:val="auto"/>
                <w:highlight w:val="none"/>
              </w:rPr>
            </w:pPr>
          </w:p>
        </w:tc>
        <w:tc>
          <w:tcPr>
            <w:tcW w:w="1772" w:type="dxa"/>
            <w:noWrap w:val="0"/>
            <w:vAlign w:val="center"/>
          </w:tcPr>
          <w:p w14:paraId="5FAFDE19">
            <w:pPr>
              <w:pStyle w:val="15"/>
              <w:jc w:val="center"/>
              <w:rPr>
                <w:color w:val="auto"/>
                <w:highlight w:val="none"/>
              </w:rPr>
            </w:pPr>
          </w:p>
        </w:tc>
        <w:tc>
          <w:tcPr>
            <w:tcW w:w="927" w:type="dxa"/>
            <w:noWrap w:val="0"/>
            <w:vAlign w:val="center"/>
          </w:tcPr>
          <w:p w14:paraId="36F7CEB0">
            <w:pPr>
              <w:pStyle w:val="15"/>
              <w:jc w:val="center"/>
              <w:rPr>
                <w:color w:val="auto"/>
                <w:highlight w:val="none"/>
              </w:rPr>
            </w:pPr>
          </w:p>
        </w:tc>
      </w:tr>
      <w:tr w14:paraId="3A8F9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468" w:type="dxa"/>
            <w:noWrap w:val="0"/>
            <w:vAlign w:val="center"/>
          </w:tcPr>
          <w:p w14:paraId="663605DA">
            <w:pPr>
              <w:spacing w:before="0" w:line="99" w:lineRule="exact"/>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pacing w:val="-2"/>
                <w:position w:val="2"/>
                <w:sz w:val="17"/>
                <w:szCs w:val="17"/>
                <w:highlight w:val="none"/>
              </w:rPr>
              <w:t>...</w:t>
            </w:r>
          </w:p>
        </w:tc>
        <w:tc>
          <w:tcPr>
            <w:tcW w:w="535" w:type="dxa"/>
            <w:noWrap w:val="0"/>
            <w:vAlign w:val="center"/>
          </w:tcPr>
          <w:p w14:paraId="5E49BF54">
            <w:pPr>
              <w:pStyle w:val="15"/>
              <w:jc w:val="center"/>
              <w:rPr>
                <w:color w:val="auto"/>
                <w:highlight w:val="none"/>
              </w:rPr>
            </w:pPr>
          </w:p>
        </w:tc>
        <w:tc>
          <w:tcPr>
            <w:tcW w:w="578" w:type="dxa"/>
            <w:noWrap w:val="0"/>
            <w:vAlign w:val="center"/>
          </w:tcPr>
          <w:p w14:paraId="335E4AF8">
            <w:pPr>
              <w:pStyle w:val="15"/>
              <w:jc w:val="center"/>
              <w:rPr>
                <w:color w:val="auto"/>
                <w:highlight w:val="none"/>
              </w:rPr>
            </w:pPr>
          </w:p>
        </w:tc>
        <w:tc>
          <w:tcPr>
            <w:tcW w:w="556" w:type="dxa"/>
            <w:noWrap w:val="0"/>
            <w:vAlign w:val="center"/>
          </w:tcPr>
          <w:p w14:paraId="1A874360">
            <w:pPr>
              <w:pStyle w:val="15"/>
              <w:jc w:val="center"/>
              <w:rPr>
                <w:color w:val="auto"/>
                <w:highlight w:val="none"/>
              </w:rPr>
            </w:pPr>
          </w:p>
        </w:tc>
        <w:tc>
          <w:tcPr>
            <w:tcW w:w="502" w:type="dxa"/>
            <w:noWrap w:val="0"/>
            <w:vAlign w:val="center"/>
          </w:tcPr>
          <w:p w14:paraId="454318C4">
            <w:pPr>
              <w:pStyle w:val="15"/>
              <w:jc w:val="center"/>
              <w:rPr>
                <w:color w:val="auto"/>
                <w:highlight w:val="none"/>
              </w:rPr>
            </w:pPr>
          </w:p>
        </w:tc>
        <w:tc>
          <w:tcPr>
            <w:tcW w:w="524" w:type="dxa"/>
            <w:noWrap w:val="0"/>
            <w:vAlign w:val="center"/>
          </w:tcPr>
          <w:p w14:paraId="522C3C99">
            <w:pPr>
              <w:pStyle w:val="15"/>
              <w:jc w:val="center"/>
              <w:rPr>
                <w:color w:val="auto"/>
                <w:highlight w:val="none"/>
              </w:rPr>
            </w:pPr>
          </w:p>
        </w:tc>
        <w:tc>
          <w:tcPr>
            <w:tcW w:w="600" w:type="dxa"/>
            <w:noWrap w:val="0"/>
            <w:vAlign w:val="center"/>
          </w:tcPr>
          <w:p w14:paraId="4C8331EE">
            <w:pPr>
              <w:pStyle w:val="15"/>
              <w:jc w:val="center"/>
              <w:rPr>
                <w:color w:val="auto"/>
                <w:highlight w:val="none"/>
              </w:rPr>
            </w:pPr>
          </w:p>
        </w:tc>
        <w:tc>
          <w:tcPr>
            <w:tcW w:w="567" w:type="dxa"/>
            <w:noWrap w:val="0"/>
            <w:vAlign w:val="center"/>
          </w:tcPr>
          <w:p w14:paraId="70CD6E8D">
            <w:pPr>
              <w:pStyle w:val="15"/>
              <w:jc w:val="center"/>
              <w:rPr>
                <w:color w:val="auto"/>
                <w:highlight w:val="none"/>
              </w:rPr>
            </w:pPr>
          </w:p>
        </w:tc>
        <w:tc>
          <w:tcPr>
            <w:tcW w:w="556" w:type="dxa"/>
            <w:noWrap w:val="0"/>
            <w:vAlign w:val="center"/>
          </w:tcPr>
          <w:p w14:paraId="6046AE4F">
            <w:pPr>
              <w:pStyle w:val="15"/>
              <w:jc w:val="center"/>
              <w:rPr>
                <w:color w:val="auto"/>
                <w:highlight w:val="none"/>
              </w:rPr>
            </w:pPr>
          </w:p>
        </w:tc>
        <w:tc>
          <w:tcPr>
            <w:tcW w:w="910" w:type="dxa"/>
            <w:noWrap w:val="0"/>
            <w:vAlign w:val="center"/>
          </w:tcPr>
          <w:p w14:paraId="221F4B84">
            <w:pPr>
              <w:pStyle w:val="15"/>
              <w:jc w:val="center"/>
              <w:rPr>
                <w:color w:val="auto"/>
                <w:highlight w:val="none"/>
              </w:rPr>
            </w:pPr>
          </w:p>
        </w:tc>
        <w:tc>
          <w:tcPr>
            <w:tcW w:w="940" w:type="dxa"/>
            <w:noWrap w:val="0"/>
            <w:vAlign w:val="center"/>
          </w:tcPr>
          <w:p w14:paraId="1A4AD60E">
            <w:pPr>
              <w:pStyle w:val="15"/>
              <w:jc w:val="center"/>
              <w:rPr>
                <w:color w:val="auto"/>
                <w:highlight w:val="none"/>
              </w:rPr>
            </w:pPr>
          </w:p>
        </w:tc>
        <w:tc>
          <w:tcPr>
            <w:tcW w:w="1772" w:type="dxa"/>
            <w:noWrap w:val="0"/>
            <w:vAlign w:val="center"/>
          </w:tcPr>
          <w:p w14:paraId="11E440F4">
            <w:pPr>
              <w:pStyle w:val="15"/>
              <w:jc w:val="center"/>
              <w:rPr>
                <w:color w:val="auto"/>
                <w:highlight w:val="none"/>
              </w:rPr>
            </w:pPr>
          </w:p>
        </w:tc>
        <w:tc>
          <w:tcPr>
            <w:tcW w:w="927" w:type="dxa"/>
            <w:noWrap w:val="0"/>
            <w:vAlign w:val="center"/>
          </w:tcPr>
          <w:p w14:paraId="463F5053">
            <w:pPr>
              <w:pStyle w:val="15"/>
              <w:jc w:val="center"/>
              <w:rPr>
                <w:color w:val="auto"/>
                <w:highlight w:val="none"/>
              </w:rPr>
            </w:pPr>
          </w:p>
        </w:tc>
      </w:tr>
      <w:tr w14:paraId="4622A7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468" w:type="dxa"/>
            <w:noWrap w:val="0"/>
            <w:vAlign w:val="center"/>
          </w:tcPr>
          <w:p w14:paraId="749FAC87">
            <w:pPr>
              <w:pStyle w:val="15"/>
              <w:jc w:val="center"/>
              <w:rPr>
                <w:color w:val="auto"/>
                <w:highlight w:val="none"/>
              </w:rPr>
            </w:pPr>
          </w:p>
        </w:tc>
        <w:tc>
          <w:tcPr>
            <w:tcW w:w="535" w:type="dxa"/>
            <w:noWrap w:val="0"/>
            <w:vAlign w:val="center"/>
          </w:tcPr>
          <w:p w14:paraId="460B0CA4">
            <w:pPr>
              <w:pStyle w:val="15"/>
              <w:jc w:val="center"/>
              <w:rPr>
                <w:color w:val="auto"/>
                <w:highlight w:val="none"/>
              </w:rPr>
            </w:pPr>
          </w:p>
        </w:tc>
        <w:tc>
          <w:tcPr>
            <w:tcW w:w="578" w:type="dxa"/>
            <w:noWrap w:val="0"/>
            <w:vAlign w:val="center"/>
          </w:tcPr>
          <w:p w14:paraId="0AABD40B">
            <w:pPr>
              <w:pStyle w:val="15"/>
              <w:jc w:val="center"/>
              <w:rPr>
                <w:color w:val="auto"/>
                <w:highlight w:val="none"/>
              </w:rPr>
            </w:pPr>
          </w:p>
        </w:tc>
        <w:tc>
          <w:tcPr>
            <w:tcW w:w="556" w:type="dxa"/>
            <w:noWrap w:val="0"/>
            <w:vAlign w:val="center"/>
          </w:tcPr>
          <w:p w14:paraId="59102E7F">
            <w:pPr>
              <w:pStyle w:val="15"/>
              <w:jc w:val="center"/>
              <w:rPr>
                <w:color w:val="auto"/>
                <w:highlight w:val="none"/>
              </w:rPr>
            </w:pPr>
          </w:p>
        </w:tc>
        <w:tc>
          <w:tcPr>
            <w:tcW w:w="502" w:type="dxa"/>
            <w:noWrap w:val="0"/>
            <w:vAlign w:val="center"/>
          </w:tcPr>
          <w:p w14:paraId="0D11FD1A">
            <w:pPr>
              <w:pStyle w:val="15"/>
              <w:jc w:val="center"/>
              <w:rPr>
                <w:color w:val="auto"/>
                <w:highlight w:val="none"/>
              </w:rPr>
            </w:pPr>
          </w:p>
        </w:tc>
        <w:tc>
          <w:tcPr>
            <w:tcW w:w="524" w:type="dxa"/>
            <w:noWrap w:val="0"/>
            <w:vAlign w:val="center"/>
          </w:tcPr>
          <w:p w14:paraId="2E093A4C">
            <w:pPr>
              <w:pStyle w:val="15"/>
              <w:jc w:val="center"/>
              <w:rPr>
                <w:color w:val="auto"/>
                <w:highlight w:val="none"/>
              </w:rPr>
            </w:pPr>
          </w:p>
        </w:tc>
        <w:tc>
          <w:tcPr>
            <w:tcW w:w="600" w:type="dxa"/>
            <w:noWrap w:val="0"/>
            <w:vAlign w:val="center"/>
          </w:tcPr>
          <w:p w14:paraId="70890B36">
            <w:pPr>
              <w:pStyle w:val="15"/>
              <w:jc w:val="center"/>
              <w:rPr>
                <w:color w:val="auto"/>
                <w:highlight w:val="none"/>
              </w:rPr>
            </w:pPr>
          </w:p>
        </w:tc>
        <w:tc>
          <w:tcPr>
            <w:tcW w:w="567" w:type="dxa"/>
            <w:noWrap w:val="0"/>
            <w:vAlign w:val="center"/>
          </w:tcPr>
          <w:p w14:paraId="474ECB52">
            <w:pPr>
              <w:pStyle w:val="15"/>
              <w:jc w:val="center"/>
              <w:rPr>
                <w:color w:val="auto"/>
                <w:highlight w:val="none"/>
              </w:rPr>
            </w:pPr>
          </w:p>
        </w:tc>
        <w:tc>
          <w:tcPr>
            <w:tcW w:w="556" w:type="dxa"/>
            <w:noWrap w:val="0"/>
            <w:vAlign w:val="center"/>
          </w:tcPr>
          <w:p w14:paraId="61F18A7C">
            <w:pPr>
              <w:pStyle w:val="15"/>
              <w:jc w:val="center"/>
              <w:rPr>
                <w:color w:val="auto"/>
                <w:highlight w:val="none"/>
              </w:rPr>
            </w:pPr>
          </w:p>
        </w:tc>
        <w:tc>
          <w:tcPr>
            <w:tcW w:w="910" w:type="dxa"/>
            <w:noWrap w:val="0"/>
            <w:vAlign w:val="center"/>
          </w:tcPr>
          <w:p w14:paraId="33F9FAFB">
            <w:pPr>
              <w:pStyle w:val="15"/>
              <w:jc w:val="center"/>
              <w:rPr>
                <w:color w:val="auto"/>
                <w:highlight w:val="none"/>
              </w:rPr>
            </w:pPr>
          </w:p>
        </w:tc>
        <w:tc>
          <w:tcPr>
            <w:tcW w:w="940" w:type="dxa"/>
            <w:noWrap w:val="0"/>
            <w:vAlign w:val="center"/>
          </w:tcPr>
          <w:p w14:paraId="0FBA4F35">
            <w:pPr>
              <w:pStyle w:val="15"/>
              <w:jc w:val="center"/>
              <w:rPr>
                <w:color w:val="auto"/>
                <w:highlight w:val="none"/>
              </w:rPr>
            </w:pPr>
          </w:p>
        </w:tc>
        <w:tc>
          <w:tcPr>
            <w:tcW w:w="1772" w:type="dxa"/>
            <w:noWrap w:val="0"/>
            <w:vAlign w:val="center"/>
          </w:tcPr>
          <w:p w14:paraId="2FDC39F8">
            <w:pPr>
              <w:pStyle w:val="15"/>
              <w:jc w:val="center"/>
              <w:rPr>
                <w:color w:val="auto"/>
                <w:highlight w:val="none"/>
              </w:rPr>
            </w:pPr>
          </w:p>
        </w:tc>
        <w:tc>
          <w:tcPr>
            <w:tcW w:w="927" w:type="dxa"/>
            <w:noWrap w:val="0"/>
            <w:vAlign w:val="center"/>
          </w:tcPr>
          <w:p w14:paraId="64AE177E">
            <w:pPr>
              <w:pStyle w:val="15"/>
              <w:jc w:val="center"/>
              <w:rPr>
                <w:color w:val="auto"/>
                <w:highlight w:val="none"/>
              </w:rPr>
            </w:pPr>
          </w:p>
        </w:tc>
      </w:tr>
      <w:tr w14:paraId="47BA8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468" w:type="dxa"/>
            <w:noWrap w:val="0"/>
            <w:vAlign w:val="center"/>
          </w:tcPr>
          <w:p w14:paraId="56C4ABB4">
            <w:pPr>
              <w:spacing w:before="0" w:line="19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合计</w:t>
            </w:r>
          </w:p>
        </w:tc>
        <w:tc>
          <w:tcPr>
            <w:tcW w:w="535" w:type="dxa"/>
            <w:noWrap w:val="0"/>
            <w:vAlign w:val="center"/>
          </w:tcPr>
          <w:p w14:paraId="0B28B37A">
            <w:pPr>
              <w:pStyle w:val="15"/>
              <w:jc w:val="center"/>
              <w:rPr>
                <w:color w:val="auto"/>
                <w:highlight w:val="none"/>
              </w:rPr>
            </w:pPr>
          </w:p>
        </w:tc>
        <w:tc>
          <w:tcPr>
            <w:tcW w:w="578" w:type="dxa"/>
            <w:noWrap w:val="0"/>
            <w:vAlign w:val="center"/>
          </w:tcPr>
          <w:p w14:paraId="678A8F64">
            <w:pPr>
              <w:pStyle w:val="15"/>
              <w:jc w:val="center"/>
              <w:rPr>
                <w:color w:val="auto"/>
                <w:highlight w:val="none"/>
              </w:rPr>
            </w:pPr>
          </w:p>
        </w:tc>
        <w:tc>
          <w:tcPr>
            <w:tcW w:w="556" w:type="dxa"/>
            <w:noWrap w:val="0"/>
            <w:vAlign w:val="center"/>
          </w:tcPr>
          <w:p w14:paraId="78CAE652">
            <w:pPr>
              <w:pStyle w:val="15"/>
              <w:jc w:val="center"/>
              <w:rPr>
                <w:color w:val="auto"/>
                <w:highlight w:val="none"/>
              </w:rPr>
            </w:pPr>
          </w:p>
        </w:tc>
        <w:tc>
          <w:tcPr>
            <w:tcW w:w="502" w:type="dxa"/>
            <w:noWrap w:val="0"/>
            <w:vAlign w:val="center"/>
          </w:tcPr>
          <w:p w14:paraId="3E9D6F80">
            <w:pPr>
              <w:pStyle w:val="15"/>
              <w:jc w:val="center"/>
              <w:rPr>
                <w:color w:val="auto"/>
                <w:highlight w:val="none"/>
              </w:rPr>
            </w:pPr>
          </w:p>
        </w:tc>
        <w:tc>
          <w:tcPr>
            <w:tcW w:w="524" w:type="dxa"/>
            <w:noWrap w:val="0"/>
            <w:vAlign w:val="center"/>
          </w:tcPr>
          <w:p w14:paraId="20AE9C13">
            <w:pPr>
              <w:pStyle w:val="15"/>
              <w:jc w:val="center"/>
              <w:rPr>
                <w:color w:val="auto"/>
                <w:highlight w:val="none"/>
              </w:rPr>
            </w:pPr>
          </w:p>
        </w:tc>
        <w:tc>
          <w:tcPr>
            <w:tcW w:w="600" w:type="dxa"/>
            <w:noWrap w:val="0"/>
            <w:vAlign w:val="center"/>
          </w:tcPr>
          <w:p w14:paraId="3FEB0DB3">
            <w:pPr>
              <w:pStyle w:val="15"/>
              <w:jc w:val="center"/>
              <w:rPr>
                <w:color w:val="auto"/>
                <w:highlight w:val="none"/>
              </w:rPr>
            </w:pPr>
          </w:p>
        </w:tc>
        <w:tc>
          <w:tcPr>
            <w:tcW w:w="567" w:type="dxa"/>
            <w:noWrap w:val="0"/>
            <w:vAlign w:val="center"/>
          </w:tcPr>
          <w:p w14:paraId="642E3FCB">
            <w:pPr>
              <w:pStyle w:val="15"/>
              <w:jc w:val="center"/>
              <w:rPr>
                <w:color w:val="auto"/>
                <w:highlight w:val="none"/>
              </w:rPr>
            </w:pPr>
          </w:p>
        </w:tc>
        <w:tc>
          <w:tcPr>
            <w:tcW w:w="556" w:type="dxa"/>
            <w:noWrap w:val="0"/>
            <w:vAlign w:val="center"/>
          </w:tcPr>
          <w:p w14:paraId="7840C885">
            <w:pPr>
              <w:pStyle w:val="15"/>
              <w:jc w:val="center"/>
              <w:rPr>
                <w:color w:val="auto"/>
                <w:highlight w:val="none"/>
              </w:rPr>
            </w:pPr>
          </w:p>
        </w:tc>
        <w:tc>
          <w:tcPr>
            <w:tcW w:w="910" w:type="dxa"/>
            <w:noWrap w:val="0"/>
            <w:vAlign w:val="center"/>
          </w:tcPr>
          <w:p w14:paraId="201B082B">
            <w:pPr>
              <w:pStyle w:val="15"/>
              <w:jc w:val="center"/>
              <w:rPr>
                <w:color w:val="auto"/>
                <w:highlight w:val="none"/>
              </w:rPr>
            </w:pPr>
          </w:p>
        </w:tc>
        <w:tc>
          <w:tcPr>
            <w:tcW w:w="940" w:type="dxa"/>
            <w:noWrap w:val="0"/>
            <w:vAlign w:val="center"/>
          </w:tcPr>
          <w:p w14:paraId="24506553">
            <w:pPr>
              <w:pStyle w:val="15"/>
              <w:jc w:val="center"/>
              <w:rPr>
                <w:color w:val="auto"/>
                <w:highlight w:val="none"/>
              </w:rPr>
            </w:pPr>
          </w:p>
        </w:tc>
        <w:tc>
          <w:tcPr>
            <w:tcW w:w="1772" w:type="dxa"/>
            <w:noWrap w:val="0"/>
            <w:vAlign w:val="center"/>
          </w:tcPr>
          <w:p w14:paraId="5E8F98FC">
            <w:pPr>
              <w:pStyle w:val="15"/>
              <w:jc w:val="center"/>
              <w:rPr>
                <w:color w:val="auto"/>
                <w:highlight w:val="none"/>
              </w:rPr>
            </w:pPr>
          </w:p>
        </w:tc>
        <w:tc>
          <w:tcPr>
            <w:tcW w:w="927" w:type="dxa"/>
            <w:noWrap w:val="0"/>
            <w:vAlign w:val="center"/>
          </w:tcPr>
          <w:p w14:paraId="60C0BC1A">
            <w:pPr>
              <w:pStyle w:val="15"/>
              <w:jc w:val="center"/>
              <w:rPr>
                <w:color w:val="auto"/>
                <w:highlight w:val="none"/>
              </w:rPr>
            </w:pPr>
          </w:p>
        </w:tc>
      </w:tr>
    </w:tbl>
    <w:p w14:paraId="23034447">
      <w:pPr>
        <w:pStyle w:val="3"/>
        <w:spacing w:before="0" w:line="240" w:lineRule="auto"/>
        <w:ind w:left="0"/>
        <w:rPr>
          <w:rFonts w:hint="default" w:ascii="宋体" w:hAnsi="宋体" w:eastAsia="宋体" w:cs="宋体"/>
          <w:color w:val="auto"/>
          <w:spacing w:val="8"/>
          <w:position w:val="10"/>
          <w:sz w:val="24"/>
          <w:szCs w:val="24"/>
          <w:highlight w:val="none"/>
          <w:lang w:val="en-US" w:eastAsia="zh-CN"/>
        </w:rPr>
      </w:pPr>
      <w:r>
        <w:rPr>
          <w:rFonts w:hint="eastAsia" w:ascii="宋体" w:hAnsi="宋体" w:eastAsia="宋体" w:cs="宋体"/>
          <w:color w:val="auto"/>
          <w:spacing w:val="3"/>
          <w:position w:val="29"/>
          <w:sz w:val="24"/>
          <w:szCs w:val="24"/>
          <w:highlight w:val="none"/>
        </w:rPr>
        <w:t>说明：供应商根据对账需求可增加表头内容，不得删减表头内</w:t>
      </w:r>
      <w:r>
        <w:rPr>
          <w:rFonts w:hint="eastAsia" w:ascii="宋体" w:hAnsi="宋体" w:eastAsia="宋体" w:cs="宋体"/>
          <w:color w:val="auto"/>
          <w:spacing w:val="2"/>
          <w:position w:val="29"/>
          <w:sz w:val="24"/>
          <w:szCs w:val="24"/>
          <w:highlight w:val="none"/>
        </w:rPr>
        <w:t>容。</w:t>
      </w:r>
    </w:p>
    <w:p w14:paraId="3BF9D0E6">
      <w:pPr>
        <w:pStyle w:val="8"/>
        <w:ind w:left="0" w:leftChars="0" w:firstLine="0" w:firstLineChars="0"/>
        <w:rPr>
          <w:rFonts w:hint="eastAsia" w:hAnsi="宋体" w:cs="宋体"/>
          <w:color w:val="auto"/>
          <w:spacing w:val="8"/>
          <w:position w:val="-1"/>
          <w:sz w:val="24"/>
          <w:szCs w:val="24"/>
          <w:highlight w:val="none"/>
          <w:lang w:eastAsia="zh-CN"/>
        </w:rPr>
      </w:pPr>
      <w:r>
        <w:rPr>
          <w:rFonts w:hint="eastAsia" w:ascii="宋体" w:hAnsi="宋体" w:eastAsia="宋体" w:cs="宋体"/>
          <w:color w:val="auto"/>
          <w:spacing w:val="-5"/>
          <w:position w:val="-1"/>
          <w:sz w:val="24"/>
          <w:szCs w:val="24"/>
          <w:highlight w:val="none"/>
          <w:lang w:val="en-US" w:eastAsia="zh-CN"/>
        </w:rPr>
        <w:t>收货单位对账人员签收</w:t>
      </w:r>
      <w:r>
        <w:rPr>
          <w:rFonts w:hint="eastAsia" w:ascii="宋体" w:hAnsi="宋体" w:cs="宋体"/>
          <w:color w:val="auto"/>
          <w:spacing w:val="-5"/>
          <w:position w:val="-1"/>
          <w:sz w:val="24"/>
          <w:szCs w:val="24"/>
          <w:highlight w:val="none"/>
          <w:lang w:val="en-US" w:eastAsia="zh-CN"/>
        </w:rPr>
        <w:t xml:space="preserve">：  </w:t>
      </w:r>
      <w:r>
        <w:rPr>
          <w:rFonts w:hint="eastAsia" w:hAnsi="宋体" w:cs="宋体"/>
          <w:color w:val="auto"/>
          <w:spacing w:val="-5"/>
          <w:position w:val="-1"/>
          <w:sz w:val="24"/>
          <w:szCs w:val="24"/>
          <w:highlight w:val="none"/>
          <w:lang w:val="en-US" w:eastAsia="zh-CN"/>
        </w:rPr>
        <w:t xml:space="preserve">                          </w:t>
      </w:r>
      <w:r>
        <w:rPr>
          <w:rFonts w:hint="eastAsia" w:ascii="宋体" w:hAnsi="宋体" w:eastAsia="宋体" w:cs="宋体"/>
          <w:color w:val="auto"/>
          <w:spacing w:val="8"/>
          <w:position w:val="-1"/>
          <w:sz w:val="24"/>
          <w:szCs w:val="24"/>
          <w:highlight w:val="none"/>
        </w:rPr>
        <w:t>供货单位签章</w:t>
      </w:r>
      <w:r>
        <w:rPr>
          <w:rFonts w:hint="eastAsia" w:hAnsi="宋体" w:cs="宋体"/>
          <w:color w:val="auto"/>
          <w:spacing w:val="8"/>
          <w:position w:val="-1"/>
          <w:sz w:val="24"/>
          <w:szCs w:val="24"/>
          <w:highlight w:val="none"/>
          <w:lang w:eastAsia="zh-CN"/>
        </w:rPr>
        <w:t>：</w:t>
      </w:r>
    </w:p>
    <w:p w14:paraId="7A163289">
      <w:pPr>
        <w:pStyle w:val="8"/>
        <w:ind w:firstLine="0" w:firstLineChars="0"/>
        <w:rPr>
          <w:rFonts w:hint="eastAsia" w:hAnsi="宋体" w:cs="宋体"/>
          <w:color w:val="auto"/>
          <w:spacing w:val="8"/>
          <w:position w:val="-1"/>
          <w:sz w:val="24"/>
          <w:szCs w:val="24"/>
          <w:highlight w:val="none"/>
          <w:lang w:val="en-US" w:eastAsia="zh-CN"/>
        </w:rPr>
      </w:pPr>
      <w:r>
        <w:rPr>
          <w:rFonts w:hint="eastAsia" w:hAnsi="宋体" w:cs="宋体"/>
          <w:color w:val="auto"/>
          <w:spacing w:val="8"/>
          <w:position w:val="-1"/>
          <w:sz w:val="24"/>
          <w:szCs w:val="24"/>
          <w:highlight w:val="none"/>
          <w:lang w:val="en-US" w:eastAsia="zh-CN"/>
        </w:rPr>
        <w:t>日期：                                   日期：</w:t>
      </w:r>
    </w:p>
    <w:p w14:paraId="59E15224">
      <w:pPr>
        <w:pStyle w:val="8"/>
        <w:ind w:firstLine="0" w:firstLineChars="0"/>
        <w:rPr>
          <w:rFonts w:hint="eastAsia" w:hAnsi="宋体" w:cs="宋体"/>
          <w:color w:val="auto"/>
          <w:spacing w:val="8"/>
          <w:position w:val="-1"/>
          <w:sz w:val="24"/>
          <w:szCs w:val="24"/>
          <w:highlight w:val="none"/>
          <w:lang w:val="en-US" w:eastAsia="zh-CN"/>
        </w:rPr>
      </w:pPr>
    </w:p>
    <w:p w14:paraId="2C3506B1">
      <w:pPr>
        <w:pStyle w:val="8"/>
        <w:ind w:firstLine="0" w:firstLineChars="0"/>
        <w:rPr>
          <w:rFonts w:hint="eastAsia" w:hAnsi="宋体" w:cs="宋体"/>
          <w:color w:val="auto"/>
          <w:spacing w:val="8"/>
          <w:position w:val="-1"/>
          <w:sz w:val="24"/>
          <w:szCs w:val="24"/>
          <w:highlight w:val="none"/>
          <w:lang w:val="en-US" w:eastAsia="zh-CN"/>
        </w:rPr>
      </w:pPr>
    </w:p>
    <w:p w14:paraId="27584429">
      <w:pPr>
        <w:pStyle w:val="8"/>
        <w:ind w:firstLine="0" w:firstLineChars="0"/>
        <w:rPr>
          <w:rFonts w:hint="eastAsia" w:hAnsi="宋体" w:cs="宋体"/>
          <w:color w:val="auto"/>
          <w:spacing w:val="8"/>
          <w:position w:val="-1"/>
          <w:sz w:val="24"/>
          <w:szCs w:val="24"/>
          <w:highlight w:val="none"/>
          <w:lang w:val="en-US" w:eastAsia="zh-CN"/>
        </w:rPr>
      </w:pPr>
    </w:p>
    <w:p w14:paraId="3349D5B7">
      <w:pPr>
        <w:pStyle w:val="8"/>
        <w:ind w:firstLine="0" w:firstLineChars="0"/>
        <w:rPr>
          <w:rFonts w:hint="eastAsia" w:hAnsi="宋体" w:cs="宋体"/>
          <w:color w:val="auto"/>
          <w:spacing w:val="8"/>
          <w:position w:val="-1"/>
          <w:sz w:val="24"/>
          <w:szCs w:val="24"/>
          <w:highlight w:val="none"/>
          <w:lang w:val="en-US" w:eastAsia="zh-CN"/>
        </w:rPr>
      </w:pPr>
    </w:p>
    <w:p w14:paraId="486866C0">
      <w:pPr>
        <w:pStyle w:val="8"/>
        <w:ind w:firstLine="0" w:firstLineChars="0"/>
        <w:rPr>
          <w:rFonts w:hint="eastAsia" w:hAnsi="宋体" w:cs="宋体"/>
          <w:color w:val="auto"/>
          <w:spacing w:val="8"/>
          <w:position w:val="-1"/>
          <w:sz w:val="24"/>
          <w:szCs w:val="24"/>
          <w:highlight w:val="none"/>
          <w:lang w:val="en-US" w:eastAsia="zh-CN"/>
        </w:rPr>
      </w:pPr>
    </w:p>
    <w:p w14:paraId="0FAB6514">
      <w:pPr>
        <w:pStyle w:val="8"/>
        <w:ind w:firstLine="0" w:firstLineChars="0"/>
        <w:rPr>
          <w:rFonts w:hint="eastAsia" w:hAnsi="宋体" w:cs="宋体"/>
          <w:color w:val="auto"/>
          <w:spacing w:val="8"/>
          <w:position w:val="-1"/>
          <w:sz w:val="24"/>
          <w:szCs w:val="24"/>
          <w:highlight w:val="none"/>
          <w:lang w:val="en-US" w:eastAsia="zh-CN"/>
        </w:rPr>
      </w:pPr>
    </w:p>
    <w:p w14:paraId="6FE3F28F">
      <w:pPr>
        <w:pStyle w:val="8"/>
        <w:ind w:firstLine="0" w:firstLineChars="0"/>
        <w:rPr>
          <w:rFonts w:hint="eastAsia" w:hAnsi="宋体" w:cs="宋体"/>
          <w:color w:val="auto"/>
          <w:spacing w:val="8"/>
          <w:position w:val="-1"/>
          <w:sz w:val="24"/>
          <w:szCs w:val="24"/>
          <w:highlight w:val="none"/>
          <w:lang w:val="en-US" w:eastAsia="zh-CN"/>
        </w:rPr>
      </w:pPr>
    </w:p>
    <w:p w14:paraId="12148A00">
      <w:pPr>
        <w:pStyle w:val="8"/>
        <w:ind w:firstLine="0" w:firstLineChars="0"/>
        <w:rPr>
          <w:rFonts w:hint="eastAsia" w:hAnsi="宋体" w:cs="宋体"/>
          <w:color w:val="auto"/>
          <w:spacing w:val="8"/>
          <w:position w:val="-1"/>
          <w:sz w:val="24"/>
          <w:szCs w:val="24"/>
          <w:highlight w:val="none"/>
          <w:lang w:val="en-US" w:eastAsia="zh-CN"/>
        </w:rPr>
      </w:pPr>
    </w:p>
    <w:p w14:paraId="07435940">
      <w:pPr>
        <w:pStyle w:val="8"/>
        <w:ind w:firstLine="0" w:firstLineChars="0"/>
        <w:rPr>
          <w:rFonts w:hint="eastAsia" w:hAnsi="宋体" w:cs="宋体"/>
          <w:color w:val="auto"/>
          <w:spacing w:val="8"/>
          <w:position w:val="-1"/>
          <w:sz w:val="24"/>
          <w:szCs w:val="24"/>
          <w:highlight w:val="none"/>
          <w:lang w:val="en-US" w:eastAsia="zh-CN"/>
        </w:rPr>
      </w:pPr>
    </w:p>
    <w:p w14:paraId="17E7A560">
      <w:pPr>
        <w:pStyle w:val="8"/>
        <w:ind w:firstLine="0" w:firstLineChars="0"/>
        <w:rPr>
          <w:rFonts w:hint="eastAsia" w:hAnsi="宋体" w:cs="宋体"/>
          <w:color w:val="auto"/>
          <w:spacing w:val="8"/>
          <w:position w:val="-1"/>
          <w:sz w:val="24"/>
          <w:szCs w:val="24"/>
          <w:highlight w:val="none"/>
          <w:lang w:val="en-US" w:eastAsia="zh-CN"/>
        </w:rPr>
      </w:pPr>
    </w:p>
    <w:p w14:paraId="3224C9A2">
      <w:pPr>
        <w:pStyle w:val="8"/>
        <w:ind w:firstLine="0" w:firstLineChars="0"/>
        <w:rPr>
          <w:rFonts w:hint="eastAsia" w:hAnsi="宋体" w:cs="宋体"/>
          <w:color w:val="auto"/>
          <w:spacing w:val="8"/>
          <w:position w:val="-1"/>
          <w:sz w:val="24"/>
          <w:szCs w:val="24"/>
          <w:highlight w:val="none"/>
          <w:lang w:val="en-US" w:eastAsia="zh-CN"/>
        </w:rPr>
      </w:pPr>
    </w:p>
    <w:p w14:paraId="2A4D2BFA">
      <w:pPr>
        <w:jc w:val="both"/>
        <w:rPr>
          <w:rFonts w:hint="eastAsia" w:ascii="仿宋" w:hAnsi="仿宋" w:eastAsia="仿宋" w:cs="仿宋"/>
          <w:color w:val="auto"/>
          <w:sz w:val="44"/>
          <w:szCs w:val="44"/>
          <w:highlight w:val="none"/>
          <w:lang w:val="en-US" w:eastAsia="zh-CN"/>
        </w:rPr>
      </w:pPr>
    </w:p>
    <w:p w14:paraId="18EE7F08">
      <w:pPr>
        <w:jc w:val="both"/>
        <w:rPr>
          <w:rFonts w:hint="eastAsia" w:ascii="仿宋" w:hAnsi="仿宋" w:eastAsia="仿宋" w:cs="仿宋"/>
          <w:color w:val="auto"/>
          <w:sz w:val="44"/>
          <w:szCs w:val="44"/>
          <w:highlight w:val="none"/>
          <w:lang w:val="en-US" w:eastAsia="zh-CN"/>
        </w:rPr>
      </w:pPr>
    </w:p>
    <w:p w14:paraId="46E69533">
      <w:pPr>
        <w:jc w:val="both"/>
        <w:rPr>
          <w:rFonts w:hint="eastAsia" w:ascii="仿宋" w:hAnsi="仿宋" w:eastAsia="仿宋" w:cs="仿宋"/>
          <w:color w:val="auto"/>
          <w:sz w:val="44"/>
          <w:szCs w:val="44"/>
          <w:highlight w:val="none"/>
          <w:lang w:val="en-US" w:eastAsia="zh-CN"/>
        </w:rPr>
      </w:pPr>
    </w:p>
    <w:p w14:paraId="3E46DA8C">
      <w:pPr>
        <w:jc w:val="right"/>
        <w:rPr>
          <w:rFonts w:hint="eastAsia" w:eastAsia="宋体"/>
          <w:color w:val="auto"/>
          <w:sz w:val="36"/>
          <w:szCs w:val="36"/>
          <w:highlight w:val="none"/>
          <w:lang w:val="en-US" w:eastAsia="zh-CN"/>
        </w:rPr>
      </w:pPr>
      <w:r>
        <w:rPr>
          <w:rFonts w:hint="eastAsia" w:ascii="仿宋" w:hAnsi="仿宋" w:eastAsia="仿宋" w:cs="仿宋"/>
          <w:color w:val="auto"/>
          <w:sz w:val="44"/>
          <w:szCs w:val="44"/>
          <w:highlight w:val="none"/>
          <w:lang w:val="en-US" w:eastAsia="zh-CN"/>
        </w:rPr>
        <w:t>附件八</w:t>
      </w:r>
    </w:p>
    <w:p w14:paraId="4E7E9B91">
      <w:pPr>
        <w:jc w:val="center"/>
        <w:rPr>
          <w:color w:val="auto"/>
          <w:highlight w:val="none"/>
        </w:rPr>
      </w:pPr>
      <w:r>
        <w:rPr>
          <w:color w:val="auto"/>
          <w:sz w:val="44"/>
          <w:highlight w:val="none"/>
        </w:rPr>
        <mc:AlternateContent>
          <mc:Choice Requires="wps">
            <w:drawing>
              <wp:anchor distT="0" distB="0" distL="114300" distR="114300" simplePos="0" relativeHeight="251662336" behindDoc="0" locked="0" layoutInCell="1" allowOverlap="1">
                <wp:simplePos x="0" y="0"/>
                <wp:positionH relativeFrom="column">
                  <wp:posOffset>8208645</wp:posOffset>
                </wp:positionH>
                <wp:positionV relativeFrom="paragraph">
                  <wp:posOffset>407035</wp:posOffset>
                </wp:positionV>
                <wp:extent cx="1208405" cy="3600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208405" cy="360045"/>
                        </a:xfrm>
                        <a:prstGeom prst="rect">
                          <a:avLst/>
                        </a:prstGeom>
                        <a:noFill/>
                        <a:ln w="6350">
                          <a:noFill/>
                        </a:ln>
                        <a:effectLst/>
                      </wps:spPr>
                      <wps:txbx>
                        <w:txbxContent>
                          <w:p w14:paraId="13761946">
                            <w:pPr>
                              <w:rPr>
                                <w:b/>
                                <w:bCs/>
                                <w:sz w:val="30"/>
                                <w:szCs w:val="3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6.35pt;margin-top:32.05pt;height:28.35pt;width:95.15pt;z-index:251662336;mso-width-relative:page;mso-height-relative:page;" filled="f" stroked="f" coordsize="21600,21600" o:gfxdata="UEsDBAoAAAAAAIdO4kAAAAAAAAAAAAAAAAAEAAAAZHJzL1BLAwQUAAAACACHTuJA/MpncNsAAAAM&#10;AQAADwAAAGRycy9kb3ducmV2LnhtbE2PzU7DMBCE70i8g7VI3KidUNoQ4lQoUoWE4NDSS29OvE0i&#10;7HWI3R94epwTHEczmvmmWF2sYSccfe9IQjITwJAap3tqJew+1ncZMB8UaWUcoYRv9LAqr68KlWt3&#10;pg2etqFlsYR8riR0IQw5577p0Co/cwNS9A5utCpEObZcj+ocy63hqRALblVPcaFTA1YdNp/bo5Xw&#10;Wq3f1aZObfZjqpe3w/Pwtds/SHl7k4gnYAEv4S8ME35EhzIy1e5I2jMTdfqYLmNWwmKeAJsS8+w+&#10;3qsnT2TAy4L/P1H+AlBLAwQUAAAACACHTuJAgKdBfUECAAB0BAAADgAAAGRycy9lMm9Eb2MueG1s&#10;rVTBjtMwEL0j8Q+W7zRpty1L1XRVtipCWrErFcTZdewmku0xttukfAD8AScu3Pmufgdjp+1WC4c9&#10;cHHGnvGbeW/Gmd60WpGdcL4GU9B+L6dEGA5lbTYF/fRx+eqaEh+YKZkCIwq6F57ezF6+mDZ2IgZQ&#10;gSqFIwhi/KSxBa1CsJMs87wSmvkeWGHQKcFpFnDrNlnpWIPoWmWDPB9nDbjSOuDCezxddE56RHTP&#10;AQQpay4WwLdamNChOqFYQEq+qq2ns1StlIKHeym9CEQVFJmGtGIStNdxzWZTNtk4ZquaH0tgzynh&#10;CSfNaoNJz1ALFhjZuvovKF1zBx5k6HHQWUckKYIs+vkTbVYVsyJxQam9PYvu/x8s/7B7cKQuCzqi&#10;xDCNDT/8+H74+fvw6xsZRXka6ycYtbIYF9q30OLQnM49HkbWrXQ6fpEPQT+Kuz+LK9pAeLw0yK+H&#10;OWbh6Lsa5/kwwWePt63z4Z0ATaJRUIfNS5qy3Z0PWAmGnkJiMgPLWqnUQGVIU9Dx1ShPF84evKFM&#10;jBVpFI4wkVFXebRCu26PNNdQ7pGlg25MvOXLGku5Yz48MIdzgcTw5YR7XKQCTAlHi5IK3Nd/ncd4&#10;bBd6KWlwzgrqv2yZE5So9wYb+aY/HMbBTJvh6PUAN+7Ss770mK2+BRzlPr5Ry5MZ44M6mdKB/owP&#10;bB6zoosZjrkLGk7mbeimHx8oF/N5CsJRtCzcmZXlEboTd74NIOuke5Sp0wabEDc4jKkdx4cTp/1y&#10;n6Iefxaz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zKZ3DbAAAADAEAAA8AAAAAAAAAAQAgAAAA&#10;IgAAAGRycy9kb3ducmV2LnhtbFBLAQIUABQAAAAIAIdO4kCAp0F9QQIAAHQEAAAOAAAAAAAAAAEA&#10;IAAAACoBAABkcnMvZTJvRG9jLnhtbFBLBQYAAAAABgAGAFkBAADdBQAAAAA=&#10;">
                <v:fill on="f" focussize="0,0"/>
                <v:stroke on="f" weight="0.5pt"/>
                <v:imagedata o:title=""/>
                <o:lock v:ext="edit" aspectratio="f"/>
                <v:textbox>
                  <w:txbxContent>
                    <w:p w14:paraId="13761946">
                      <w:pPr>
                        <w:rPr>
                          <w:b/>
                          <w:bCs/>
                          <w:sz w:val="30"/>
                          <w:szCs w:val="30"/>
                        </w:rPr>
                      </w:pPr>
                    </w:p>
                  </w:txbxContent>
                </v:textbox>
              </v:shape>
            </w:pict>
          </mc:Fallback>
        </mc:AlternateContent>
      </w:r>
      <w:r>
        <w:rPr>
          <w:rFonts w:hint="eastAsia"/>
          <w:color w:val="auto"/>
          <w:sz w:val="44"/>
          <w:szCs w:val="44"/>
          <w:highlight w:val="none"/>
        </w:rPr>
        <w:drawing>
          <wp:inline distT="0" distB="0" distL="114300" distR="114300">
            <wp:extent cx="5977255" cy="673735"/>
            <wp:effectExtent l="0" t="0" r="4445" b="12065"/>
            <wp:docPr id="3" name="图片 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LOGO-1"/>
                    <pic:cNvPicPr>
                      <a:picLocks noChangeAspect="1"/>
                    </pic:cNvPicPr>
                  </pic:nvPicPr>
                  <pic:blipFill>
                    <a:blip r:embed="rId11">
                      <a:clrChange>
                        <a:clrFrom>
                          <a:srgbClr val="FFFFFF"/>
                        </a:clrFrom>
                        <a:clrTo>
                          <a:srgbClr val="FFFFFF">
                            <a:alpha val="0"/>
                          </a:srgbClr>
                        </a:clrTo>
                      </a:clrChange>
                    </a:blip>
                    <a:stretch>
                      <a:fillRect/>
                    </a:stretch>
                  </pic:blipFill>
                  <pic:spPr>
                    <a:xfrm>
                      <a:off x="0" y="0"/>
                      <a:ext cx="5977255" cy="673735"/>
                    </a:xfrm>
                    <a:prstGeom prst="rect">
                      <a:avLst/>
                    </a:prstGeom>
                    <a:noFill/>
                    <a:ln>
                      <a:noFill/>
                    </a:ln>
                  </pic:spPr>
                </pic:pic>
              </a:graphicData>
            </a:graphic>
          </wp:inline>
        </w:drawing>
      </w:r>
    </w:p>
    <w:p w14:paraId="2DA19FB2">
      <w:pPr>
        <w:spacing w:line="480" w:lineRule="exact"/>
        <w:jc w:val="center"/>
        <w:rPr>
          <w:color w:val="auto"/>
          <w:sz w:val="36"/>
          <w:szCs w:val="36"/>
          <w:highlight w:val="none"/>
        </w:rPr>
      </w:pPr>
      <w:r>
        <w:rPr>
          <w:rFonts w:hint="eastAsia"/>
          <w:color w:val="auto"/>
          <w:sz w:val="36"/>
          <w:szCs w:val="36"/>
          <w:highlight w:val="none"/>
        </w:rPr>
        <w:t>物 料 申 购 单</w:t>
      </w:r>
    </w:p>
    <w:p w14:paraId="585B18FC">
      <w:pPr>
        <w:jc w:val="left"/>
        <w:rPr>
          <w:color w:val="auto"/>
          <w:highlight w:val="none"/>
        </w:rPr>
      </w:pPr>
      <w:r>
        <w:rPr>
          <w:rFonts w:hint="eastAsia"/>
          <w:color w:val="auto"/>
          <w:highlight w:val="none"/>
        </w:rPr>
        <w:t xml:space="preserve">工程名称：     </w:t>
      </w: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日期 ：     </w:t>
      </w:r>
      <w:r>
        <w:rPr>
          <w:rFonts w:hint="eastAsia"/>
          <w:color w:val="auto"/>
          <w:highlight w:val="none"/>
          <w:lang w:val="en-US" w:eastAsia="zh-CN"/>
        </w:rPr>
        <w:t xml:space="preserve">202 </w:t>
      </w:r>
      <w:r>
        <w:rPr>
          <w:rFonts w:hint="eastAsia"/>
          <w:color w:val="auto"/>
          <w:highlight w:val="none"/>
        </w:rPr>
        <w:t xml:space="preserve">年 </w:t>
      </w:r>
      <w:r>
        <w:rPr>
          <w:rFonts w:hint="eastAsia"/>
          <w:color w:val="auto"/>
          <w:highlight w:val="none"/>
          <w:lang w:val="en-US" w:eastAsia="zh-CN"/>
        </w:rPr>
        <w:t xml:space="preserve"> </w:t>
      </w:r>
      <w:r>
        <w:rPr>
          <w:rFonts w:hint="eastAsia"/>
          <w:color w:val="auto"/>
          <w:highlight w:val="none"/>
        </w:rPr>
        <w:t xml:space="preserve">月  日 </w:t>
      </w:r>
      <w:r>
        <w:rPr>
          <w:rFonts w:hint="eastAsia"/>
          <w:color w:val="auto"/>
          <w:highlight w:val="none"/>
          <w:lang w:val="en-US" w:eastAsia="zh-CN"/>
        </w:rPr>
        <w:t xml:space="preserve">   </w:t>
      </w:r>
      <w:r>
        <w:rPr>
          <w:rFonts w:hint="eastAsia"/>
          <w:color w:val="auto"/>
          <w:highlight w:val="none"/>
        </w:rPr>
        <w:t>第</w:t>
      </w:r>
      <w:r>
        <w:rPr>
          <w:rFonts w:hint="eastAsia"/>
          <w:color w:val="auto"/>
          <w:highlight w:val="none"/>
          <w:lang w:val="en-US" w:eastAsia="zh-CN"/>
        </w:rPr>
        <w:t xml:space="preserve">   </w:t>
      </w:r>
      <w:r>
        <w:rPr>
          <w:rFonts w:hint="eastAsia"/>
          <w:color w:val="auto"/>
          <w:highlight w:val="none"/>
        </w:rPr>
        <w:t xml:space="preserve">页                              </w:t>
      </w:r>
    </w:p>
    <w:tbl>
      <w:tblPr>
        <w:tblStyle w:val="10"/>
        <w:tblpPr w:leftFromText="180" w:rightFromText="180" w:vertAnchor="text" w:horzAnchor="page" w:tblpX="1365" w:tblpY="308"/>
        <w:tblOverlap w:val="never"/>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603"/>
        <w:gridCol w:w="1560"/>
        <w:gridCol w:w="1335"/>
        <w:gridCol w:w="1515"/>
        <w:gridCol w:w="1632"/>
      </w:tblGrid>
      <w:tr w14:paraId="4C3C0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vAlign w:val="center"/>
          </w:tcPr>
          <w:p w14:paraId="14CD226C">
            <w:pPr>
              <w:jc w:val="center"/>
              <w:rPr>
                <w:rFonts w:eastAsiaTheme="minorEastAsia"/>
                <w:color w:val="auto"/>
                <w:highlight w:val="none"/>
              </w:rPr>
            </w:pPr>
            <w:r>
              <w:rPr>
                <w:rFonts w:hint="eastAsia"/>
                <w:color w:val="auto"/>
                <w:highlight w:val="none"/>
              </w:rPr>
              <w:t>序号</w:t>
            </w:r>
          </w:p>
        </w:tc>
        <w:tc>
          <w:tcPr>
            <w:tcW w:w="2603" w:type="dxa"/>
            <w:vAlign w:val="center"/>
          </w:tcPr>
          <w:p w14:paraId="569D7F41">
            <w:pPr>
              <w:jc w:val="center"/>
              <w:rPr>
                <w:color w:val="auto"/>
                <w:highlight w:val="none"/>
              </w:rPr>
            </w:pPr>
            <w:r>
              <w:rPr>
                <w:rFonts w:hint="eastAsia"/>
                <w:color w:val="auto"/>
                <w:highlight w:val="none"/>
              </w:rPr>
              <w:t>材料名称/规格</w:t>
            </w:r>
          </w:p>
        </w:tc>
        <w:tc>
          <w:tcPr>
            <w:tcW w:w="1560" w:type="dxa"/>
            <w:vAlign w:val="center"/>
          </w:tcPr>
          <w:p w14:paraId="130D2868">
            <w:pPr>
              <w:jc w:val="center"/>
              <w:rPr>
                <w:color w:val="auto"/>
                <w:highlight w:val="none"/>
              </w:rPr>
            </w:pPr>
            <w:r>
              <w:rPr>
                <w:rFonts w:hint="eastAsia"/>
                <w:color w:val="auto"/>
                <w:highlight w:val="none"/>
              </w:rPr>
              <w:t>数量/单位</w:t>
            </w:r>
          </w:p>
        </w:tc>
        <w:tc>
          <w:tcPr>
            <w:tcW w:w="1335" w:type="dxa"/>
            <w:vAlign w:val="center"/>
          </w:tcPr>
          <w:p w14:paraId="1E223E2B">
            <w:pPr>
              <w:jc w:val="center"/>
              <w:rPr>
                <w:color w:val="auto"/>
                <w:highlight w:val="none"/>
              </w:rPr>
            </w:pPr>
            <w:r>
              <w:rPr>
                <w:rFonts w:hint="eastAsia"/>
                <w:color w:val="auto"/>
                <w:highlight w:val="none"/>
              </w:rPr>
              <w:t>到货日期</w:t>
            </w:r>
          </w:p>
        </w:tc>
        <w:tc>
          <w:tcPr>
            <w:tcW w:w="1515" w:type="dxa"/>
            <w:vAlign w:val="center"/>
          </w:tcPr>
          <w:p w14:paraId="3E2FDD8C">
            <w:pPr>
              <w:jc w:val="center"/>
              <w:rPr>
                <w:color w:val="auto"/>
                <w:highlight w:val="none"/>
              </w:rPr>
            </w:pPr>
            <w:r>
              <w:rPr>
                <w:rFonts w:hint="eastAsia"/>
                <w:color w:val="auto"/>
                <w:highlight w:val="none"/>
              </w:rPr>
              <w:t>质量要求</w:t>
            </w:r>
          </w:p>
        </w:tc>
        <w:tc>
          <w:tcPr>
            <w:tcW w:w="1632" w:type="dxa"/>
            <w:vAlign w:val="center"/>
          </w:tcPr>
          <w:p w14:paraId="621B29D4">
            <w:pPr>
              <w:jc w:val="center"/>
              <w:rPr>
                <w:color w:val="auto"/>
                <w:highlight w:val="none"/>
              </w:rPr>
            </w:pPr>
            <w:r>
              <w:rPr>
                <w:rFonts w:hint="eastAsia"/>
                <w:color w:val="auto"/>
                <w:highlight w:val="none"/>
              </w:rPr>
              <w:t>用途等备注</w:t>
            </w:r>
          </w:p>
        </w:tc>
      </w:tr>
      <w:tr w14:paraId="1FD81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80" w:type="dxa"/>
            <w:vAlign w:val="center"/>
          </w:tcPr>
          <w:p w14:paraId="1C977CE5">
            <w:pPr>
              <w:jc w:val="center"/>
              <w:rPr>
                <w:rFonts w:hint="eastAsia" w:eastAsia="宋体"/>
                <w:color w:val="auto"/>
                <w:highlight w:val="none"/>
                <w:lang w:val="en-US" w:eastAsia="zh-CN"/>
              </w:rPr>
            </w:pPr>
            <w:r>
              <w:rPr>
                <w:rFonts w:hint="eastAsia"/>
                <w:color w:val="auto"/>
                <w:highlight w:val="none"/>
                <w:lang w:val="en-US" w:eastAsia="zh-CN"/>
              </w:rPr>
              <w:t>1</w:t>
            </w:r>
          </w:p>
        </w:tc>
        <w:tc>
          <w:tcPr>
            <w:tcW w:w="2603" w:type="dxa"/>
            <w:vAlign w:val="center"/>
          </w:tcPr>
          <w:p w14:paraId="47205C3B">
            <w:pPr>
              <w:tabs>
                <w:tab w:val="left" w:pos="910"/>
              </w:tabs>
              <w:jc w:val="center"/>
              <w:rPr>
                <w:rFonts w:hint="default" w:ascii="宋体" w:hAnsi="宋体" w:eastAsia="宋体" w:cs="宋体"/>
                <w:color w:val="auto"/>
                <w:kern w:val="2"/>
                <w:sz w:val="21"/>
                <w:szCs w:val="24"/>
                <w:highlight w:val="none"/>
                <w:lang w:val="en-US" w:eastAsia="zh-CN" w:bidi="ar-SA"/>
              </w:rPr>
            </w:pPr>
          </w:p>
        </w:tc>
        <w:tc>
          <w:tcPr>
            <w:tcW w:w="1560" w:type="dxa"/>
            <w:vAlign w:val="center"/>
          </w:tcPr>
          <w:p w14:paraId="76896BFB">
            <w:pPr>
              <w:jc w:val="center"/>
              <w:rPr>
                <w:rFonts w:hint="default" w:eastAsia="宋体"/>
                <w:color w:val="auto"/>
                <w:highlight w:val="none"/>
                <w:lang w:val="en-US" w:eastAsia="zh-CN"/>
              </w:rPr>
            </w:pPr>
          </w:p>
        </w:tc>
        <w:tc>
          <w:tcPr>
            <w:tcW w:w="1335" w:type="dxa"/>
            <w:vAlign w:val="center"/>
          </w:tcPr>
          <w:p w14:paraId="647353DD">
            <w:pPr>
              <w:jc w:val="center"/>
              <w:rPr>
                <w:rFonts w:hint="default" w:eastAsia="宋体"/>
                <w:color w:val="auto"/>
                <w:highlight w:val="none"/>
                <w:lang w:val="en-US" w:eastAsia="zh-CN"/>
              </w:rPr>
            </w:pPr>
          </w:p>
        </w:tc>
        <w:tc>
          <w:tcPr>
            <w:tcW w:w="1515" w:type="dxa"/>
            <w:vAlign w:val="center"/>
          </w:tcPr>
          <w:p w14:paraId="6AFDA774">
            <w:pPr>
              <w:jc w:val="center"/>
              <w:rPr>
                <w:rFonts w:hint="default" w:eastAsia="宋体"/>
                <w:color w:val="auto"/>
                <w:highlight w:val="none"/>
                <w:lang w:val="en-US" w:eastAsia="zh-CN"/>
              </w:rPr>
            </w:pPr>
          </w:p>
        </w:tc>
        <w:tc>
          <w:tcPr>
            <w:tcW w:w="1632" w:type="dxa"/>
            <w:vMerge w:val="restart"/>
            <w:vAlign w:val="center"/>
          </w:tcPr>
          <w:p w14:paraId="11D638E7">
            <w:pPr>
              <w:jc w:val="both"/>
              <w:rPr>
                <w:rFonts w:hint="default" w:ascii="Calibri" w:hAnsi="Calibri" w:eastAsia="宋体" w:cs="宋体"/>
                <w:color w:val="auto"/>
                <w:kern w:val="2"/>
                <w:sz w:val="21"/>
                <w:szCs w:val="24"/>
                <w:highlight w:val="none"/>
                <w:lang w:val="en-US" w:eastAsia="zh-CN" w:bidi="ar-SA"/>
              </w:rPr>
            </w:pPr>
          </w:p>
        </w:tc>
      </w:tr>
      <w:tr w14:paraId="54516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80" w:type="dxa"/>
            <w:vAlign w:val="center"/>
          </w:tcPr>
          <w:p w14:paraId="3FA0D2F1">
            <w:pPr>
              <w:jc w:val="center"/>
              <w:rPr>
                <w:rFonts w:hint="eastAsia" w:eastAsia="宋体"/>
                <w:color w:val="auto"/>
                <w:highlight w:val="none"/>
                <w:lang w:val="en-US" w:eastAsia="zh-CN"/>
              </w:rPr>
            </w:pPr>
            <w:r>
              <w:rPr>
                <w:rFonts w:hint="eastAsia"/>
                <w:color w:val="auto"/>
                <w:highlight w:val="none"/>
                <w:lang w:val="en-US" w:eastAsia="zh-CN"/>
              </w:rPr>
              <w:t>2</w:t>
            </w:r>
          </w:p>
        </w:tc>
        <w:tc>
          <w:tcPr>
            <w:tcW w:w="2603" w:type="dxa"/>
            <w:vAlign w:val="center"/>
          </w:tcPr>
          <w:p w14:paraId="1D343200">
            <w:pPr>
              <w:jc w:val="center"/>
              <w:rPr>
                <w:rFonts w:hint="default" w:ascii="宋体" w:hAnsi="宋体" w:eastAsia="宋体" w:cs="宋体"/>
                <w:color w:val="auto"/>
                <w:kern w:val="2"/>
                <w:sz w:val="21"/>
                <w:szCs w:val="24"/>
                <w:highlight w:val="none"/>
                <w:lang w:val="en-US" w:eastAsia="zh-CN" w:bidi="ar-SA"/>
              </w:rPr>
            </w:pPr>
          </w:p>
        </w:tc>
        <w:tc>
          <w:tcPr>
            <w:tcW w:w="1560" w:type="dxa"/>
            <w:vAlign w:val="center"/>
          </w:tcPr>
          <w:p w14:paraId="2E37F4AE">
            <w:pPr>
              <w:jc w:val="center"/>
              <w:rPr>
                <w:rFonts w:hint="default" w:eastAsia="宋体"/>
                <w:color w:val="auto"/>
                <w:highlight w:val="none"/>
                <w:lang w:val="en-US" w:eastAsia="zh-CN"/>
              </w:rPr>
            </w:pPr>
          </w:p>
        </w:tc>
        <w:tc>
          <w:tcPr>
            <w:tcW w:w="1335" w:type="dxa"/>
            <w:vAlign w:val="center"/>
          </w:tcPr>
          <w:p w14:paraId="36240872">
            <w:pPr>
              <w:jc w:val="center"/>
              <w:rPr>
                <w:rFonts w:hint="default" w:eastAsia="宋体"/>
                <w:color w:val="auto"/>
                <w:highlight w:val="none"/>
                <w:lang w:val="en-US" w:eastAsia="zh-CN"/>
              </w:rPr>
            </w:pPr>
          </w:p>
        </w:tc>
        <w:tc>
          <w:tcPr>
            <w:tcW w:w="1515" w:type="dxa"/>
            <w:vAlign w:val="center"/>
          </w:tcPr>
          <w:p w14:paraId="745E4816">
            <w:pPr>
              <w:jc w:val="center"/>
              <w:rPr>
                <w:rFonts w:hint="eastAsia" w:eastAsia="宋体"/>
                <w:color w:val="auto"/>
                <w:highlight w:val="none"/>
                <w:lang w:eastAsia="zh-CN"/>
              </w:rPr>
            </w:pPr>
          </w:p>
        </w:tc>
        <w:tc>
          <w:tcPr>
            <w:tcW w:w="1632" w:type="dxa"/>
            <w:vMerge w:val="continue"/>
            <w:vAlign w:val="center"/>
          </w:tcPr>
          <w:p w14:paraId="1784D895">
            <w:pPr>
              <w:jc w:val="center"/>
              <w:rPr>
                <w:rFonts w:hint="default" w:ascii="Calibri" w:hAnsi="Calibri" w:eastAsia="宋体" w:cs="宋体"/>
                <w:color w:val="auto"/>
                <w:kern w:val="2"/>
                <w:sz w:val="21"/>
                <w:szCs w:val="24"/>
                <w:highlight w:val="none"/>
                <w:lang w:val="en-US" w:eastAsia="zh-CN" w:bidi="ar-SA"/>
              </w:rPr>
            </w:pPr>
          </w:p>
        </w:tc>
      </w:tr>
      <w:tr w14:paraId="6D634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80" w:type="dxa"/>
            <w:vAlign w:val="center"/>
          </w:tcPr>
          <w:p w14:paraId="1F7078F1">
            <w:pPr>
              <w:jc w:val="center"/>
              <w:rPr>
                <w:rFonts w:hint="eastAsia" w:eastAsia="宋体"/>
                <w:color w:val="auto"/>
                <w:highlight w:val="none"/>
                <w:lang w:val="en-US" w:eastAsia="zh-CN"/>
              </w:rPr>
            </w:pPr>
            <w:r>
              <w:rPr>
                <w:rFonts w:hint="eastAsia"/>
                <w:color w:val="auto"/>
                <w:highlight w:val="none"/>
                <w:lang w:val="en-US" w:eastAsia="zh-CN"/>
              </w:rPr>
              <w:t>3</w:t>
            </w:r>
          </w:p>
        </w:tc>
        <w:tc>
          <w:tcPr>
            <w:tcW w:w="2603" w:type="dxa"/>
            <w:vAlign w:val="center"/>
          </w:tcPr>
          <w:p w14:paraId="41BAED43">
            <w:pPr>
              <w:jc w:val="center"/>
              <w:rPr>
                <w:rFonts w:hint="default" w:ascii="宋体" w:hAnsi="宋体" w:eastAsia="宋体" w:cs="宋体"/>
                <w:color w:val="auto"/>
                <w:kern w:val="2"/>
                <w:sz w:val="21"/>
                <w:szCs w:val="24"/>
                <w:highlight w:val="none"/>
                <w:lang w:val="en-US" w:eastAsia="zh-CN" w:bidi="ar-SA"/>
              </w:rPr>
            </w:pPr>
          </w:p>
        </w:tc>
        <w:tc>
          <w:tcPr>
            <w:tcW w:w="1560" w:type="dxa"/>
            <w:vAlign w:val="center"/>
          </w:tcPr>
          <w:p w14:paraId="3F56F7F2">
            <w:pPr>
              <w:jc w:val="center"/>
              <w:rPr>
                <w:rFonts w:hint="default" w:eastAsia="宋体"/>
                <w:color w:val="auto"/>
                <w:highlight w:val="none"/>
                <w:lang w:val="en-US" w:eastAsia="zh-CN"/>
              </w:rPr>
            </w:pPr>
          </w:p>
        </w:tc>
        <w:tc>
          <w:tcPr>
            <w:tcW w:w="1335" w:type="dxa"/>
            <w:vAlign w:val="center"/>
          </w:tcPr>
          <w:p w14:paraId="61AB6740">
            <w:pPr>
              <w:jc w:val="center"/>
              <w:rPr>
                <w:rFonts w:hint="default" w:ascii="Calibri" w:hAnsi="Calibri" w:eastAsia="宋体" w:cs="宋体"/>
                <w:color w:val="auto"/>
                <w:kern w:val="2"/>
                <w:sz w:val="21"/>
                <w:szCs w:val="24"/>
                <w:highlight w:val="none"/>
                <w:lang w:val="en-US" w:eastAsia="zh-CN" w:bidi="ar-SA"/>
              </w:rPr>
            </w:pPr>
          </w:p>
        </w:tc>
        <w:tc>
          <w:tcPr>
            <w:tcW w:w="1515" w:type="dxa"/>
            <w:vAlign w:val="center"/>
          </w:tcPr>
          <w:p w14:paraId="66097D86">
            <w:pPr>
              <w:jc w:val="center"/>
              <w:rPr>
                <w:rFonts w:hint="eastAsia" w:eastAsia="宋体"/>
                <w:color w:val="auto"/>
                <w:highlight w:val="none"/>
                <w:lang w:val="en-US" w:eastAsia="zh-CN"/>
              </w:rPr>
            </w:pPr>
          </w:p>
        </w:tc>
        <w:tc>
          <w:tcPr>
            <w:tcW w:w="1632" w:type="dxa"/>
            <w:vMerge w:val="continue"/>
            <w:vAlign w:val="center"/>
          </w:tcPr>
          <w:p w14:paraId="4543DDEA">
            <w:pPr>
              <w:jc w:val="center"/>
              <w:rPr>
                <w:rFonts w:hint="default" w:ascii="Calibri" w:hAnsi="Calibri" w:eastAsia="宋体" w:cs="宋体"/>
                <w:color w:val="auto"/>
                <w:kern w:val="2"/>
                <w:sz w:val="21"/>
                <w:szCs w:val="24"/>
                <w:highlight w:val="none"/>
                <w:lang w:val="en-US" w:eastAsia="zh-CN" w:bidi="ar-SA"/>
              </w:rPr>
            </w:pPr>
          </w:p>
        </w:tc>
      </w:tr>
      <w:tr w14:paraId="58587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80" w:type="dxa"/>
            <w:vAlign w:val="center"/>
          </w:tcPr>
          <w:p w14:paraId="5232D9D5">
            <w:pPr>
              <w:jc w:val="center"/>
              <w:rPr>
                <w:rFonts w:hint="eastAsia" w:eastAsia="宋体"/>
                <w:color w:val="auto"/>
                <w:highlight w:val="none"/>
                <w:lang w:val="en-US" w:eastAsia="zh-CN"/>
              </w:rPr>
            </w:pPr>
            <w:r>
              <w:rPr>
                <w:rFonts w:hint="eastAsia"/>
                <w:color w:val="auto"/>
                <w:highlight w:val="none"/>
                <w:lang w:val="en-US" w:eastAsia="zh-CN"/>
              </w:rPr>
              <w:t>4</w:t>
            </w:r>
          </w:p>
        </w:tc>
        <w:tc>
          <w:tcPr>
            <w:tcW w:w="2603" w:type="dxa"/>
            <w:vAlign w:val="center"/>
          </w:tcPr>
          <w:p w14:paraId="78B419A1">
            <w:pPr>
              <w:jc w:val="center"/>
              <w:rPr>
                <w:rFonts w:hint="default" w:ascii="宋体" w:hAnsi="宋体" w:eastAsia="宋体" w:cs="宋体"/>
                <w:color w:val="auto"/>
                <w:kern w:val="2"/>
                <w:sz w:val="21"/>
                <w:szCs w:val="24"/>
                <w:highlight w:val="none"/>
                <w:lang w:val="en-US" w:eastAsia="zh-CN" w:bidi="ar-SA"/>
              </w:rPr>
            </w:pPr>
          </w:p>
        </w:tc>
        <w:tc>
          <w:tcPr>
            <w:tcW w:w="1560" w:type="dxa"/>
            <w:vAlign w:val="center"/>
          </w:tcPr>
          <w:p w14:paraId="37C6608D">
            <w:pPr>
              <w:jc w:val="center"/>
              <w:rPr>
                <w:rFonts w:hint="default" w:ascii="Calibri" w:hAnsi="Calibri" w:eastAsia="宋体" w:cs="宋体"/>
                <w:color w:val="auto"/>
                <w:kern w:val="2"/>
                <w:sz w:val="21"/>
                <w:szCs w:val="24"/>
                <w:highlight w:val="none"/>
                <w:lang w:val="en-US" w:eastAsia="zh-CN" w:bidi="ar-SA"/>
              </w:rPr>
            </w:pPr>
          </w:p>
        </w:tc>
        <w:tc>
          <w:tcPr>
            <w:tcW w:w="1335" w:type="dxa"/>
            <w:vAlign w:val="center"/>
          </w:tcPr>
          <w:p w14:paraId="3898F694">
            <w:pPr>
              <w:jc w:val="center"/>
              <w:rPr>
                <w:rFonts w:hint="default" w:ascii="Calibri" w:hAnsi="Calibri" w:eastAsia="宋体" w:cs="宋体"/>
                <w:color w:val="auto"/>
                <w:kern w:val="2"/>
                <w:sz w:val="21"/>
                <w:szCs w:val="24"/>
                <w:highlight w:val="none"/>
                <w:lang w:val="en-US" w:eastAsia="zh-CN" w:bidi="ar-SA"/>
              </w:rPr>
            </w:pPr>
          </w:p>
        </w:tc>
        <w:tc>
          <w:tcPr>
            <w:tcW w:w="1515" w:type="dxa"/>
            <w:vAlign w:val="center"/>
          </w:tcPr>
          <w:p w14:paraId="212C46D7">
            <w:pPr>
              <w:jc w:val="center"/>
              <w:rPr>
                <w:rFonts w:hint="eastAsia" w:eastAsia="宋体"/>
                <w:color w:val="auto"/>
                <w:highlight w:val="none"/>
                <w:lang w:eastAsia="zh-CN"/>
              </w:rPr>
            </w:pPr>
          </w:p>
        </w:tc>
        <w:tc>
          <w:tcPr>
            <w:tcW w:w="1632" w:type="dxa"/>
            <w:vMerge w:val="continue"/>
            <w:vAlign w:val="center"/>
          </w:tcPr>
          <w:p w14:paraId="13773FBA">
            <w:pPr>
              <w:jc w:val="center"/>
              <w:rPr>
                <w:rFonts w:hint="default" w:ascii="Calibri" w:hAnsi="Calibri" w:eastAsia="宋体" w:cs="宋体"/>
                <w:color w:val="auto"/>
                <w:kern w:val="2"/>
                <w:sz w:val="21"/>
                <w:szCs w:val="24"/>
                <w:highlight w:val="none"/>
                <w:lang w:val="en-US" w:eastAsia="zh-CN" w:bidi="ar-SA"/>
              </w:rPr>
            </w:pPr>
          </w:p>
        </w:tc>
      </w:tr>
      <w:tr w14:paraId="61BB9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80" w:type="dxa"/>
            <w:vAlign w:val="center"/>
          </w:tcPr>
          <w:p w14:paraId="1A8A7437">
            <w:pPr>
              <w:jc w:val="center"/>
              <w:rPr>
                <w:rFonts w:hint="default"/>
                <w:color w:val="auto"/>
                <w:highlight w:val="none"/>
                <w:lang w:val="en-US" w:eastAsia="zh-CN"/>
              </w:rPr>
            </w:pPr>
            <w:r>
              <w:rPr>
                <w:rFonts w:hint="eastAsia"/>
                <w:color w:val="auto"/>
                <w:highlight w:val="none"/>
                <w:lang w:val="en-US" w:eastAsia="zh-CN"/>
              </w:rPr>
              <w:t>5</w:t>
            </w:r>
          </w:p>
        </w:tc>
        <w:tc>
          <w:tcPr>
            <w:tcW w:w="2603" w:type="dxa"/>
            <w:vAlign w:val="center"/>
          </w:tcPr>
          <w:p w14:paraId="7D2FB629">
            <w:pPr>
              <w:jc w:val="center"/>
              <w:rPr>
                <w:rFonts w:hint="default" w:ascii="Calibri" w:hAnsi="Calibri" w:eastAsia="宋体" w:cs="Calibri"/>
                <w:color w:val="auto"/>
                <w:kern w:val="2"/>
                <w:sz w:val="21"/>
                <w:szCs w:val="24"/>
                <w:highlight w:val="none"/>
                <w:lang w:val="en-US" w:eastAsia="zh-CN" w:bidi="ar-SA"/>
              </w:rPr>
            </w:pPr>
          </w:p>
        </w:tc>
        <w:tc>
          <w:tcPr>
            <w:tcW w:w="1560" w:type="dxa"/>
            <w:vAlign w:val="center"/>
          </w:tcPr>
          <w:p w14:paraId="769CDC23">
            <w:pPr>
              <w:jc w:val="center"/>
              <w:rPr>
                <w:rFonts w:hint="eastAsia" w:ascii="Calibri" w:hAnsi="Calibri" w:eastAsia="宋体" w:cs="宋体"/>
                <w:color w:val="auto"/>
                <w:kern w:val="2"/>
                <w:sz w:val="21"/>
                <w:szCs w:val="24"/>
                <w:highlight w:val="none"/>
                <w:lang w:val="en-US" w:eastAsia="zh-CN" w:bidi="ar-SA"/>
              </w:rPr>
            </w:pPr>
          </w:p>
        </w:tc>
        <w:tc>
          <w:tcPr>
            <w:tcW w:w="1335" w:type="dxa"/>
            <w:vAlign w:val="center"/>
          </w:tcPr>
          <w:p w14:paraId="17500E23">
            <w:pPr>
              <w:jc w:val="center"/>
              <w:rPr>
                <w:rFonts w:hint="default" w:ascii="Calibri" w:hAnsi="Calibri" w:eastAsia="宋体" w:cs="宋体"/>
                <w:color w:val="auto"/>
                <w:kern w:val="2"/>
                <w:sz w:val="21"/>
                <w:szCs w:val="24"/>
                <w:highlight w:val="none"/>
                <w:lang w:val="en-US" w:eastAsia="zh-CN" w:bidi="ar-SA"/>
              </w:rPr>
            </w:pPr>
          </w:p>
        </w:tc>
        <w:tc>
          <w:tcPr>
            <w:tcW w:w="1515" w:type="dxa"/>
            <w:vAlign w:val="center"/>
          </w:tcPr>
          <w:p w14:paraId="2A73A4E2">
            <w:pPr>
              <w:jc w:val="center"/>
              <w:rPr>
                <w:rFonts w:hint="eastAsia" w:ascii="Calibri" w:hAnsi="Calibri" w:eastAsia="宋体" w:cs="宋体"/>
                <w:color w:val="auto"/>
                <w:kern w:val="2"/>
                <w:sz w:val="21"/>
                <w:szCs w:val="24"/>
                <w:highlight w:val="none"/>
                <w:lang w:val="en-US" w:eastAsia="zh-CN" w:bidi="ar-SA"/>
              </w:rPr>
            </w:pPr>
          </w:p>
        </w:tc>
        <w:tc>
          <w:tcPr>
            <w:tcW w:w="1632" w:type="dxa"/>
            <w:vMerge w:val="continue"/>
            <w:vAlign w:val="center"/>
          </w:tcPr>
          <w:p w14:paraId="5991AB11">
            <w:pPr>
              <w:jc w:val="center"/>
              <w:rPr>
                <w:rFonts w:hint="default" w:ascii="Calibri" w:hAnsi="Calibri" w:eastAsia="宋体" w:cs="宋体"/>
                <w:color w:val="auto"/>
                <w:kern w:val="2"/>
                <w:sz w:val="21"/>
                <w:szCs w:val="24"/>
                <w:highlight w:val="none"/>
                <w:lang w:val="en-US" w:eastAsia="zh-CN" w:bidi="ar-SA"/>
              </w:rPr>
            </w:pPr>
          </w:p>
        </w:tc>
      </w:tr>
      <w:tr w14:paraId="1DB95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80" w:type="dxa"/>
            <w:vAlign w:val="center"/>
          </w:tcPr>
          <w:p w14:paraId="6CA99202">
            <w:pPr>
              <w:jc w:val="center"/>
              <w:rPr>
                <w:rFonts w:hint="default" w:eastAsia="宋体"/>
                <w:color w:val="auto"/>
                <w:highlight w:val="none"/>
                <w:lang w:val="en-US" w:eastAsia="zh-CN"/>
              </w:rPr>
            </w:pPr>
            <w:r>
              <w:rPr>
                <w:rFonts w:hint="eastAsia"/>
                <w:color w:val="auto"/>
                <w:highlight w:val="none"/>
                <w:lang w:val="en-US" w:eastAsia="zh-CN"/>
              </w:rPr>
              <w:t>6</w:t>
            </w:r>
          </w:p>
        </w:tc>
        <w:tc>
          <w:tcPr>
            <w:tcW w:w="2603" w:type="dxa"/>
            <w:vAlign w:val="center"/>
          </w:tcPr>
          <w:p w14:paraId="2C85FC4B">
            <w:pPr>
              <w:jc w:val="center"/>
              <w:rPr>
                <w:rFonts w:hint="default" w:ascii="宋体" w:hAnsi="宋体" w:eastAsia="宋体" w:cs="宋体"/>
                <w:color w:val="auto"/>
                <w:kern w:val="2"/>
                <w:sz w:val="21"/>
                <w:szCs w:val="24"/>
                <w:highlight w:val="none"/>
                <w:lang w:val="en-US" w:eastAsia="zh-CN" w:bidi="ar-SA"/>
              </w:rPr>
            </w:pPr>
          </w:p>
        </w:tc>
        <w:tc>
          <w:tcPr>
            <w:tcW w:w="1560" w:type="dxa"/>
            <w:vAlign w:val="center"/>
          </w:tcPr>
          <w:p w14:paraId="19BAE958">
            <w:pPr>
              <w:jc w:val="center"/>
              <w:rPr>
                <w:rFonts w:hint="default" w:eastAsia="宋体"/>
                <w:color w:val="auto"/>
                <w:highlight w:val="none"/>
                <w:lang w:val="en-US" w:eastAsia="zh-CN"/>
              </w:rPr>
            </w:pPr>
          </w:p>
        </w:tc>
        <w:tc>
          <w:tcPr>
            <w:tcW w:w="1335" w:type="dxa"/>
            <w:vAlign w:val="center"/>
          </w:tcPr>
          <w:p w14:paraId="615DDE7D">
            <w:pPr>
              <w:jc w:val="center"/>
              <w:rPr>
                <w:rFonts w:hint="eastAsia" w:ascii="Calibri" w:hAnsi="Calibri" w:eastAsia="宋体" w:cs="宋体"/>
                <w:color w:val="auto"/>
                <w:kern w:val="2"/>
                <w:sz w:val="21"/>
                <w:szCs w:val="24"/>
                <w:highlight w:val="none"/>
                <w:lang w:val="en-US" w:eastAsia="zh-CN" w:bidi="ar-SA"/>
              </w:rPr>
            </w:pPr>
          </w:p>
        </w:tc>
        <w:tc>
          <w:tcPr>
            <w:tcW w:w="1515" w:type="dxa"/>
            <w:vAlign w:val="center"/>
          </w:tcPr>
          <w:p w14:paraId="559B36E6">
            <w:pPr>
              <w:jc w:val="center"/>
              <w:rPr>
                <w:rFonts w:hint="eastAsia" w:eastAsia="宋体"/>
                <w:color w:val="auto"/>
                <w:highlight w:val="none"/>
                <w:lang w:eastAsia="zh-CN"/>
              </w:rPr>
            </w:pPr>
          </w:p>
        </w:tc>
        <w:tc>
          <w:tcPr>
            <w:tcW w:w="1632" w:type="dxa"/>
            <w:vMerge w:val="continue"/>
            <w:vAlign w:val="center"/>
          </w:tcPr>
          <w:p w14:paraId="698D2E37">
            <w:pPr>
              <w:jc w:val="center"/>
              <w:rPr>
                <w:rFonts w:hint="default" w:eastAsia="宋体"/>
                <w:color w:val="auto"/>
                <w:highlight w:val="none"/>
                <w:lang w:val="en-US" w:eastAsia="zh-CN"/>
              </w:rPr>
            </w:pPr>
          </w:p>
        </w:tc>
      </w:tr>
      <w:tr w14:paraId="2602F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80" w:type="dxa"/>
            <w:vAlign w:val="center"/>
          </w:tcPr>
          <w:p w14:paraId="4BE1BF3E">
            <w:pPr>
              <w:jc w:val="center"/>
              <w:rPr>
                <w:rFonts w:hint="default"/>
                <w:color w:val="auto"/>
                <w:highlight w:val="none"/>
                <w:lang w:val="en-US" w:eastAsia="zh-CN"/>
              </w:rPr>
            </w:pPr>
            <w:r>
              <w:rPr>
                <w:rFonts w:hint="eastAsia"/>
                <w:color w:val="auto"/>
                <w:highlight w:val="none"/>
                <w:lang w:val="en-US" w:eastAsia="zh-CN"/>
              </w:rPr>
              <w:t>7</w:t>
            </w:r>
          </w:p>
        </w:tc>
        <w:tc>
          <w:tcPr>
            <w:tcW w:w="2603" w:type="dxa"/>
            <w:vAlign w:val="center"/>
          </w:tcPr>
          <w:p w14:paraId="086D1F6C">
            <w:pPr>
              <w:jc w:val="center"/>
              <w:rPr>
                <w:rFonts w:hint="default" w:eastAsia="宋体"/>
                <w:color w:val="auto"/>
                <w:highlight w:val="none"/>
                <w:lang w:val="en-US" w:eastAsia="zh-CN"/>
              </w:rPr>
            </w:pPr>
          </w:p>
        </w:tc>
        <w:tc>
          <w:tcPr>
            <w:tcW w:w="1560" w:type="dxa"/>
            <w:vAlign w:val="center"/>
          </w:tcPr>
          <w:p w14:paraId="3879C9C1">
            <w:pPr>
              <w:jc w:val="center"/>
              <w:rPr>
                <w:rFonts w:hint="default" w:eastAsia="宋体"/>
                <w:color w:val="auto"/>
                <w:highlight w:val="none"/>
                <w:lang w:val="en-US" w:eastAsia="zh-CN"/>
              </w:rPr>
            </w:pPr>
          </w:p>
        </w:tc>
        <w:tc>
          <w:tcPr>
            <w:tcW w:w="1335" w:type="dxa"/>
            <w:vAlign w:val="center"/>
          </w:tcPr>
          <w:p w14:paraId="48B6D3DA">
            <w:pPr>
              <w:jc w:val="center"/>
              <w:rPr>
                <w:rFonts w:hint="default" w:ascii="Calibri" w:hAnsi="Calibri" w:eastAsia="宋体" w:cs="宋体"/>
                <w:color w:val="auto"/>
                <w:kern w:val="2"/>
                <w:sz w:val="21"/>
                <w:szCs w:val="24"/>
                <w:highlight w:val="none"/>
                <w:lang w:val="en-US" w:eastAsia="zh-CN" w:bidi="ar-SA"/>
              </w:rPr>
            </w:pPr>
          </w:p>
        </w:tc>
        <w:tc>
          <w:tcPr>
            <w:tcW w:w="1515" w:type="dxa"/>
            <w:vAlign w:val="center"/>
          </w:tcPr>
          <w:p w14:paraId="1DE3FEE6">
            <w:pPr>
              <w:jc w:val="center"/>
              <w:rPr>
                <w:rFonts w:hint="default" w:eastAsia="宋体"/>
                <w:color w:val="auto"/>
                <w:highlight w:val="none"/>
                <w:lang w:val="en-US" w:eastAsia="zh-CN"/>
              </w:rPr>
            </w:pPr>
          </w:p>
        </w:tc>
        <w:tc>
          <w:tcPr>
            <w:tcW w:w="1632" w:type="dxa"/>
            <w:vMerge w:val="continue"/>
            <w:vAlign w:val="center"/>
          </w:tcPr>
          <w:p w14:paraId="2884FFAB">
            <w:pPr>
              <w:jc w:val="center"/>
              <w:rPr>
                <w:rFonts w:hint="eastAsia" w:ascii="Calibri" w:hAnsi="Calibri" w:eastAsia="宋体" w:cs="宋体"/>
                <w:color w:val="auto"/>
                <w:kern w:val="2"/>
                <w:sz w:val="21"/>
                <w:szCs w:val="24"/>
                <w:highlight w:val="none"/>
                <w:lang w:val="en-US" w:eastAsia="zh-CN" w:bidi="ar-SA"/>
              </w:rPr>
            </w:pPr>
          </w:p>
        </w:tc>
      </w:tr>
      <w:tr w14:paraId="0E28A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80" w:type="dxa"/>
            <w:vAlign w:val="center"/>
          </w:tcPr>
          <w:p w14:paraId="510B72E8">
            <w:pPr>
              <w:jc w:val="center"/>
              <w:rPr>
                <w:rFonts w:hint="default"/>
                <w:color w:val="auto"/>
                <w:highlight w:val="none"/>
                <w:lang w:val="en-US" w:eastAsia="zh-CN"/>
              </w:rPr>
            </w:pPr>
            <w:r>
              <w:rPr>
                <w:rFonts w:hint="eastAsia"/>
                <w:color w:val="auto"/>
                <w:highlight w:val="none"/>
                <w:lang w:val="en-US" w:eastAsia="zh-CN"/>
              </w:rPr>
              <w:t>8</w:t>
            </w:r>
          </w:p>
        </w:tc>
        <w:tc>
          <w:tcPr>
            <w:tcW w:w="2603" w:type="dxa"/>
            <w:vAlign w:val="center"/>
          </w:tcPr>
          <w:p w14:paraId="50EFC7DA">
            <w:pPr>
              <w:jc w:val="center"/>
              <w:rPr>
                <w:rFonts w:hint="eastAsia" w:eastAsia="宋体"/>
                <w:color w:val="auto"/>
                <w:highlight w:val="none"/>
                <w:lang w:val="en-US" w:eastAsia="zh-CN"/>
              </w:rPr>
            </w:pPr>
          </w:p>
        </w:tc>
        <w:tc>
          <w:tcPr>
            <w:tcW w:w="1560" w:type="dxa"/>
            <w:vAlign w:val="center"/>
          </w:tcPr>
          <w:p w14:paraId="13896988">
            <w:pPr>
              <w:jc w:val="center"/>
              <w:rPr>
                <w:rFonts w:hint="default" w:eastAsia="宋体"/>
                <w:color w:val="auto"/>
                <w:highlight w:val="none"/>
                <w:lang w:val="en-US" w:eastAsia="zh-CN"/>
              </w:rPr>
            </w:pPr>
          </w:p>
        </w:tc>
        <w:tc>
          <w:tcPr>
            <w:tcW w:w="1335" w:type="dxa"/>
            <w:vAlign w:val="center"/>
          </w:tcPr>
          <w:p w14:paraId="029408D3">
            <w:pPr>
              <w:jc w:val="center"/>
              <w:rPr>
                <w:rFonts w:hint="default" w:ascii="Calibri" w:hAnsi="Calibri" w:eastAsia="宋体" w:cs="宋体"/>
                <w:color w:val="auto"/>
                <w:kern w:val="2"/>
                <w:sz w:val="21"/>
                <w:szCs w:val="24"/>
                <w:highlight w:val="none"/>
                <w:lang w:val="en-US" w:eastAsia="zh-CN" w:bidi="ar-SA"/>
              </w:rPr>
            </w:pPr>
          </w:p>
        </w:tc>
        <w:tc>
          <w:tcPr>
            <w:tcW w:w="1515" w:type="dxa"/>
            <w:vAlign w:val="center"/>
          </w:tcPr>
          <w:p w14:paraId="1E2698F9">
            <w:pPr>
              <w:jc w:val="center"/>
              <w:rPr>
                <w:rFonts w:hint="default" w:eastAsia="宋体"/>
                <w:color w:val="auto"/>
                <w:highlight w:val="none"/>
                <w:lang w:val="en-US" w:eastAsia="zh-CN"/>
              </w:rPr>
            </w:pPr>
          </w:p>
        </w:tc>
        <w:tc>
          <w:tcPr>
            <w:tcW w:w="1632" w:type="dxa"/>
            <w:vMerge w:val="continue"/>
            <w:vAlign w:val="center"/>
          </w:tcPr>
          <w:p w14:paraId="0B4177AB">
            <w:pPr>
              <w:jc w:val="center"/>
              <w:rPr>
                <w:rFonts w:hint="eastAsia" w:ascii="Calibri" w:hAnsi="Calibri" w:eastAsia="宋体" w:cs="宋体"/>
                <w:color w:val="auto"/>
                <w:kern w:val="2"/>
                <w:sz w:val="21"/>
                <w:szCs w:val="24"/>
                <w:highlight w:val="none"/>
                <w:lang w:val="en-US" w:eastAsia="zh-CN" w:bidi="ar-SA"/>
              </w:rPr>
            </w:pPr>
          </w:p>
        </w:tc>
      </w:tr>
      <w:tr w14:paraId="06A4A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80" w:type="dxa"/>
            <w:vAlign w:val="center"/>
          </w:tcPr>
          <w:p w14:paraId="5BB826AB">
            <w:pPr>
              <w:jc w:val="center"/>
              <w:rPr>
                <w:rFonts w:hint="default"/>
                <w:color w:val="auto"/>
                <w:highlight w:val="none"/>
                <w:lang w:val="en-US" w:eastAsia="zh-CN"/>
              </w:rPr>
            </w:pPr>
            <w:r>
              <w:rPr>
                <w:rFonts w:hint="eastAsia"/>
                <w:color w:val="auto"/>
                <w:highlight w:val="none"/>
                <w:lang w:val="en-US" w:eastAsia="zh-CN"/>
              </w:rPr>
              <w:t>9</w:t>
            </w:r>
          </w:p>
        </w:tc>
        <w:tc>
          <w:tcPr>
            <w:tcW w:w="2603" w:type="dxa"/>
            <w:vAlign w:val="center"/>
          </w:tcPr>
          <w:p w14:paraId="08B31076">
            <w:pPr>
              <w:jc w:val="center"/>
              <w:rPr>
                <w:rFonts w:hint="eastAsia" w:eastAsia="宋体"/>
                <w:color w:val="auto"/>
                <w:highlight w:val="none"/>
                <w:lang w:val="en-US" w:eastAsia="zh-CN"/>
              </w:rPr>
            </w:pPr>
          </w:p>
        </w:tc>
        <w:tc>
          <w:tcPr>
            <w:tcW w:w="1560" w:type="dxa"/>
            <w:vAlign w:val="center"/>
          </w:tcPr>
          <w:p w14:paraId="79FCE889">
            <w:pPr>
              <w:jc w:val="center"/>
              <w:rPr>
                <w:rFonts w:hint="default" w:eastAsia="宋体"/>
                <w:color w:val="auto"/>
                <w:highlight w:val="none"/>
                <w:lang w:val="en-US" w:eastAsia="zh-CN"/>
              </w:rPr>
            </w:pPr>
          </w:p>
        </w:tc>
        <w:tc>
          <w:tcPr>
            <w:tcW w:w="1335" w:type="dxa"/>
            <w:vAlign w:val="center"/>
          </w:tcPr>
          <w:p w14:paraId="6A23DEBA">
            <w:pPr>
              <w:jc w:val="center"/>
              <w:rPr>
                <w:rFonts w:hint="default" w:ascii="Calibri" w:hAnsi="Calibri" w:eastAsia="宋体" w:cs="宋体"/>
                <w:color w:val="auto"/>
                <w:kern w:val="2"/>
                <w:sz w:val="21"/>
                <w:szCs w:val="24"/>
                <w:highlight w:val="none"/>
                <w:lang w:val="en-US" w:eastAsia="zh-CN" w:bidi="ar-SA"/>
              </w:rPr>
            </w:pPr>
          </w:p>
        </w:tc>
        <w:tc>
          <w:tcPr>
            <w:tcW w:w="1515" w:type="dxa"/>
            <w:vAlign w:val="center"/>
          </w:tcPr>
          <w:p w14:paraId="4CDB6A41">
            <w:pPr>
              <w:jc w:val="center"/>
              <w:rPr>
                <w:rFonts w:hint="default" w:eastAsia="宋体"/>
                <w:color w:val="auto"/>
                <w:highlight w:val="none"/>
                <w:lang w:val="en-US" w:eastAsia="zh-CN"/>
              </w:rPr>
            </w:pPr>
          </w:p>
        </w:tc>
        <w:tc>
          <w:tcPr>
            <w:tcW w:w="1632" w:type="dxa"/>
            <w:vMerge w:val="continue"/>
            <w:vAlign w:val="center"/>
          </w:tcPr>
          <w:p w14:paraId="274A1FC8">
            <w:pPr>
              <w:jc w:val="center"/>
              <w:rPr>
                <w:rFonts w:hint="eastAsia" w:eastAsia="宋体"/>
                <w:color w:val="auto"/>
                <w:highlight w:val="none"/>
                <w:lang w:eastAsia="zh-CN"/>
              </w:rPr>
            </w:pPr>
          </w:p>
        </w:tc>
      </w:tr>
      <w:tr w14:paraId="20D23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vAlign w:val="center"/>
          </w:tcPr>
          <w:p w14:paraId="7C739005">
            <w:pPr>
              <w:jc w:val="center"/>
              <w:rPr>
                <w:rFonts w:hint="default"/>
                <w:color w:val="auto"/>
                <w:highlight w:val="none"/>
                <w:lang w:val="en-US" w:eastAsia="zh-CN"/>
              </w:rPr>
            </w:pPr>
            <w:r>
              <w:rPr>
                <w:rFonts w:hint="eastAsia"/>
                <w:color w:val="auto"/>
                <w:highlight w:val="none"/>
                <w:lang w:val="en-US" w:eastAsia="zh-CN"/>
              </w:rPr>
              <w:t>10</w:t>
            </w:r>
          </w:p>
        </w:tc>
        <w:tc>
          <w:tcPr>
            <w:tcW w:w="2603" w:type="dxa"/>
            <w:vAlign w:val="center"/>
          </w:tcPr>
          <w:p w14:paraId="5FE7BDF9">
            <w:pPr>
              <w:jc w:val="center"/>
              <w:rPr>
                <w:rFonts w:hint="eastAsia" w:eastAsia="宋体"/>
                <w:color w:val="auto"/>
                <w:highlight w:val="none"/>
                <w:lang w:val="en-US" w:eastAsia="zh-CN"/>
              </w:rPr>
            </w:pPr>
          </w:p>
        </w:tc>
        <w:tc>
          <w:tcPr>
            <w:tcW w:w="1560" w:type="dxa"/>
            <w:vAlign w:val="center"/>
          </w:tcPr>
          <w:p w14:paraId="7AD2129D">
            <w:pPr>
              <w:jc w:val="center"/>
              <w:rPr>
                <w:rFonts w:hint="default" w:eastAsia="宋体"/>
                <w:color w:val="auto"/>
                <w:highlight w:val="none"/>
                <w:lang w:val="en-US" w:eastAsia="zh-CN"/>
              </w:rPr>
            </w:pPr>
          </w:p>
        </w:tc>
        <w:tc>
          <w:tcPr>
            <w:tcW w:w="1335" w:type="dxa"/>
            <w:vAlign w:val="center"/>
          </w:tcPr>
          <w:p w14:paraId="3CCA80CA">
            <w:pPr>
              <w:jc w:val="center"/>
              <w:rPr>
                <w:rFonts w:hint="default" w:eastAsia="宋体"/>
                <w:color w:val="auto"/>
                <w:highlight w:val="none"/>
                <w:lang w:val="en-US" w:eastAsia="zh-CN"/>
              </w:rPr>
            </w:pPr>
          </w:p>
        </w:tc>
        <w:tc>
          <w:tcPr>
            <w:tcW w:w="1515" w:type="dxa"/>
            <w:vAlign w:val="center"/>
          </w:tcPr>
          <w:p w14:paraId="52F42F2C">
            <w:pPr>
              <w:jc w:val="center"/>
              <w:rPr>
                <w:rFonts w:hint="default" w:eastAsia="宋体"/>
                <w:color w:val="auto"/>
                <w:highlight w:val="none"/>
                <w:lang w:val="en-US" w:eastAsia="zh-CN"/>
              </w:rPr>
            </w:pPr>
          </w:p>
        </w:tc>
        <w:tc>
          <w:tcPr>
            <w:tcW w:w="1632" w:type="dxa"/>
            <w:vMerge w:val="continue"/>
            <w:vAlign w:val="center"/>
          </w:tcPr>
          <w:p w14:paraId="7D83A6DE">
            <w:pPr>
              <w:jc w:val="center"/>
              <w:rPr>
                <w:rFonts w:hint="eastAsia" w:eastAsia="宋体"/>
                <w:color w:val="auto"/>
                <w:highlight w:val="none"/>
                <w:lang w:eastAsia="zh-CN"/>
              </w:rPr>
            </w:pPr>
          </w:p>
        </w:tc>
      </w:tr>
      <w:tr w14:paraId="5FEA9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80" w:type="dxa"/>
            <w:vAlign w:val="center"/>
          </w:tcPr>
          <w:p w14:paraId="3938C29E">
            <w:pPr>
              <w:jc w:val="center"/>
              <w:rPr>
                <w:rFonts w:hint="default"/>
                <w:color w:val="auto"/>
                <w:highlight w:val="none"/>
                <w:lang w:val="en-US" w:eastAsia="zh-CN"/>
              </w:rPr>
            </w:pPr>
            <w:r>
              <w:rPr>
                <w:rFonts w:hint="eastAsia"/>
                <w:color w:val="auto"/>
                <w:highlight w:val="none"/>
                <w:lang w:val="en-US" w:eastAsia="zh-CN"/>
              </w:rPr>
              <w:t>11</w:t>
            </w:r>
          </w:p>
        </w:tc>
        <w:tc>
          <w:tcPr>
            <w:tcW w:w="2603" w:type="dxa"/>
            <w:vAlign w:val="center"/>
          </w:tcPr>
          <w:p w14:paraId="7655678F">
            <w:pPr>
              <w:jc w:val="center"/>
              <w:rPr>
                <w:rFonts w:hint="eastAsia" w:eastAsia="宋体"/>
                <w:color w:val="auto"/>
                <w:highlight w:val="none"/>
                <w:lang w:val="en-US" w:eastAsia="zh-CN"/>
              </w:rPr>
            </w:pPr>
          </w:p>
        </w:tc>
        <w:tc>
          <w:tcPr>
            <w:tcW w:w="1560" w:type="dxa"/>
            <w:vAlign w:val="center"/>
          </w:tcPr>
          <w:p w14:paraId="039AB9ED">
            <w:pPr>
              <w:jc w:val="center"/>
              <w:rPr>
                <w:rFonts w:hint="default"/>
                <w:color w:val="auto"/>
                <w:highlight w:val="none"/>
                <w:lang w:val="en-US" w:eastAsia="zh-CN"/>
              </w:rPr>
            </w:pPr>
          </w:p>
        </w:tc>
        <w:tc>
          <w:tcPr>
            <w:tcW w:w="1335" w:type="dxa"/>
            <w:vAlign w:val="center"/>
          </w:tcPr>
          <w:p w14:paraId="70883482">
            <w:pPr>
              <w:jc w:val="center"/>
              <w:rPr>
                <w:rFonts w:hint="default"/>
                <w:color w:val="auto"/>
                <w:highlight w:val="none"/>
                <w:lang w:val="en-US" w:eastAsia="zh-CN"/>
              </w:rPr>
            </w:pPr>
          </w:p>
        </w:tc>
        <w:tc>
          <w:tcPr>
            <w:tcW w:w="1515" w:type="dxa"/>
            <w:vAlign w:val="center"/>
          </w:tcPr>
          <w:p w14:paraId="1B77EE67">
            <w:pPr>
              <w:jc w:val="center"/>
              <w:rPr>
                <w:rFonts w:hint="default" w:eastAsia="宋体"/>
                <w:color w:val="auto"/>
                <w:highlight w:val="none"/>
                <w:lang w:val="en-US" w:eastAsia="zh-CN"/>
              </w:rPr>
            </w:pPr>
          </w:p>
        </w:tc>
        <w:tc>
          <w:tcPr>
            <w:tcW w:w="1632" w:type="dxa"/>
            <w:vMerge w:val="continue"/>
            <w:vAlign w:val="center"/>
          </w:tcPr>
          <w:p w14:paraId="51723FD5">
            <w:pPr>
              <w:jc w:val="center"/>
              <w:rPr>
                <w:rFonts w:hint="eastAsia" w:eastAsia="宋体"/>
                <w:color w:val="auto"/>
                <w:highlight w:val="none"/>
                <w:lang w:eastAsia="zh-CN"/>
              </w:rPr>
            </w:pPr>
          </w:p>
        </w:tc>
      </w:tr>
      <w:tr w14:paraId="1405C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80" w:type="dxa"/>
            <w:vAlign w:val="center"/>
          </w:tcPr>
          <w:p w14:paraId="0FECF2D5">
            <w:pPr>
              <w:jc w:val="center"/>
              <w:rPr>
                <w:rFonts w:hint="default"/>
                <w:color w:val="auto"/>
                <w:highlight w:val="none"/>
                <w:lang w:val="en-US" w:eastAsia="zh-CN"/>
              </w:rPr>
            </w:pPr>
            <w:r>
              <w:rPr>
                <w:rFonts w:hint="eastAsia"/>
                <w:color w:val="auto"/>
                <w:highlight w:val="none"/>
                <w:lang w:val="en-US" w:eastAsia="zh-CN"/>
              </w:rPr>
              <w:t>12</w:t>
            </w:r>
          </w:p>
        </w:tc>
        <w:tc>
          <w:tcPr>
            <w:tcW w:w="2603" w:type="dxa"/>
            <w:vAlign w:val="center"/>
          </w:tcPr>
          <w:p w14:paraId="2490231D">
            <w:pPr>
              <w:jc w:val="center"/>
              <w:rPr>
                <w:rFonts w:hint="eastAsia" w:eastAsia="宋体"/>
                <w:color w:val="auto"/>
                <w:highlight w:val="none"/>
                <w:lang w:val="en-US" w:eastAsia="zh-CN"/>
              </w:rPr>
            </w:pPr>
          </w:p>
        </w:tc>
        <w:tc>
          <w:tcPr>
            <w:tcW w:w="1560" w:type="dxa"/>
            <w:vAlign w:val="center"/>
          </w:tcPr>
          <w:p w14:paraId="4507DD8F">
            <w:pPr>
              <w:jc w:val="center"/>
              <w:rPr>
                <w:rFonts w:hint="default"/>
                <w:color w:val="auto"/>
                <w:highlight w:val="none"/>
                <w:lang w:val="en-US" w:eastAsia="zh-CN"/>
              </w:rPr>
            </w:pPr>
          </w:p>
        </w:tc>
        <w:tc>
          <w:tcPr>
            <w:tcW w:w="1335" w:type="dxa"/>
            <w:vAlign w:val="center"/>
          </w:tcPr>
          <w:p w14:paraId="50D3F266">
            <w:pPr>
              <w:jc w:val="center"/>
              <w:rPr>
                <w:rFonts w:hint="default"/>
                <w:color w:val="auto"/>
                <w:highlight w:val="none"/>
                <w:lang w:val="en-US" w:eastAsia="zh-CN"/>
              </w:rPr>
            </w:pPr>
          </w:p>
        </w:tc>
        <w:tc>
          <w:tcPr>
            <w:tcW w:w="1515" w:type="dxa"/>
            <w:vAlign w:val="center"/>
          </w:tcPr>
          <w:p w14:paraId="55FBEFEC">
            <w:pPr>
              <w:jc w:val="center"/>
              <w:rPr>
                <w:rFonts w:hint="default" w:eastAsia="宋体"/>
                <w:color w:val="auto"/>
                <w:highlight w:val="none"/>
                <w:lang w:val="en-US" w:eastAsia="zh-CN"/>
              </w:rPr>
            </w:pPr>
          </w:p>
        </w:tc>
        <w:tc>
          <w:tcPr>
            <w:tcW w:w="1632" w:type="dxa"/>
            <w:vMerge w:val="continue"/>
            <w:vAlign w:val="center"/>
          </w:tcPr>
          <w:p w14:paraId="15253F55">
            <w:pPr>
              <w:jc w:val="center"/>
              <w:rPr>
                <w:rFonts w:hint="eastAsia" w:eastAsia="宋体"/>
                <w:color w:val="auto"/>
                <w:highlight w:val="none"/>
                <w:lang w:eastAsia="zh-CN"/>
              </w:rPr>
            </w:pPr>
          </w:p>
        </w:tc>
      </w:tr>
      <w:tr w14:paraId="6BFF4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80" w:type="dxa"/>
            <w:vAlign w:val="center"/>
          </w:tcPr>
          <w:p w14:paraId="3022DDD8">
            <w:pPr>
              <w:jc w:val="center"/>
              <w:rPr>
                <w:rFonts w:hint="default"/>
                <w:color w:val="auto"/>
                <w:highlight w:val="none"/>
                <w:lang w:val="en-US" w:eastAsia="zh-CN"/>
              </w:rPr>
            </w:pPr>
            <w:r>
              <w:rPr>
                <w:rFonts w:hint="eastAsia"/>
                <w:color w:val="auto"/>
                <w:highlight w:val="none"/>
                <w:lang w:val="en-US" w:eastAsia="zh-CN"/>
              </w:rPr>
              <w:t>13</w:t>
            </w:r>
          </w:p>
        </w:tc>
        <w:tc>
          <w:tcPr>
            <w:tcW w:w="2603" w:type="dxa"/>
            <w:vAlign w:val="center"/>
          </w:tcPr>
          <w:p w14:paraId="2E0DB219">
            <w:pPr>
              <w:tabs>
                <w:tab w:val="left" w:pos="631"/>
              </w:tabs>
              <w:jc w:val="left"/>
              <w:rPr>
                <w:rFonts w:hint="eastAsia" w:eastAsia="宋体"/>
                <w:color w:val="auto"/>
                <w:highlight w:val="none"/>
                <w:lang w:val="en-US" w:eastAsia="zh-CN"/>
              </w:rPr>
            </w:pPr>
          </w:p>
        </w:tc>
        <w:tc>
          <w:tcPr>
            <w:tcW w:w="1560" w:type="dxa"/>
            <w:vAlign w:val="center"/>
          </w:tcPr>
          <w:p w14:paraId="3F26E678">
            <w:pPr>
              <w:jc w:val="center"/>
              <w:rPr>
                <w:rFonts w:hint="default"/>
                <w:color w:val="auto"/>
                <w:highlight w:val="none"/>
                <w:lang w:val="en-US" w:eastAsia="zh-CN"/>
              </w:rPr>
            </w:pPr>
          </w:p>
        </w:tc>
        <w:tc>
          <w:tcPr>
            <w:tcW w:w="1335" w:type="dxa"/>
            <w:vAlign w:val="center"/>
          </w:tcPr>
          <w:p w14:paraId="357615E9">
            <w:pPr>
              <w:jc w:val="center"/>
              <w:rPr>
                <w:rFonts w:hint="default"/>
                <w:color w:val="auto"/>
                <w:highlight w:val="none"/>
                <w:lang w:val="en-US" w:eastAsia="zh-CN"/>
              </w:rPr>
            </w:pPr>
          </w:p>
        </w:tc>
        <w:tc>
          <w:tcPr>
            <w:tcW w:w="1515" w:type="dxa"/>
            <w:vAlign w:val="center"/>
          </w:tcPr>
          <w:p w14:paraId="7441C55A">
            <w:pPr>
              <w:jc w:val="center"/>
              <w:rPr>
                <w:rFonts w:hint="default" w:eastAsia="宋体"/>
                <w:color w:val="auto"/>
                <w:highlight w:val="none"/>
                <w:lang w:val="en-US" w:eastAsia="zh-CN"/>
              </w:rPr>
            </w:pPr>
          </w:p>
        </w:tc>
        <w:tc>
          <w:tcPr>
            <w:tcW w:w="1632" w:type="dxa"/>
            <w:vMerge w:val="continue"/>
            <w:vAlign w:val="center"/>
          </w:tcPr>
          <w:p w14:paraId="3C0DB340">
            <w:pPr>
              <w:jc w:val="center"/>
              <w:rPr>
                <w:rFonts w:hint="eastAsia" w:eastAsia="宋体"/>
                <w:color w:val="auto"/>
                <w:highlight w:val="none"/>
                <w:lang w:eastAsia="zh-CN"/>
              </w:rPr>
            </w:pPr>
          </w:p>
        </w:tc>
      </w:tr>
      <w:tr w14:paraId="1579F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80" w:type="dxa"/>
            <w:vAlign w:val="center"/>
          </w:tcPr>
          <w:p w14:paraId="2A30D0A1">
            <w:pPr>
              <w:jc w:val="center"/>
              <w:rPr>
                <w:rFonts w:hint="default"/>
                <w:color w:val="auto"/>
                <w:highlight w:val="none"/>
                <w:lang w:val="en-US" w:eastAsia="zh-CN"/>
              </w:rPr>
            </w:pPr>
            <w:r>
              <w:rPr>
                <w:rFonts w:hint="eastAsia"/>
                <w:color w:val="auto"/>
                <w:highlight w:val="none"/>
                <w:lang w:val="en-US" w:eastAsia="zh-CN"/>
              </w:rPr>
              <w:t>14</w:t>
            </w:r>
          </w:p>
        </w:tc>
        <w:tc>
          <w:tcPr>
            <w:tcW w:w="2603" w:type="dxa"/>
            <w:vAlign w:val="center"/>
          </w:tcPr>
          <w:p w14:paraId="0C6A235F">
            <w:pPr>
              <w:jc w:val="center"/>
              <w:rPr>
                <w:rFonts w:hint="eastAsia" w:eastAsia="宋体"/>
                <w:color w:val="auto"/>
                <w:highlight w:val="none"/>
                <w:lang w:val="en-US" w:eastAsia="zh-CN"/>
              </w:rPr>
            </w:pPr>
          </w:p>
        </w:tc>
        <w:tc>
          <w:tcPr>
            <w:tcW w:w="1560" w:type="dxa"/>
            <w:vAlign w:val="center"/>
          </w:tcPr>
          <w:p w14:paraId="431BD02D">
            <w:pPr>
              <w:jc w:val="center"/>
              <w:rPr>
                <w:rFonts w:hint="default"/>
                <w:color w:val="auto"/>
                <w:highlight w:val="none"/>
                <w:lang w:val="en-US" w:eastAsia="zh-CN"/>
              </w:rPr>
            </w:pPr>
          </w:p>
        </w:tc>
        <w:tc>
          <w:tcPr>
            <w:tcW w:w="1335" w:type="dxa"/>
            <w:vAlign w:val="center"/>
          </w:tcPr>
          <w:p w14:paraId="66DEA902">
            <w:pPr>
              <w:jc w:val="center"/>
              <w:rPr>
                <w:rFonts w:hint="default"/>
                <w:color w:val="auto"/>
                <w:highlight w:val="none"/>
                <w:lang w:val="en-US" w:eastAsia="zh-CN"/>
              </w:rPr>
            </w:pPr>
          </w:p>
        </w:tc>
        <w:tc>
          <w:tcPr>
            <w:tcW w:w="1515" w:type="dxa"/>
            <w:vAlign w:val="center"/>
          </w:tcPr>
          <w:p w14:paraId="19DADE4C">
            <w:pPr>
              <w:jc w:val="center"/>
              <w:rPr>
                <w:rFonts w:hint="default" w:eastAsia="宋体"/>
                <w:color w:val="auto"/>
                <w:highlight w:val="none"/>
                <w:lang w:val="en-US" w:eastAsia="zh-CN"/>
              </w:rPr>
            </w:pPr>
          </w:p>
        </w:tc>
        <w:tc>
          <w:tcPr>
            <w:tcW w:w="1632" w:type="dxa"/>
            <w:vMerge w:val="continue"/>
            <w:vAlign w:val="center"/>
          </w:tcPr>
          <w:p w14:paraId="3E37775A">
            <w:pPr>
              <w:jc w:val="center"/>
              <w:rPr>
                <w:rFonts w:hint="default" w:eastAsia="宋体"/>
                <w:color w:val="auto"/>
                <w:highlight w:val="none"/>
                <w:lang w:val="en-US" w:eastAsia="zh-CN"/>
              </w:rPr>
            </w:pPr>
          </w:p>
        </w:tc>
      </w:tr>
      <w:tr w14:paraId="5C4E0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80" w:type="dxa"/>
            <w:vAlign w:val="center"/>
          </w:tcPr>
          <w:p w14:paraId="58397738">
            <w:pPr>
              <w:jc w:val="center"/>
              <w:rPr>
                <w:rFonts w:hint="default"/>
                <w:color w:val="auto"/>
                <w:highlight w:val="none"/>
                <w:lang w:val="en-US" w:eastAsia="zh-CN"/>
              </w:rPr>
            </w:pPr>
            <w:r>
              <w:rPr>
                <w:rFonts w:hint="eastAsia"/>
                <w:color w:val="auto"/>
                <w:highlight w:val="none"/>
                <w:lang w:val="en-US" w:eastAsia="zh-CN"/>
              </w:rPr>
              <w:t>15</w:t>
            </w:r>
          </w:p>
        </w:tc>
        <w:tc>
          <w:tcPr>
            <w:tcW w:w="2603" w:type="dxa"/>
            <w:vAlign w:val="center"/>
          </w:tcPr>
          <w:p w14:paraId="68770394">
            <w:pPr>
              <w:jc w:val="center"/>
              <w:rPr>
                <w:rFonts w:hint="eastAsia" w:eastAsia="宋体"/>
                <w:color w:val="auto"/>
                <w:highlight w:val="none"/>
                <w:lang w:val="en-US" w:eastAsia="zh-CN"/>
              </w:rPr>
            </w:pPr>
          </w:p>
        </w:tc>
        <w:tc>
          <w:tcPr>
            <w:tcW w:w="1560" w:type="dxa"/>
            <w:vAlign w:val="center"/>
          </w:tcPr>
          <w:p w14:paraId="0F694FD7">
            <w:pPr>
              <w:jc w:val="center"/>
              <w:rPr>
                <w:rFonts w:hint="default"/>
                <w:color w:val="auto"/>
                <w:highlight w:val="none"/>
                <w:lang w:val="en-US" w:eastAsia="zh-CN"/>
              </w:rPr>
            </w:pPr>
          </w:p>
        </w:tc>
        <w:tc>
          <w:tcPr>
            <w:tcW w:w="1335" w:type="dxa"/>
            <w:vAlign w:val="center"/>
          </w:tcPr>
          <w:p w14:paraId="552C11D6">
            <w:pPr>
              <w:jc w:val="center"/>
              <w:rPr>
                <w:rFonts w:hint="default"/>
                <w:color w:val="auto"/>
                <w:highlight w:val="none"/>
                <w:lang w:val="en-US" w:eastAsia="zh-CN"/>
              </w:rPr>
            </w:pPr>
          </w:p>
        </w:tc>
        <w:tc>
          <w:tcPr>
            <w:tcW w:w="1515" w:type="dxa"/>
            <w:vAlign w:val="center"/>
          </w:tcPr>
          <w:p w14:paraId="247F9AD6">
            <w:pPr>
              <w:jc w:val="center"/>
              <w:rPr>
                <w:rFonts w:hint="default" w:eastAsia="宋体"/>
                <w:color w:val="auto"/>
                <w:highlight w:val="none"/>
                <w:lang w:val="en-US" w:eastAsia="zh-CN"/>
              </w:rPr>
            </w:pPr>
          </w:p>
        </w:tc>
        <w:tc>
          <w:tcPr>
            <w:tcW w:w="1632" w:type="dxa"/>
            <w:vMerge w:val="continue"/>
            <w:vAlign w:val="center"/>
          </w:tcPr>
          <w:p w14:paraId="612C2301">
            <w:pPr>
              <w:jc w:val="center"/>
              <w:rPr>
                <w:rFonts w:hint="eastAsia" w:eastAsia="宋体"/>
                <w:color w:val="auto"/>
                <w:highlight w:val="none"/>
                <w:lang w:val="en-US" w:eastAsia="zh-CN"/>
              </w:rPr>
            </w:pPr>
          </w:p>
        </w:tc>
      </w:tr>
      <w:tr w14:paraId="28B4E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0" w:type="dxa"/>
            <w:vAlign w:val="center"/>
          </w:tcPr>
          <w:p w14:paraId="3943C169">
            <w:pPr>
              <w:jc w:val="center"/>
              <w:rPr>
                <w:rFonts w:hint="default"/>
                <w:color w:val="auto"/>
                <w:highlight w:val="none"/>
                <w:lang w:val="en-US" w:eastAsia="zh-CN"/>
              </w:rPr>
            </w:pPr>
            <w:r>
              <w:rPr>
                <w:rFonts w:hint="eastAsia"/>
                <w:color w:val="auto"/>
                <w:highlight w:val="none"/>
                <w:lang w:val="en-US" w:eastAsia="zh-CN"/>
              </w:rPr>
              <w:t>16</w:t>
            </w:r>
          </w:p>
        </w:tc>
        <w:tc>
          <w:tcPr>
            <w:tcW w:w="2603" w:type="dxa"/>
            <w:vAlign w:val="center"/>
          </w:tcPr>
          <w:p w14:paraId="27832D57">
            <w:pPr>
              <w:jc w:val="center"/>
              <w:rPr>
                <w:rFonts w:hint="eastAsia" w:eastAsia="宋体"/>
                <w:color w:val="auto"/>
                <w:highlight w:val="none"/>
                <w:lang w:val="en-US" w:eastAsia="zh-CN"/>
              </w:rPr>
            </w:pPr>
          </w:p>
        </w:tc>
        <w:tc>
          <w:tcPr>
            <w:tcW w:w="1560" w:type="dxa"/>
            <w:vAlign w:val="center"/>
          </w:tcPr>
          <w:p w14:paraId="42362888">
            <w:pPr>
              <w:jc w:val="center"/>
              <w:rPr>
                <w:rFonts w:hint="default"/>
                <w:color w:val="auto"/>
                <w:highlight w:val="none"/>
                <w:lang w:val="en-US" w:eastAsia="zh-CN"/>
              </w:rPr>
            </w:pPr>
          </w:p>
        </w:tc>
        <w:tc>
          <w:tcPr>
            <w:tcW w:w="1335" w:type="dxa"/>
            <w:vAlign w:val="center"/>
          </w:tcPr>
          <w:p w14:paraId="620931D7">
            <w:pPr>
              <w:jc w:val="center"/>
              <w:rPr>
                <w:rFonts w:hint="default"/>
                <w:color w:val="auto"/>
                <w:highlight w:val="none"/>
                <w:lang w:val="en-US" w:eastAsia="zh-CN"/>
              </w:rPr>
            </w:pPr>
          </w:p>
        </w:tc>
        <w:tc>
          <w:tcPr>
            <w:tcW w:w="1515" w:type="dxa"/>
            <w:vAlign w:val="center"/>
          </w:tcPr>
          <w:p w14:paraId="6A2C10B0">
            <w:pPr>
              <w:jc w:val="center"/>
              <w:rPr>
                <w:rFonts w:hint="default" w:eastAsia="宋体"/>
                <w:color w:val="auto"/>
                <w:highlight w:val="none"/>
                <w:lang w:val="en-US" w:eastAsia="zh-CN"/>
              </w:rPr>
            </w:pPr>
          </w:p>
        </w:tc>
        <w:tc>
          <w:tcPr>
            <w:tcW w:w="1632" w:type="dxa"/>
            <w:vMerge w:val="continue"/>
            <w:vAlign w:val="center"/>
          </w:tcPr>
          <w:p w14:paraId="5F6FB9DD">
            <w:pPr>
              <w:jc w:val="center"/>
              <w:rPr>
                <w:rFonts w:hint="eastAsia" w:eastAsia="宋体"/>
                <w:color w:val="auto"/>
                <w:highlight w:val="none"/>
                <w:lang w:eastAsia="zh-CN"/>
              </w:rPr>
            </w:pPr>
          </w:p>
        </w:tc>
      </w:tr>
    </w:tbl>
    <w:p w14:paraId="0700BEC2">
      <w:pPr>
        <w:jc w:val="left"/>
        <w:rPr>
          <w:color w:val="auto"/>
          <w:highlight w:val="none"/>
        </w:rPr>
      </w:pP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9387840</wp:posOffset>
                </wp:positionH>
                <wp:positionV relativeFrom="paragraph">
                  <wp:posOffset>193040</wp:posOffset>
                </wp:positionV>
                <wp:extent cx="351790" cy="4276725"/>
                <wp:effectExtent l="0" t="0" r="0" b="0"/>
                <wp:wrapNone/>
                <wp:docPr id="7" name="文本框 7"/>
                <wp:cNvGraphicFramePr/>
                <a:graphic xmlns:a="http://schemas.openxmlformats.org/drawingml/2006/main">
                  <a:graphicData uri="http://schemas.microsoft.com/office/word/2010/wordprocessingShape">
                    <wps:wsp>
                      <wps:cNvSpPr txBox="1"/>
                      <wps:spPr>
                        <a:xfrm>
                          <a:off x="0" y="0"/>
                          <a:ext cx="351790" cy="4276725"/>
                        </a:xfrm>
                        <a:prstGeom prst="rect">
                          <a:avLst/>
                        </a:prstGeom>
                        <a:noFill/>
                        <a:ln w="6350">
                          <a:noFill/>
                        </a:ln>
                        <a:effectLst/>
                      </wps:spPr>
                      <wps:txbx>
                        <w:txbxContent>
                          <w:p w14:paraId="3EC0C3F8">
                            <w:pPr>
                              <w:jc w:val="center"/>
                              <w:rPr>
                                <w:rFonts w:eastAsiaTheme="minorEastAsia"/>
                                <w:szCs w:val="21"/>
                              </w:rPr>
                            </w:pPr>
                            <w:r>
                              <w:rPr>
                                <w:rFonts w:hint="eastAsia"/>
                                <w:szCs w:val="21"/>
                              </w:rPr>
                              <w:t>一 存根（白）二 财务（红）三 顾客（绿）</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9.2pt;margin-top:15.2pt;height:336.75pt;width:27.7pt;z-index:251661312;mso-width-relative:page;mso-height-relative:page;" filled="f" stroked="f" coordsize="21600,21600" o:gfxdata="UEsDBAoAAAAAAIdO4kAAAAAAAAAAAAAAAAAEAAAAZHJzL1BLAwQUAAAACACHTuJAe2coXdoAAAAM&#10;AQAADwAAAGRycy9kb3ducmV2LnhtbE2PTUvDQBCG74L/YRnBm91tk9omZlNE6bVgLIi3TXZMQvcj&#10;ZDdt9Nc7PelpeJmH96PYzdawM46h907CciGAoWu87l0r4fi+f9gCC1E5rYx3KOEbA+zK25tC5dpf&#10;3Bueq9gyMnEhVxK6GIec89B0aFVY+AEd/b78aFUkObZcj+pC5tbwlRCP3KreUUKnBnzpsDlVk5Uw&#10;f2SHfZ0dns30+bpOVz/Hyk8nKe/vluIJWMQ5/sFwrU/VoaROtZ+cDsyQTjfblFgJiaB7JdZJQmtq&#10;CRuRZMDLgv8fUf4CUEsDBBQAAAAIAIdO4kAdTe7pRQIAAHYEAAAOAAAAZHJzL2Uyb0RvYy54bWyt&#10;VM2O2jAQvlfqO1i+lwALpIsIK7qIqtKquxL9ORvHIZFsj2sbEvoA7Rv01EvvfS6eo2MnsGjbwx56&#10;ccae8TfzfTPO7KZRkuyFdRXojA56fUqE5pBXepvRjx9Wr15T4jzTOZOgRUYPwtGb+csXs9pMxRBK&#10;kLmwBEG0m9Ymo6X3ZpokjpdCMdcDIzQ6C7CKedzabZJbViO6ksmw358kNdjcWODCOTxdtk7aIdrn&#10;AEJRVFwsge+U0L5FtUIyj5RcWRlH57HaohDc3xeFE57IjCJTH1dMgvYmrMl8xqZby0xZ8a4E9pwS&#10;nnBSrNKY9Ay1ZJ6Rna3+glIVt+Cg8D0OKmmJREWQxaD/RJt1yYyIXFBqZ86iu/8Hy9/vHyyp8oym&#10;lGimsOHHH9+PP38ff30jaZCnNm6KUWuDcb55Aw0Ozenc4WFg3RRWhS/yIehHcQ9ncUXjCcfDq/Eg&#10;vUYPR9domE7S4TjAJI+3jXX+rQBFgpFRi82LmrL9nfNt6CkkJNOwqqSMDZSa1BmdXI378cLZg+BS&#10;h1gRR6GDCYzayoPlm03T0dxAfkCWFtoxcYavKizljjn/wCzOBZaPL8ff41JIwJTQWZSUYL/+6zzE&#10;Z1SwT/ilpMZJy6j7smNWUCLfaWzl9WA0QmAfN6NxOsSNvfRsLj16p24Bh3mAr9TwaIZ4L09mYUF9&#10;xie2CHnRxTTH2jKK2Vvz1rfzj0+Ui8UiBuEwGubv9NrwAN3Ku9h5KKqofBCqVQc7FjY4jrF33dMJ&#10;8365j1GPv4v5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tnKF3aAAAADAEAAA8AAAAAAAAAAQAg&#10;AAAAIgAAAGRycy9kb3ducmV2LnhtbFBLAQIUABQAAAAIAIdO4kAdTe7pRQIAAHYEAAAOAAAAAAAA&#10;AAEAIAAAACkBAABkcnMvZTJvRG9jLnhtbFBLBQYAAAAABgAGAFkBAADgBQAAAAA=&#10;">
                <v:fill on="f" focussize="0,0"/>
                <v:stroke on="f" weight="0.5pt"/>
                <v:imagedata o:title=""/>
                <o:lock v:ext="edit" aspectratio="f"/>
                <v:textbox style="layout-flow:vertical-ideographic;">
                  <w:txbxContent>
                    <w:p w14:paraId="3EC0C3F8">
                      <w:pPr>
                        <w:jc w:val="center"/>
                        <w:rPr>
                          <w:rFonts w:eastAsiaTheme="minorEastAsia"/>
                          <w:szCs w:val="21"/>
                        </w:rPr>
                      </w:pPr>
                      <w:r>
                        <w:rPr>
                          <w:rFonts w:hint="eastAsia"/>
                          <w:szCs w:val="21"/>
                        </w:rPr>
                        <w:t>一 存根（白）二 财务（红）三 顾客（绿）</w:t>
                      </w:r>
                    </w:p>
                  </w:txbxContent>
                </v:textbox>
              </v:shape>
            </w:pict>
          </mc:Fallback>
        </mc:AlternateContent>
      </w:r>
    </w:p>
    <w:p w14:paraId="166D87E4">
      <w:pPr>
        <w:tabs>
          <w:tab w:val="right" w:pos="15138"/>
        </w:tabs>
        <w:jc w:val="left"/>
        <w:rPr>
          <w:rFonts w:ascii="宋体" w:hAnsi="宋体"/>
          <w:color w:val="auto"/>
          <w:highlight w:val="none"/>
        </w:rPr>
      </w:pPr>
      <w:r>
        <w:rPr>
          <w:rFonts w:hint="eastAsia" w:ascii="宋体" w:hAnsi="宋体"/>
          <w:color w:val="auto"/>
          <w:sz w:val="18"/>
          <w:szCs w:val="18"/>
          <w:highlight w:val="none"/>
        </w:rPr>
        <w:t>审批人：（项目经理）         审核人：（项目副经理</w:t>
      </w:r>
      <w:r>
        <w:rPr>
          <w:rFonts w:hint="eastAsia" w:ascii="宋体" w:hAnsi="宋体"/>
          <w:color w:val="auto"/>
          <w:sz w:val="18"/>
          <w:szCs w:val="18"/>
          <w:highlight w:val="none"/>
          <w:lang w:val="en-US" w:eastAsia="zh-CN"/>
        </w:rPr>
        <w:t>/技术负责人</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 xml:space="preserve">        </w:t>
      </w:r>
      <w:r>
        <w:rPr>
          <w:rFonts w:hint="eastAsia" w:ascii="宋体" w:hAnsi="宋体"/>
          <w:color w:val="auto"/>
          <w:sz w:val="18"/>
          <w:szCs w:val="18"/>
          <w:highlight w:val="none"/>
        </w:rPr>
        <w:t>编制人：（栋号施工员</w:t>
      </w:r>
      <w:r>
        <w:rPr>
          <w:rFonts w:hint="eastAsia" w:ascii="宋体" w:hAnsi="宋体"/>
          <w:color w:val="auto"/>
          <w:sz w:val="18"/>
          <w:szCs w:val="18"/>
          <w:highlight w:val="none"/>
          <w:lang w:val="en-US" w:eastAsia="zh-CN"/>
        </w:rPr>
        <w:t>/</w:t>
      </w:r>
      <w:r>
        <w:rPr>
          <w:rFonts w:hint="eastAsia" w:ascii="宋体" w:hAnsi="宋体"/>
          <w:color w:val="auto"/>
          <w:sz w:val="18"/>
          <w:szCs w:val="18"/>
          <w:highlight w:val="none"/>
          <w:lang w:eastAsia="zh-CN"/>
        </w:rPr>
        <w:t>仓管员</w:t>
      </w:r>
      <w:r>
        <w:rPr>
          <w:rFonts w:hint="eastAsia" w:ascii="宋体" w:hAnsi="宋体"/>
          <w:color w:val="auto"/>
          <w:sz w:val="18"/>
          <w:szCs w:val="18"/>
          <w:highlight w:val="none"/>
          <w:lang w:val="en-US" w:eastAsia="zh-CN"/>
        </w:rPr>
        <w:t>/</w:t>
      </w:r>
      <w:r>
        <w:rPr>
          <w:rFonts w:hint="eastAsia" w:ascii="宋体" w:hAnsi="宋体"/>
          <w:color w:val="auto"/>
          <w:sz w:val="18"/>
          <w:szCs w:val="18"/>
          <w:highlight w:val="none"/>
          <w:lang w:eastAsia="zh-CN"/>
        </w:rPr>
        <w:t>使用人</w:t>
      </w:r>
      <w:r>
        <w:rPr>
          <w:rFonts w:hint="eastAsia" w:ascii="宋体" w:hAnsi="宋体"/>
          <w:color w:val="auto"/>
          <w:highlight w:val="none"/>
        </w:rPr>
        <w:t xml:space="preserve">） </w:t>
      </w:r>
    </w:p>
    <w:p w14:paraId="0A46F108">
      <w:pPr>
        <w:jc w:val="both"/>
        <w:outlineLvl w:val="9"/>
        <w:rPr>
          <w:rFonts w:hint="default"/>
          <w:color w:val="auto"/>
          <w:highlight w:val="none"/>
          <w:lang w:val="en-US" w:eastAsia="zh-CN"/>
        </w:rPr>
      </w:pPr>
    </w:p>
    <w:p w14:paraId="707DF982">
      <w:pPr>
        <w:jc w:val="both"/>
        <w:outlineLvl w:val="9"/>
        <w:rPr>
          <w:rFonts w:hint="default"/>
          <w:color w:val="auto"/>
          <w:highlight w:val="none"/>
          <w:lang w:val="en-US" w:eastAsia="zh-CN"/>
        </w:rPr>
      </w:pPr>
    </w:p>
    <w:p w14:paraId="29E0438B">
      <w:pPr>
        <w:jc w:val="both"/>
        <w:outlineLvl w:val="9"/>
        <w:rPr>
          <w:rFonts w:hint="default"/>
          <w:color w:val="auto"/>
          <w:highlight w:val="none"/>
          <w:lang w:val="en-US" w:eastAsia="zh-CN"/>
        </w:rPr>
      </w:pPr>
    </w:p>
    <w:p w14:paraId="1217AC0A">
      <w:pPr>
        <w:jc w:val="both"/>
        <w:outlineLvl w:val="9"/>
        <w:rPr>
          <w:rFonts w:hint="default"/>
          <w:color w:val="auto"/>
          <w:highlight w:val="none"/>
          <w:lang w:val="en-US" w:eastAsia="zh-CN"/>
        </w:rPr>
        <w:sectPr>
          <w:footerReference r:id="rId6" w:type="default"/>
          <w:pgSz w:w="11906" w:h="16838"/>
          <w:pgMar w:top="964" w:right="1532" w:bottom="964" w:left="1554" w:header="737" w:footer="624" w:gutter="0"/>
          <w:pgBorders>
            <w:top w:val="none" w:sz="0" w:space="0"/>
            <w:left w:val="none" w:sz="0" w:space="0"/>
            <w:bottom w:val="none" w:sz="0" w:space="0"/>
            <w:right w:val="none" w:sz="0" w:space="0"/>
          </w:pgBorders>
          <w:pgNumType w:fmt="decimal" w:start="1"/>
          <w:cols w:space="720" w:num="1"/>
          <w:rtlGutter w:val="0"/>
          <w:docGrid w:type="lines" w:linePitch="312" w:charSpace="0"/>
        </w:sectPr>
      </w:pPr>
    </w:p>
    <w:p w14:paraId="5C77BD2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pacing w:val="-7"/>
          <w:sz w:val="36"/>
          <w:szCs w:val="36"/>
          <w:lang w:val="en-US" w:eastAsia="zh-CN"/>
        </w:rPr>
      </w:pPr>
      <w:r>
        <w:rPr>
          <w:rFonts w:hint="eastAsia" w:eastAsia="宋体"/>
          <w:color w:val="auto"/>
          <w:sz w:val="48"/>
          <w:szCs w:val="48"/>
          <w:lang w:val="en-US" w:eastAsia="zh-CN"/>
        </w:rPr>
        <w:t>东莞市中泰建安工程有限公司</w:t>
      </w:r>
      <w:r>
        <w:rPr>
          <w:rFonts w:hint="eastAsia" w:eastAsia="宋体"/>
          <w:color w:val="auto"/>
          <w:position w:val="-21"/>
          <w:sz w:val="32"/>
          <w:szCs w:val="32"/>
          <w:lang w:val="en-US" w:eastAsia="zh-CN"/>
        </w:rPr>
        <w:t xml:space="preserve">                          </w:t>
      </w:r>
      <w:r>
        <w:rPr>
          <w:rFonts w:hint="eastAsia"/>
          <w:color w:val="auto"/>
          <w:position w:val="-21"/>
          <w:sz w:val="32"/>
          <w:szCs w:val="32"/>
          <w:lang w:val="en-US" w:eastAsia="zh-CN"/>
        </w:rPr>
        <w:t>附件九</w:t>
      </w:r>
      <w:r>
        <w:rPr>
          <w:rFonts w:hint="eastAsia" w:eastAsia="宋体"/>
          <w:color w:val="auto"/>
          <w:position w:val="-21"/>
          <w:sz w:val="32"/>
          <w:szCs w:val="32"/>
          <w:lang w:val="en-US" w:eastAsia="zh-CN"/>
        </w:rPr>
        <w:t xml:space="preserve">                                                           </w:t>
      </w:r>
      <w:r>
        <w:rPr>
          <w:rFonts w:hint="eastAsia"/>
          <w:color w:val="auto"/>
          <w:position w:val="-21"/>
          <w:sz w:val="32"/>
          <w:szCs w:val="32"/>
          <w:lang w:val="en-US" w:eastAsia="zh-CN"/>
        </w:rPr>
        <w:t xml:space="preserve">                    </w:t>
      </w:r>
      <w:r>
        <w:rPr>
          <w:rFonts w:hint="eastAsia" w:eastAsia="宋体"/>
          <w:color w:val="auto"/>
          <w:position w:val="-21"/>
          <w:sz w:val="32"/>
          <w:szCs w:val="32"/>
          <w:lang w:val="en-US" w:eastAsia="zh-CN"/>
        </w:rPr>
        <w:t>受控</w:t>
      </w:r>
    </w:p>
    <w:p w14:paraId="16055AA1">
      <w:pPr>
        <w:pStyle w:val="3"/>
        <w:keepNext w:val="0"/>
        <w:keepLines w:val="0"/>
        <w:pageBreakBefore w:val="0"/>
        <w:widowControl/>
        <w:kinsoku w:val="0"/>
        <w:wordWrap/>
        <w:overflowPunct/>
        <w:topLinePunct w:val="0"/>
        <w:autoSpaceDE w:val="0"/>
        <w:autoSpaceDN w:val="0"/>
        <w:bidi w:val="0"/>
        <w:adjustRightInd w:val="0"/>
        <w:snapToGrid w:val="0"/>
        <w:spacing w:before="194" w:line="240" w:lineRule="auto"/>
        <w:ind w:left="6612"/>
        <w:textAlignment w:val="baseline"/>
        <w:outlineLvl w:val="0"/>
        <w:rPr>
          <w:rFonts w:hint="eastAsia" w:ascii="宋体" w:hAnsi="宋体" w:eastAsia="宋体" w:cs="宋体"/>
          <w:color w:val="auto"/>
          <w:spacing w:val="-7"/>
          <w:sz w:val="36"/>
          <w:szCs w:val="36"/>
          <w:lang w:val="en-US" w:eastAsia="zh-CN"/>
        </w:rPr>
      </w:pPr>
      <w:r>
        <w:rPr>
          <w:rFonts w:hint="eastAsia" w:ascii="宋体" w:hAnsi="宋体" w:eastAsia="宋体" w:cs="宋体"/>
          <w:color w:val="auto"/>
          <w:spacing w:val="-7"/>
          <w:sz w:val="36"/>
          <w:szCs w:val="36"/>
          <w:lang w:val="en-US" w:eastAsia="zh-CN"/>
        </w:rPr>
        <w:t xml:space="preserve">                                 </w:t>
      </w:r>
      <w:r>
        <w:rPr>
          <w:rFonts w:hint="eastAsia" w:cs="宋体"/>
          <w:color w:val="auto"/>
          <w:spacing w:val="-7"/>
          <w:sz w:val="36"/>
          <w:szCs w:val="36"/>
          <w:lang w:val="en-US" w:eastAsia="zh-CN"/>
        </w:rPr>
        <w:t xml:space="preserve">  </w:t>
      </w:r>
      <w:r>
        <w:rPr>
          <w:rFonts w:hint="eastAsia" w:ascii="宋体" w:hAnsi="宋体" w:eastAsia="宋体" w:cs="宋体"/>
          <w:color w:val="auto"/>
          <w:spacing w:val="-7"/>
          <w:sz w:val="36"/>
          <w:szCs w:val="36"/>
          <w:lang w:val="en-US" w:eastAsia="zh-CN"/>
        </w:rPr>
        <w:t xml:space="preserve"> No. </w:t>
      </w:r>
    </w:p>
    <w:p w14:paraId="108814CA">
      <w:pPr>
        <w:pStyle w:val="3"/>
        <w:keepNext w:val="0"/>
        <w:keepLines w:val="0"/>
        <w:pageBreakBefore w:val="0"/>
        <w:widowControl/>
        <w:kinsoku w:val="0"/>
        <w:wordWrap/>
        <w:overflowPunct/>
        <w:topLinePunct w:val="0"/>
        <w:autoSpaceDE w:val="0"/>
        <w:autoSpaceDN w:val="0"/>
        <w:bidi w:val="0"/>
        <w:adjustRightInd w:val="0"/>
        <w:snapToGrid w:val="0"/>
        <w:spacing w:before="194" w:line="360" w:lineRule="auto"/>
        <w:jc w:val="center"/>
        <w:textAlignment w:val="baseline"/>
        <w:outlineLvl w:val="0"/>
        <w:rPr>
          <w:rFonts w:hint="eastAsia" w:ascii="宋体" w:hAnsi="宋体" w:eastAsia="宋体" w:cs="宋体"/>
          <w:color w:val="auto"/>
          <w:sz w:val="36"/>
          <w:szCs w:val="36"/>
        </w:rPr>
      </w:pPr>
      <w:r>
        <w:rPr>
          <w:rFonts w:hint="eastAsia" w:cs="宋体"/>
          <w:color w:val="auto"/>
          <w:spacing w:val="-7"/>
          <w:sz w:val="36"/>
          <w:szCs w:val="36"/>
          <w:lang w:val="en-US" w:eastAsia="zh-CN"/>
        </w:rPr>
        <w:t xml:space="preserve">材 料 </w:t>
      </w:r>
      <w:r>
        <w:rPr>
          <w:rFonts w:hint="eastAsia" w:ascii="宋体" w:hAnsi="宋体" w:eastAsia="宋体" w:cs="宋体"/>
          <w:color w:val="auto"/>
          <w:spacing w:val="-7"/>
          <w:sz w:val="36"/>
          <w:szCs w:val="36"/>
        </w:rPr>
        <w:t>签</w:t>
      </w:r>
      <w:r>
        <w:rPr>
          <w:rFonts w:hint="eastAsia" w:ascii="宋体" w:hAnsi="宋体" w:eastAsia="宋体" w:cs="宋体"/>
          <w:color w:val="auto"/>
          <w:spacing w:val="82"/>
          <w:sz w:val="36"/>
          <w:szCs w:val="36"/>
        </w:rPr>
        <w:t xml:space="preserve"> </w:t>
      </w:r>
      <w:r>
        <w:rPr>
          <w:rFonts w:hint="eastAsia" w:ascii="宋体" w:hAnsi="宋体" w:eastAsia="宋体" w:cs="宋体"/>
          <w:color w:val="auto"/>
          <w:spacing w:val="-7"/>
          <w:sz w:val="36"/>
          <w:szCs w:val="36"/>
        </w:rPr>
        <w:t>收</w:t>
      </w:r>
      <w:r>
        <w:rPr>
          <w:rFonts w:hint="eastAsia" w:ascii="宋体" w:hAnsi="宋体" w:eastAsia="宋体" w:cs="宋体"/>
          <w:color w:val="auto"/>
          <w:spacing w:val="53"/>
          <w:sz w:val="36"/>
          <w:szCs w:val="36"/>
        </w:rPr>
        <w:t xml:space="preserve"> </w:t>
      </w:r>
      <w:r>
        <w:rPr>
          <w:rFonts w:hint="eastAsia" w:ascii="宋体" w:hAnsi="宋体" w:eastAsia="宋体" w:cs="宋体"/>
          <w:color w:val="auto"/>
          <w:spacing w:val="-7"/>
          <w:sz w:val="36"/>
          <w:szCs w:val="36"/>
        </w:rPr>
        <w:t>单</w:t>
      </w:r>
    </w:p>
    <w:p w14:paraId="0C0C85B0">
      <w:pPr>
        <w:pStyle w:val="3"/>
        <w:keepNext w:val="0"/>
        <w:keepLines w:val="0"/>
        <w:pageBreakBefore w:val="0"/>
        <w:widowControl/>
        <w:kinsoku w:val="0"/>
        <w:wordWrap/>
        <w:overflowPunct/>
        <w:topLinePunct w:val="0"/>
        <w:autoSpaceDE w:val="0"/>
        <w:autoSpaceDN w:val="0"/>
        <w:bidi w:val="0"/>
        <w:adjustRightInd w:val="0"/>
        <w:snapToGrid w:val="0"/>
        <w:spacing w:before="7" w:line="360" w:lineRule="auto"/>
        <w:ind w:left="251"/>
        <w:textAlignment w:val="baseline"/>
        <w:rPr>
          <w:rFonts w:hint="eastAsia" w:ascii="宋体" w:hAnsi="宋体" w:eastAsia="宋体" w:cs="宋体"/>
          <w:color w:val="auto"/>
        </w:rPr>
      </w:pPr>
      <w:r>
        <w:rPr>
          <w:color w:val="auto"/>
        </w:rPr>
        <mc:AlternateContent>
          <mc:Choice Requires="wps">
            <w:drawing>
              <wp:anchor distT="0" distB="0" distL="114300" distR="114300" simplePos="0" relativeHeight="251663360" behindDoc="0" locked="0" layoutInCell="1" allowOverlap="1">
                <wp:simplePos x="0" y="0"/>
                <wp:positionH relativeFrom="column">
                  <wp:posOffset>9505315</wp:posOffset>
                </wp:positionH>
                <wp:positionV relativeFrom="paragraph">
                  <wp:posOffset>214630</wp:posOffset>
                </wp:positionV>
                <wp:extent cx="225425" cy="3402330"/>
                <wp:effectExtent l="0" t="0" r="0" b="0"/>
                <wp:wrapNone/>
                <wp:docPr id="8" name="文本框 8"/>
                <wp:cNvGraphicFramePr/>
                <a:graphic xmlns:a="http://schemas.openxmlformats.org/drawingml/2006/main">
                  <a:graphicData uri="http://schemas.microsoft.com/office/word/2010/wordprocessingShape">
                    <wps:wsp>
                      <wps:cNvSpPr txBox="1"/>
                      <wps:spPr>
                        <a:xfrm>
                          <a:off x="0" y="0"/>
                          <a:ext cx="225425" cy="3402330"/>
                        </a:xfrm>
                        <a:prstGeom prst="rect">
                          <a:avLst/>
                        </a:prstGeom>
                        <a:noFill/>
                        <a:ln>
                          <a:noFill/>
                        </a:ln>
                      </wps:spPr>
                      <wps:txbx>
                        <w:txbxContent>
                          <w:p w14:paraId="728EB19A">
                            <w:pPr>
                              <w:pStyle w:val="3"/>
                              <w:spacing w:before="20" w:line="209" w:lineRule="auto"/>
                              <w:ind w:left="20"/>
                              <w:rPr>
                                <w:sz w:val="21"/>
                                <w:szCs w:val="21"/>
                              </w:rPr>
                            </w:pPr>
                            <w:r>
                              <w:rPr>
                                <w:spacing w:val="35"/>
                                <w:sz w:val="21"/>
                                <w:szCs w:val="21"/>
                              </w:rPr>
                              <w:t>一存根（白）二</w:t>
                            </w:r>
                            <w:r>
                              <w:rPr>
                                <w:spacing w:val="63"/>
                                <w:sz w:val="21"/>
                                <w:szCs w:val="21"/>
                              </w:rPr>
                              <w:t xml:space="preserve"> </w:t>
                            </w:r>
                            <w:r>
                              <w:rPr>
                                <w:spacing w:val="35"/>
                                <w:sz w:val="21"/>
                                <w:szCs w:val="21"/>
                              </w:rPr>
                              <w:t>财务（红）三</w:t>
                            </w:r>
                            <w:r>
                              <w:rPr>
                                <w:spacing w:val="62"/>
                                <w:sz w:val="21"/>
                                <w:szCs w:val="21"/>
                              </w:rPr>
                              <w:t xml:space="preserve"> </w:t>
                            </w:r>
                            <w:r>
                              <w:rPr>
                                <w:spacing w:val="35"/>
                                <w:sz w:val="21"/>
                                <w:szCs w:val="21"/>
                              </w:rPr>
                              <w:t>顾客（绿）</w:t>
                            </w:r>
                          </w:p>
                        </w:txbxContent>
                      </wps:txbx>
                      <wps:bodyPr vert="eaVert" lIns="0" tIns="0" rIns="0" bIns="0" upright="1"/>
                    </wps:wsp>
                  </a:graphicData>
                </a:graphic>
              </wp:anchor>
            </w:drawing>
          </mc:Choice>
          <mc:Fallback>
            <w:pict>
              <v:shape id="_x0000_s1026" o:spid="_x0000_s1026" o:spt="202" type="#_x0000_t202" style="position:absolute;left:0pt;margin-left:748.45pt;margin-top:16.9pt;height:267.9pt;width:17.75pt;z-index:251663360;mso-width-relative:page;mso-height-relative:page;" filled="f" stroked="f" coordsize="21600,21600" o:gfxdata="UEsDBAoAAAAAAIdO4kAAAAAAAAAAAAAAAAAEAAAAZHJzL1BLAwQUAAAACACHTuJAwluBZ9gAAAAM&#10;AQAADwAAAGRycy9kb3ducmV2LnhtbE2Py07DMBBF90j8gzVI7KjTpolIiFOhVsC6oZvspvGQRNjj&#10;KHYf/D3uCpZXc3Tn3GpztUacafajYwXLRQKCuHN65F7B4fPt6RmED8gajWNS8EMeNvX9XYWldhfe&#10;07kJvYgl7EtUMIQwlVL6biCLfuEm4nj7crPFEOPcSz3jJZZbI1dJkkuLI8cPA060Haj7bk5WQbtt&#10;jXTdIes+9qnE12b3btqdUo8Py+QFRKBr+IPhph/VoY5OR3di7YWJeV3kRWQVpGnccCOydLUGcVSQ&#10;5UUOsq7k/xH1L1BLAwQUAAAACACHTuJABA57ocQBAACAAwAADgAAAGRycy9lMm9Eb2MueG1srVPN&#10;bhMxEL4j8Q6W78TbTYuqVTaVUFSEhACplLvjHWct+U+2k928ALwBJy7cea48B2Mnm9L20gMXezwz&#10;/ma+b+zFzWg02UGIytmWXswqSsAK1ym7aen919s315TExG3HtbPQ0j1EerN8/Wox+AZq1zvdQSAI&#10;YmMz+Jb2KfmGsSh6MDzOnAeLQemC4QmPYcO6wAdEN5rVVfWWDS50PjgBMaJ3dQzSE2J4CaCTUglY&#10;ObE1YNMRNYDmCSnFXvlIl6VbKUGkz1JGSES3FJmmsmIRtNd5ZcsFbzaB+16JUwv8JS084WS4slj0&#10;DLXiiZNtUM+gjBLBRSfTTDjDjkSKIsjionqizV3PPRQuKHX0Z9Hj/4MVn3ZfAlFdS3Hslhsc+OHn&#10;j8OvP4ff38l1lmfwscGsO495aXznRnw0kz+iM7MeZTB5Rz4E4yju/iwujIkIdNb11WV9RYnA0Pyy&#10;qufzoj57uO1DTO/BGZKNlgYcXtGU7z7GhJ1g6pSSi1l3q7QuA9T2kQMTs4fl1o8tZiuN6/HEZ+26&#10;PdLBX4B1gH/DnRL9waKw+ZFMRpiM9WRsfVCbHi8VCUoBHExp7fSI8uT/PZc2Hj7O8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CW4Fn2AAAAAwBAAAPAAAAAAAAAAEAIAAAACIAAABkcnMvZG93bnJl&#10;di54bWxQSwECFAAUAAAACACHTuJABA57ocQBAACAAwAADgAAAAAAAAABACAAAAAnAQAAZHJzL2Uy&#10;b0RvYy54bWxQSwUGAAAAAAYABgBZAQAAXQUAAAAA&#10;">
                <v:fill on="f" focussize="0,0"/>
                <v:stroke on="f"/>
                <v:imagedata o:title=""/>
                <o:lock v:ext="edit" aspectratio="f"/>
                <v:textbox inset="0mm,0mm,0mm,0mm" style="layout-flow:vertical-ideographic;">
                  <w:txbxContent>
                    <w:p w14:paraId="728EB19A">
                      <w:pPr>
                        <w:pStyle w:val="3"/>
                        <w:spacing w:before="20" w:line="209" w:lineRule="auto"/>
                        <w:ind w:left="20"/>
                        <w:rPr>
                          <w:sz w:val="21"/>
                          <w:szCs w:val="21"/>
                        </w:rPr>
                      </w:pPr>
                      <w:r>
                        <w:rPr>
                          <w:spacing w:val="35"/>
                          <w:sz w:val="21"/>
                          <w:szCs w:val="21"/>
                        </w:rPr>
                        <w:t>一存根（白）二</w:t>
                      </w:r>
                      <w:r>
                        <w:rPr>
                          <w:spacing w:val="63"/>
                          <w:sz w:val="21"/>
                          <w:szCs w:val="21"/>
                        </w:rPr>
                        <w:t xml:space="preserve"> </w:t>
                      </w:r>
                      <w:r>
                        <w:rPr>
                          <w:spacing w:val="35"/>
                          <w:sz w:val="21"/>
                          <w:szCs w:val="21"/>
                        </w:rPr>
                        <w:t>财务（红）三</w:t>
                      </w:r>
                      <w:r>
                        <w:rPr>
                          <w:spacing w:val="62"/>
                          <w:sz w:val="21"/>
                          <w:szCs w:val="21"/>
                        </w:rPr>
                        <w:t xml:space="preserve"> </w:t>
                      </w:r>
                      <w:r>
                        <w:rPr>
                          <w:spacing w:val="35"/>
                          <w:sz w:val="21"/>
                          <w:szCs w:val="21"/>
                        </w:rPr>
                        <w:t>顾客（绿）</w:t>
                      </w:r>
                    </w:p>
                  </w:txbxContent>
                </v:textbox>
              </v:shape>
            </w:pict>
          </mc:Fallback>
        </mc:AlternateContent>
      </w:r>
      <w:r>
        <w:rPr>
          <w:rFonts w:hint="eastAsia" w:ascii="宋体" w:hAnsi="宋体" w:eastAsia="宋体" w:cs="宋体"/>
          <w:color w:val="auto"/>
          <w:spacing w:val="1"/>
          <w:lang w:val="en-US" w:eastAsia="zh-CN"/>
        </w:rPr>
        <w:t>RM-17-A</w:t>
      </w:r>
      <w:r>
        <w:rPr>
          <w:rFonts w:hint="eastAsia" w:ascii="宋体" w:hAnsi="宋体" w:eastAsia="宋体" w:cs="宋体"/>
          <w:color w:val="auto"/>
          <w:spacing w:val="1"/>
        </w:rPr>
        <w:t xml:space="preserve">                         </w:t>
      </w:r>
      <w:r>
        <w:rPr>
          <w:rFonts w:hint="eastAsia" w:ascii="宋体" w:hAnsi="宋体" w:eastAsia="宋体" w:cs="宋体"/>
          <w:color w:val="auto"/>
        </w:rPr>
        <w:t xml:space="preserve">              </w:t>
      </w:r>
      <w:r>
        <w:rPr>
          <w:rFonts w:hint="eastAsia" w:cs="宋体"/>
          <w:color w:val="auto"/>
          <w:lang w:val="en-US" w:eastAsia="zh-CN"/>
        </w:rPr>
        <w:t xml:space="preserve">    20  年    月   日</w:t>
      </w:r>
      <w:r>
        <w:rPr>
          <w:rFonts w:hint="eastAsia" w:ascii="宋体" w:hAnsi="宋体" w:eastAsia="宋体" w:cs="宋体"/>
          <w:color w:val="auto"/>
        </w:rPr>
        <w:t xml:space="preserve">                              </w:t>
      </w:r>
    </w:p>
    <w:tbl>
      <w:tblPr>
        <w:tblStyle w:val="14"/>
        <w:tblW w:w="1456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110"/>
        <w:gridCol w:w="2457"/>
        <w:gridCol w:w="1987"/>
        <w:gridCol w:w="1787"/>
        <w:gridCol w:w="1312"/>
        <w:gridCol w:w="2907"/>
      </w:tblGrid>
      <w:tr w14:paraId="26698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4110" w:type="dxa"/>
            <w:vAlign w:val="top"/>
          </w:tcPr>
          <w:p w14:paraId="6B6608FD">
            <w:pPr>
              <w:spacing w:before="263" w:line="220" w:lineRule="auto"/>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工</w:t>
            </w:r>
            <w:r>
              <w:rPr>
                <w:rFonts w:hint="eastAsia" w:ascii="宋体" w:hAnsi="宋体" w:eastAsia="宋体" w:cs="宋体"/>
                <w:color w:val="auto"/>
                <w:spacing w:val="7"/>
                <w:sz w:val="24"/>
                <w:szCs w:val="24"/>
                <w:lang w:val="en-US" w:eastAsia="zh-CN"/>
              </w:rPr>
              <w:t>地</w:t>
            </w:r>
            <w:r>
              <w:rPr>
                <w:rFonts w:hint="eastAsia" w:ascii="宋体" w:hAnsi="宋体" w:eastAsia="宋体" w:cs="宋体"/>
                <w:color w:val="auto"/>
                <w:spacing w:val="7"/>
                <w:sz w:val="24"/>
                <w:szCs w:val="24"/>
              </w:rPr>
              <w:t>名称</w:t>
            </w:r>
          </w:p>
        </w:tc>
        <w:tc>
          <w:tcPr>
            <w:tcW w:w="2457" w:type="dxa"/>
            <w:vAlign w:val="top"/>
          </w:tcPr>
          <w:p w14:paraId="2D2B249C">
            <w:pPr>
              <w:spacing w:before="262" w:line="219" w:lineRule="auto"/>
              <w:jc w:val="center"/>
              <w:rPr>
                <w:rFonts w:hint="eastAsia" w:ascii="宋体" w:hAnsi="宋体" w:eastAsia="宋体" w:cs="宋体"/>
                <w:color w:val="auto"/>
                <w:sz w:val="24"/>
                <w:szCs w:val="24"/>
              </w:rPr>
            </w:pPr>
            <w:r>
              <w:rPr>
                <w:rFonts w:hint="eastAsia" w:ascii="宋体" w:hAnsi="宋体" w:eastAsia="宋体" w:cs="宋体"/>
                <w:color w:val="auto"/>
                <w:spacing w:val="7"/>
                <w:sz w:val="24"/>
                <w:szCs w:val="24"/>
              </w:rPr>
              <w:t>材料名称</w:t>
            </w:r>
          </w:p>
        </w:tc>
        <w:tc>
          <w:tcPr>
            <w:tcW w:w="1987" w:type="dxa"/>
            <w:vAlign w:val="top"/>
          </w:tcPr>
          <w:p w14:paraId="30593313">
            <w:pPr>
              <w:spacing w:before="263" w:line="220" w:lineRule="auto"/>
              <w:jc w:val="center"/>
              <w:rPr>
                <w:rFonts w:hint="eastAsia" w:ascii="宋体" w:hAnsi="宋体" w:eastAsia="宋体" w:cs="宋体"/>
                <w:color w:val="auto"/>
                <w:sz w:val="24"/>
                <w:szCs w:val="24"/>
              </w:rPr>
            </w:pPr>
            <w:r>
              <w:rPr>
                <w:rFonts w:hint="eastAsia" w:ascii="宋体" w:hAnsi="宋体" w:eastAsia="宋体" w:cs="宋体"/>
                <w:color w:val="auto"/>
                <w:spacing w:val="1"/>
                <w:sz w:val="24"/>
                <w:szCs w:val="24"/>
              </w:rPr>
              <w:t>单位</w:t>
            </w:r>
          </w:p>
        </w:tc>
        <w:tc>
          <w:tcPr>
            <w:tcW w:w="1787" w:type="dxa"/>
            <w:vAlign w:val="top"/>
          </w:tcPr>
          <w:p w14:paraId="27283495">
            <w:pPr>
              <w:spacing w:before="263" w:line="219" w:lineRule="auto"/>
              <w:jc w:val="center"/>
              <w:rPr>
                <w:rFonts w:hint="eastAsia" w:ascii="宋体" w:hAnsi="宋体" w:eastAsia="宋体" w:cs="宋体"/>
                <w:color w:val="auto"/>
                <w:sz w:val="24"/>
                <w:szCs w:val="24"/>
              </w:rPr>
            </w:pPr>
            <w:r>
              <w:rPr>
                <w:rFonts w:hint="eastAsia" w:ascii="宋体" w:hAnsi="宋体" w:eastAsia="宋体" w:cs="宋体"/>
                <w:color w:val="auto"/>
                <w:spacing w:val="1"/>
                <w:sz w:val="24"/>
                <w:szCs w:val="24"/>
              </w:rPr>
              <w:t>数量</w:t>
            </w:r>
          </w:p>
        </w:tc>
        <w:tc>
          <w:tcPr>
            <w:tcW w:w="1312" w:type="dxa"/>
            <w:vAlign w:val="top"/>
          </w:tcPr>
          <w:p w14:paraId="1A13DBF1">
            <w:pPr>
              <w:spacing w:before="263" w:line="218" w:lineRule="auto"/>
              <w:ind w:left="413"/>
              <w:rPr>
                <w:rFonts w:hint="eastAsia" w:ascii="宋体" w:hAnsi="宋体" w:eastAsia="宋体" w:cs="宋体"/>
                <w:color w:val="auto"/>
                <w:sz w:val="24"/>
                <w:szCs w:val="24"/>
              </w:rPr>
            </w:pPr>
            <w:r>
              <w:rPr>
                <w:rFonts w:hint="eastAsia" w:ascii="宋体" w:hAnsi="宋体" w:eastAsia="宋体" w:cs="宋体"/>
                <w:color w:val="auto"/>
                <w:spacing w:val="1"/>
                <w:sz w:val="24"/>
                <w:szCs w:val="24"/>
              </w:rPr>
              <w:t>单价</w:t>
            </w:r>
          </w:p>
        </w:tc>
        <w:tc>
          <w:tcPr>
            <w:tcW w:w="2907" w:type="dxa"/>
            <w:vAlign w:val="top"/>
          </w:tcPr>
          <w:p w14:paraId="4E09596A">
            <w:pPr>
              <w:spacing w:before="262" w:line="221" w:lineRule="auto"/>
              <w:ind w:left="1209"/>
              <w:rPr>
                <w:rFonts w:hint="eastAsia" w:ascii="宋体" w:hAnsi="宋体" w:eastAsia="宋体" w:cs="宋体"/>
                <w:color w:val="auto"/>
                <w:sz w:val="24"/>
                <w:szCs w:val="24"/>
              </w:rPr>
            </w:pPr>
            <w:r>
              <w:rPr>
                <w:rFonts w:hint="eastAsia" w:ascii="宋体" w:hAnsi="宋体" w:eastAsia="宋体" w:cs="宋体"/>
                <w:color w:val="auto"/>
                <w:spacing w:val="1"/>
                <w:sz w:val="24"/>
                <w:szCs w:val="24"/>
              </w:rPr>
              <w:t>备注</w:t>
            </w:r>
          </w:p>
        </w:tc>
      </w:tr>
      <w:tr w14:paraId="017E3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4110" w:type="dxa"/>
            <w:vAlign w:val="top"/>
          </w:tcPr>
          <w:p w14:paraId="7CD410BC">
            <w:pPr>
              <w:pStyle w:val="15"/>
              <w:rPr>
                <w:rFonts w:hint="eastAsia" w:ascii="宋体" w:hAnsi="宋体" w:eastAsia="宋体" w:cs="宋体"/>
                <w:color w:val="auto"/>
              </w:rPr>
            </w:pPr>
          </w:p>
        </w:tc>
        <w:tc>
          <w:tcPr>
            <w:tcW w:w="2457" w:type="dxa"/>
            <w:vAlign w:val="top"/>
          </w:tcPr>
          <w:p w14:paraId="0B73A4BE">
            <w:pPr>
              <w:pStyle w:val="15"/>
              <w:rPr>
                <w:rFonts w:hint="eastAsia" w:ascii="宋体" w:hAnsi="宋体" w:eastAsia="宋体" w:cs="宋体"/>
                <w:color w:val="auto"/>
              </w:rPr>
            </w:pPr>
          </w:p>
        </w:tc>
        <w:tc>
          <w:tcPr>
            <w:tcW w:w="1987" w:type="dxa"/>
            <w:vAlign w:val="top"/>
          </w:tcPr>
          <w:p w14:paraId="4149E242">
            <w:pPr>
              <w:pStyle w:val="15"/>
              <w:rPr>
                <w:rFonts w:hint="eastAsia" w:ascii="宋体" w:hAnsi="宋体" w:eastAsia="宋体" w:cs="宋体"/>
                <w:color w:val="auto"/>
              </w:rPr>
            </w:pPr>
          </w:p>
        </w:tc>
        <w:tc>
          <w:tcPr>
            <w:tcW w:w="1787" w:type="dxa"/>
            <w:vAlign w:val="top"/>
          </w:tcPr>
          <w:p w14:paraId="2A991D27">
            <w:pPr>
              <w:pStyle w:val="15"/>
              <w:rPr>
                <w:rFonts w:hint="eastAsia" w:ascii="宋体" w:hAnsi="宋体" w:eastAsia="宋体" w:cs="宋体"/>
                <w:color w:val="auto"/>
              </w:rPr>
            </w:pPr>
          </w:p>
        </w:tc>
        <w:tc>
          <w:tcPr>
            <w:tcW w:w="1312" w:type="dxa"/>
            <w:vAlign w:val="top"/>
          </w:tcPr>
          <w:p w14:paraId="38F2833C">
            <w:pPr>
              <w:pStyle w:val="15"/>
              <w:rPr>
                <w:rFonts w:hint="eastAsia" w:ascii="宋体" w:hAnsi="宋体" w:eastAsia="宋体" w:cs="宋体"/>
                <w:color w:val="auto"/>
              </w:rPr>
            </w:pPr>
          </w:p>
        </w:tc>
        <w:tc>
          <w:tcPr>
            <w:tcW w:w="2907" w:type="dxa"/>
            <w:vAlign w:val="top"/>
          </w:tcPr>
          <w:p w14:paraId="2E899241">
            <w:pPr>
              <w:pStyle w:val="15"/>
              <w:rPr>
                <w:rFonts w:hint="eastAsia" w:ascii="宋体" w:hAnsi="宋体" w:eastAsia="宋体" w:cs="宋体"/>
                <w:color w:val="auto"/>
              </w:rPr>
            </w:pPr>
          </w:p>
        </w:tc>
      </w:tr>
      <w:tr w14:paraId="37301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4110" w:type="dxa"/>
            <w:vAlign w:val="top"/>
          </w:tcPr>
          <w:p w14:paraId="64114104">
            <w:pPr>
              <w:pStyle w:val="15"/>
              <w:rPr>
                <w:rFonts w:hint="eastAsia" w:ascii="宋体" w:hAnsi="宋体" w:eastAsia="宋体" w:cs="宋体"/>
                <w:color w:val="auto"/>
              </w:rPr>
            </w:pPr>
          </w:p>
        </w:tc>
        <w:tc>
          <w:tcPr>
            <w:tcW w:w="2457" w:type="dxa"/>
            <w:vAlign w:val="top"/>
          </w:tcPr>
          <w:p w14:paraId="4BF7F30B">
            <w:pPr>
              <w:pStyle w:val="15"/>
              <w:rPr>
                <w:rFonts w:hint="eastAsia" w:ascii="宋体" w:hAnsi="宋体" w:eastAsia="宋体" w:cs="宋体"/>
                <w:color w:val="auto"/>
              </w:rPr>
            </w:pPr>
          </w:p>
        </w:tc>
        <w:tc>
          <w:tcPr>
            <w:tcW w:w="1987" w:type="dxa"/>
            <w:vAlign w:val="top"/>
          </w:tcPr>
          <w:p w14:paraId="754B39C8">
            <w:pPr>
              <w:pStyle w:val="15"/>
              <w:rPr>
                <w:rFonts w:hint="eastAsia" w:ascii="宋体" w:hAnsi="宋体" w:eastAsia="宋体" w:cs="宋体"/>
                <w:color w:val="auto"/>
              </w:rPr>
            </w:pPr>
          </w:p>
        </w:tc>
        <w:tc>
          <w:tcPr>
            <w:tcW w:w="1787" w:type="dxa"/>
            <w:vAlign w:val="top"/>
          </w:tcPr>
          <w:p w14:paraId="152C4915">
            <w:pPr>
              <w:pStyle w:val="15"/>
              <w:rPr>
                <w:rFonts w:hint="eastAsia" w:ascii="宋体" w:hAnsi="宋体" w:eastAsia="宋体" w:cs="宋体"/>
                <w:color w:val="auto"/>
              </w:rPr>
            </w:pPr>
          </w:p>
        </w:tc>
        <w:tc>
          <w:tcPr>
            <w:tcW w:w="1312" w:type="dxa"/>
            <w:vAlign w:val="top"/>
          </w:tcPr>
          <w:p w14:paraId="7824E82F">
            <w:pPr>
              <w:pStyle w:val="15"/>
              <w:rPr>
                <w:rFonts w:hint="eastAsia" w:ascii="宋体" w:hAnsi="宋体" w:eastAsia="宋体" w:cs="宋体"/>
                <w:color w:val="auto"/>
              </w:rPr>
            </w:pPr>
          </w:p>
        </w:tc>
        <w:tc>
          <w:tcPr>
            <w:tcW w:w="2907" w:type="dxa"/>
            <w:vAlign w:val="top"/>
          </w:tcPr>
          <w:p w14:paraId="3F7ED103">
            <w:pPr>
              <w:pStyle w:val="15"/>
              <w:rPr>
                <w:rFonts w:hint="eastAsia" w:ascii="宋体" w:hAnsi="宋体" w:eastAsia="宋体" w:cs="宋体"/>
                <w:color w:val="auto"/>
              </w:rPr>
            </w:pPr>
          </w:p>
        </w:tc>
      </w:tr>
      <w:tr w14:paraId="79DF2F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4110" w:type="dxa"/>
            <w:vAlign w:val="top"/>
          </w:tcPr>
          <w:p w14:paraId="4B002C8C">
            <w:pPr>
              <w:pStyle w:val="15"/>
              <w:rPr>
                <w:rFonts w:hint="eastAsia" w:ascii="宋体" w:hAnsi="宋体" w:eastAsia="宋体" w:cs="宋体"/>
                <w:color w:val="auto"/>
              </w:rPr>
            </w:pPr>
          </w:p>
        </w:tc>
        <w:tc>
          <w:tcPr>
            <w:tcW w:w="2457" w:type="dxa"/>
            <w:vAlign w:val="top"/>
          </w:tcPr>
          <w:p w14:paraId="53A4FDCB">
            <w:pPr>
              <w:pStyle w:val="15"/>
              <w:rPr>
                <w:rFonts w:hint="eastAsia" w:ascii="宋体" w:hAnsi="宋体" w:eastAsia="宋体" w:cs="宋体"/>
                <w:color w:val="auto"/>
              </w:rPr>
            </w:pPr>
          </w:p>
        </w:tc>
        <w:tc>
          <w:tcPr>
            <w:tcW w:w="1987" w:type="dxa"/>
            <w:vAlign w:val="top"/>
          </w:tcPr>
          <w:p w14:paraId="68459A55">
            <w:pPr>
              <w:pStyle w:val="15"/>
              <w:rPr>
                <w:rFonts w:hint="eastAsia" w:ascii="宋体" w:hAnsi="宋体" w:eastAsia="宋体" w:cs="宋体"/>
                <w:color w:val="auto"/>
              </w:rPr>
            </w:pPr>
          </w:p>
        </w:tc>
        <w:tc>
          <w:tcPr>
            <w:tcW w:w="1787" w:type="dxa"/>
            <w:vAlign w:val="top"/>
          </w:tcPr>
          <w:p w14:paraId="06391782">
            <w:pPr>
              <w:pStyle w:val="15"/>
              <w:rPr>
                <w:rFonts w:hint="eastAsia" w:ascii="宋体" w:hAnsi="宋体" w:eastAsia="宋体" w:cs="宋体"/>
                <w:color w:val="auto"/>
              </w:rPr>
            </w:pPr>
          </w:p>
        </w:tc>
        <w:tc>
          <w:tcPr>
            <w:tcW w:w="1312" w:type="dxa"/>
            <w:vAlign w:val="top"/>
          </w:tcPr>
          <w:p w14:paraId="027BA91A">
            <w:pPr>
              <w:pStyle w:val="15"/>
              <w:rPr>
                <w:rFonts w:hint="eastAsia" w:ascii="宋体" w:hAnsi="宋体" w:eastAsia="宋体" w:cs="宋体"/>
                <w:color w:val="auto"/>
              </w:rPr>
            </w:pPr>
          </w:p>
        </w:tc>
        <w:tc>
          <w:tcPr>
            <w:tcW w:w="2907" w:type="dxa"/>
            <w:vAlign w:val="top"/>
          </w:tcPr>
          <w:p w14:paraId="51FD2997">
            <w:pPr>
              <w:pStyle w:val="15"/>
              <w:rPr>
                <w:rFonts w:hint="eastAsia" w:ascii="宋体" w:hAnsi="宋体" w:eastAsia="宋体" w:cs="宋体"/>
                <w:color w:val="auto"/>
              </w:rPr>
            </w:pPr>
          </w:p>
        </w:tc>
      </w:tr>
      <w:tr w14:paraId="2A42A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4110" w:type="dxa"/>
            <w:vAlign w:val="top"/>
          </w:tcPr>
          <w:p w14:paraId="06350E15">
            <w:pPr>
              <w:pStyle w:val="15"/>
              <w:rPr>
                <w:rFonts w:hint="eastAsia" w:ascii="宋体" w:hAnsi="宋体" w:eastAsia="宋体" w:cs="宋体"/>
                <w:color w:val="auto"/>
              </w:rPr>
            </w:pPr>
          </w:p>
        </w:tc>
        <w:tc>
          <w:tcPr>
            <w:tcW w:w="2457" w:type="dxa"/>
            <w:vAlign w:val="top"/>
          </w:tcPr>
          <w:p w14:paraId="2E337E50">
            <w:pPr>
              <w:pStyle w:val="15"/>
              <w:rPr>
                <w:rFonts w:hint="eastAsia" w:ascii="宋体" w:hAnsi="宋体" w:eastAsia="宋体" w:cs="宋体"/>
                <w:color w:val="auto"/>
              </w:rPr>
            </w:pPr>
          </w:p>
        </w:tc>
        <w:tc>
          <w:tcPr>
            <w:tcW w:w="1987" w:type="dxa"/>
            <w:vAlign w:val="top"/>
          </w:tcPr>
          <w:p w14:paraId="5BF061C3">
            <w:pPr>
              <w:pStyle w:val="15"/>
              <w:rPr>
                <w:rFonts w:hint="eastAsia" w:ascii="宋体" w:hAnsi="宋体" w:eastAsia="宋体" w:cs="宋体"/>
                <w:color w:val="auto"/>
              </w:rPr>
            </w:pPr>
          </w:p>
        </w:tc>
        <w:tc>
          <w:tcPr>
            <w:tcW w:w="1787" w:type="dxa"/>
            <w:vAlign w:val="top"/>
          </w:tcPr>
          <w:p w14:paraId="7F136A82">
            <w:pPr>
              <w:pStyle w:val="15"/>
              <w:rPr>
                <w:rFonts w:hint="eastAsia" w:ascii="宋体" w:hAnsi="宋体" w:eastAsia="宋体" w:cs="宋体"/>
                <w:color w:val="auto"/>
              </w:rPr>
            </w:pPr>
          </w:p>
        </w:tc>
        <w:tc>
          <w:tcPr>
            <w:tcW w:w="1312" w:type="dxa"/>
            <w:vAlign w:val="top"/>
          </w:tcPr>
          <w:p w14:paraId="48F891B1">
            <w:pPr>
              <w:pStyle w:val="15"/>
              <w:rPr>
                <w:rFonts w:hint="eastAsia" w:ascii="宋体" w:hAnsi="宋体" w:eastAsia="宋体" w:cs="宋体"/>
                <w:color w:val="auto"/>
              </w:rPr>
            </w:pPr>
          </w:p>
        </w:tc>
        <w:tc>
          <w:tcPr>
            <w:tcW w:w="2907" w:type="dxa"/>
            <w:vAlign w:val="top"/>
          </w:tcPr>
          <w:p w14:paraId="0731325E">
            <w:pPr>
              <w:pStyle w:val="15"/>
              <w:rPr>
                <w:rFonts w:hint="eastAsia" w:ascii="宋体" w:hAnsi="宋体" w:eastAsia="宋体" w:cs="宋体"/>
                <w:color w:val="auto"/>
              </w:rPr>
            </w:pPr>
          </w:p>
        </w:tc>
      </w:tr>
      <w:tr w14:paraId="1AC24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jc w:val="center"/>
        </w:trPr>
        <w:tc>
          <w:tcPr>
            <w:tcW w:w="4110" w:type="dxa"/>
            <w:vAlign w:val="top"/>
          </w:tcPr>
          <w:p w14:paraId="3141B3F4">
            <w:pPr>
              <w:pStyle w:val="15"/>
              <w:rPr>
                <w:rFonts w:hint="eastAsia" w:ascii="宋体" w:hAnsi="宋体" w:eastAsia="宋体" w:cs="宋体"/>
                <w:color w:val="auto"/>
              </w:rPr>
            </w:pPr>
          </w:p>
        </w:tc>
        <w:tc>
          <w:tcPr>
            <w:tcW w:w="2457" w:type="dxa"/>
            <w:vAlign w:val="top"/>
          </w:tcPr>
          <w:p w14:paraId="75BB8224">
            <w:pPr>
              <w:pStyle w:val="15"/>
              <w:rPr>
                <w:rFonts w:hint="eastAsia" w:ascii="宋体" w:hAnsi="宋体" w:eastAsia="宋体" w:cs="宋体"/>
                <w:color w:val="auto"/>
              </w:rPr>
            </w:pPr>
          </w:p>
        </w:tc>
        <w:tc>
          <w:tcPr>
            <w:tcW w:w="1987" w:type="dxa"/>
            <w:vAlign w:val="top"/>
          </w:tcPr>
          <w:p w14:paraId="5B042F15">
            <w:pPr>
              <w:pStyle w:val="15"/>
              <w:rPr>
                <w:rFonts w:hint="eastAsia" w:ascii="宋体" w:hAnsi="宋体" w:eastAsia="宋体" w:cs="宋体"/>
                <w:color w:val="auto"/>
              </w:rPr>
            </w:pPr>
          </w:p>
        </w:tc>
        <w:tc>
          <w:tcPr>
            <w:tcW w:w="1787" w:type="dxa"/>
            <w:vAlign w:val="top"/>
          </w:tcPr>
          <w:p w14:paraId="5FA57546">
            <w:pPr>
              <w:pStyle w:val="15"/>
              <w:rPr>
                <w:rFonts w:hint="eastAsia" w:ascii="宋体" w:hAnsi="宋体" w:eastAsia="宋体" w:cs="宋体"/>
                <w:color w:val="auto"/>
              </w:rPr>
            </w:pPr>
          </w:p>
        </w:tc>
        <w:tc>
          <w:tcPr>
            <w:tcW w:w="1312" w:type="dxa"/>
            <w:vAlign w:val="top"/>
          </w:tcPr>
          <w:p w14:paraId="152BD0F3">
            <w:pPr>
              <w:pStyle w:val="15"/>
              <w:rPr>
                <w:rFonts w:hint="eastAsia" w:ascii="宋体" w:hAnsi="宋体" w:eastAsia="宋体" w:cs="宋体"/>
                <w:color w:val="auto"/>
              </w:rPr>
            </w:pPr>
          </w:p>
        </w:tc>
        <w:tc>
          <w:tcPr>
            <w:tcW w:w="2907" w:type="dxa"/>
            <w:vAlign w:val="top"/>
          </w:tcPr>
          <w:p w14:paraId="0B03E7BF">
            <w:pPr>
              <w:pStyle w:val="15"/>
              <w:rPr>
                <w:rFonts w:hint="eastAsia" w:ascii="宋体" w:hAnsi="宋体" w:eastAsia="宋体" w:cs="宋体"/>
                <w:color w:val="auto"/>
              </w:rPr>
            </w:pPr>
          </w:p>
        </w:tc>
      </w:tr>
    </w:tbl>
    <w:p w14:paraId="2CEDD9A6">
      <w:pPr>
        <w:spacing w:line="371" w:lineRule="auto"/>
        <w:rPr>
          <w:rFonts w:hint="eastAsia" w:ascii="宋体" w:hAnsi="宋体" w:eastAsia="宋体" w:cs="宋体"/>
          <w:color w:val="auto"/>
          <w:sz w:val="21"/>
        </w:rPr>
      </w:pPr>
    </w:p>
    <w:p w14:paraId="6BDF484A">
      <w:pPr>
        <w:pStyle w:val="3"/>
        <w:spacing w:before="79" w:line="184" w:lineRule="auto"/>
        <w:ind w:left="87"/>
        <w:rPr>
          <w:rFonts w:hint="eastAsia" w:ascii="宋体" w:hAnsi="宋体" w:eastAsia="宋体" w:cs="宋体"/>
          <w:color w:val="auto"/>
          <w:spacing w:val="9"/>
          <w:lang w:eastAsia="zh-CN"/>
        </w:rPr>
      </w:pPr>
      <w:r>
        <w:rPr>
          <w:rFonts w:hint="eastAsia" w:ascii="宋体" w:hAnsi="宋体" w:eastAsia="宋体" w:cs="宋体"/>
          <w:color w:val="auto"/>
          <w:spacing w:val="9"/>
        </w:rPr>
        <w:t>工地负责人：</w:t>
      </w:r>
      <w:r>
        <w:rPr>
          <w:rFonts w:hint="eastAsia" w:ascii="宋体" w:hAnsi="宋体" w:eastAsia="宋体" w:cs="宋体"/>
          <w:color w:val="auto"/>
        </w:rPr>
        <w:t xml:space="preserve">                         </w:t>
      </w:r>
      <w:r>
        <w:rPr>
          <w:rFonts w:hint="eastAsia" w:ascii="宋体" w:hAnsi="宋体" w:eastAsia="宋体" w:cs="宋体"/>
          <w:color w:val="auto"/>
          <w:spacing w:val="9"/>
        </w:rPr>
        <w:t>签收人：</w:t>
      </w:r>
      <w:r>
        <w:rPr>
          <w:rFonts w:hint="eastAsia" w:ascii="宋体" w:hAnsi="宋体" w:eastAsia="宋体" w:cs="宋体"/>
          <w:color w:val="auto"/>
          <w:spacing w:val="2"/>
        </w:rPr>
        <w:t xml:space="preserve">                        </w:t>
      </w:r>
      <w:r>
        <w:rPr>
          <w:rFonts w:hint="eastAsia" w:ascii="宋体" w:hAnsi="宋体" w:eastAsia="宋体" w:cs="宋体"/>
          <w:color w:val="auto"/>
          <w:spacing w:val="1"/>
        </w:rPr>
        <w:t xml:space="preserve">    </w:t>
      </w:r>
      <w:r>
        <w:rPr>
          <w:rFonts w:hint="eastAsia" w:ascii="宋体" w:hAnsi="宋体" w:eastAsia="宋体" w:cs="宋体"/>
          <w:color w:val="auto"/>
          <w:spacing w:val="9"/>
        </w:rPr>
        <w:t>送货单位及经</w:t>
      </w:r>
      <w:r>
        <w:rPr>
          <w:rFonts w:hint="eastAsia" w:ascii="宋体" w:hAnsi="宋体" w:eastAsia="宋体" w:cs="宋体"/>
          <w:color w:val="auto"/>
          <w:spacing w:val="9"/>
          <w:lang w:val="en-US" w:eastAsia="zh-CN"/>
        </w:rPr>
        <w:t>手</w:t>
      </w:r>
      <w:r>
        <w:rPr>
          <w:rFonts w:hint="eastAsia" w:ascii="宋体" w:hAnsi="宋体" w:eastAsia="宋体" w:cs="宋体"/>
          <w:color w:val="auto"/>
          <w:spacing w:val="9"/>
        </w:rPr>
        <w:t>人</w:t>
      </w:r>
      <w:r>
        <w:rPr>
          <w:rFonts w:hint="eastAsia" w:ascii="宋体" w:hAnsi="宋体" w:eastAsia="宋体" w:cs="宋体"/>
          <w:color w:val="auto"/>
          <w:spacing w:val="9"/>
          <w:lang w:eastAsia="zh-CN"/>
        </w:rPr>
        <w:t>：</w:t>
      </w:r>
    </w:p>
    <w:p w14:paraId="50677A2D">
      <w:pPr>
        <w:spacing w:before="25"/>
        <w:jc w:val="both"/>
        <w:rPr>
          <w:rFonts w:hint="eastAsia" w:eastAsia="宋体"/>
          <w:color w:val="auto"/>
          <w:lang w:val="en-US" w:eastAsia="zh-CN"/>
        </w:rPr>
        <w:sectPr>
          <w:pgSz w:w="16840" w:h="11906"/>
          <w:pgMar w:top="1012" w:right="704" w:bottom="0" w:left="783" w:header="0" w:footer="0" w:gutter="0"/>
          <w:cols w:equalWidth="0" w:num="1">
            <w:col w:w="15351"/>
          </w:cols>
        </w:sectPr>
      </w:pPr>
      <w:r>
        <w:rPr>
          <w:rFonts w:hint="eastAsia" w:eastAsia="宋体"/>
          <w:color w:val="auto"/>
          <w:lang w:val="en-US" w:eastAsia="zh-CN"/>
        </w:rPr>
        <w:t xml:space="preserve">                           </w:t>
      </w:r>
    </w:p>
    <w:p w14:paraId="56FAB9EA">
      <w:pPr>
        <w:spacing w:before="25"/>
        <w:jc w:val="right"/>
        <w:rPr>
          <w:rFonts w:hint="eastAsia" w:ascii="仿宋" w:hAnsi="仿宋" w:eastAsia="仿宋" w:cs="仿宋"/>
          <w:color w:val="auto"/>
          <w:sz w:val="44"/>
          <w:szCs w:val="44"/>
          <w:highlight w:val="none"/>
          <w:lang w:val="en-US" w:eastAsia="zh-CN"/>
        </w:rPr>
      </w:pPr>
      <w:r>
        <w:rPr>
          <w:rFonts w:hint="eastAsia" w:eastAsia="宋体"/>
          <w:color w:val="auto"/>
          <w:lang w:val="en-US" w:eastAsia="zh-CN"/>
        </w:rPr>
        <w:t xml:space="preserve">             </w:t>
      </w:r>
      <w:bookmarkStart w:id="207" w:name="_Toc10932"/>
      <w:bookmarkStart w:id="208" w:name="_Toc20228"/>
      <w:bookmarkStart w:id="209" w:name="_Toc2368"/>
      <w:bookmarkStart w:id="210" w:name="_Toc7456"/>
      <w:bookmarkStart w:id="211" w:name="_Toc28162"/>
      <w:r>
        <w:rPr>
          <w:rFonts w:hint="eastAsia" w:ascii="仿宋" w:hAnsi="仿宋" w:eastAsia="仿宋" w:cs="仿宋"/>
          <w:color w:val="auto"/>
          <w:sz w:val="44"/>
          <w:szCs w:val="44"/>
          <w:highlight w:val="none"/>
          <w:lang w:val="en-US" w:eastAsia="zh-CN"/>
        </w:rPr>
        <w:t>附件</w:t>
      </w:r>
      <w:bookmarkEnd w:id="207"/>
      <w:bookmarkEnd w:id="208"/>
      <w:bookmarkEnd w:id="209"/>
      <w:bookmarkEnd w:id="210"/>
      <w:bookmarkEnd w:id="211"/>
      <w:r>
        <w:rPr>
          <w:rFonts w:hint="eastAsia" w:ascii="仿宋" w:hAnsi="仿宋" w:eastAsia="仿宋" w:cs="仿宋"/>
          <w:color w:val="auto"/>
          <w:sz w:val="44"/>
          <w:szCs w:val="44"/>
          <w:highlight w:val="none"/>
          <w:lang w:val="en-US" w:eastAsia="zh-CN"/>
        </w:rPr>
        <w:t>十</w:t>
      </w:r>
    </w:p>
    <w:p w14:paraId="03593972">
      <w:pPr>
        <w:jc w:val="both"/>
        <w:outlineLvl w:val="9"/>
        <w:rPr>
          <w:rFonts w:hint="default"/>
          <w:color w:val="auto"/>
          <w:highlight w:val="none"/>
          <w:lang w:val="en-US" w:eastAsia="zh-CN"/>
        </w:rPr>
      </w:pPr>
    </w:p>
    <w:tbl>
      <w:tblPr>
        <w:tblStyle w:val="9"/>
        <w:tblpPr w:leftFromText="180" w:rightFromText="180" w:vertAnchor="text" w:horzAnchor="page" w:tblpX="1608" w:tblpY="274"/>
        <w:tblOverlap w:val="never"/>
        <w:tblW w:w="89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30"/>
        <w:gridCol w:w="1541"/>
        <w:gridCol w:w="516"/>
        <w:gridCol w:w="560"/>
        <w:gridCol w:w="5843"/>
      </w:tblGrid>
      <w:tr w14:paraId="3F92B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2FF713">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D2164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材料名称</w:t>
            </w:r>
          </w:p>
        </w:tc>
        <w:tc>
          <w:tcPr>
            <w:tcW w:w="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33A90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规格</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3E8E00">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58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019D7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Style w:val="16"/>
                <w:color w:val="auto"/>
                <w:highlight w:val="none"/>
                <w:lang w:val="en-US" w:eastAsia="zh-CN" w:bidi="ar"/>
              </w:rPr>
              <w:t>开具</w:t>
            </w:r>
            <w:r>
              <w:rPr>
                <w:rStyle w:val="16"/>
                <w:rFonts w:hint="eastAsia"/>
                <w:color w:val="auto"/>
                <w:highlight w:val="none"/>
                <w:u w:val="single"/>
                <w:lang w:val="en-US" w:eastAsia="zh-CN" w:bidi="ar"/>
              </w:rPr>
              <w:t xml:space="preserve">  </w:t>
            </w:r>
            <w:r>
              <w:rPr>
                <w:rStyle w:val="17"/>
                <w:color w:val="auto"/>
                <w:highlight w:val="none"/>
                <w:lang w:val="en-US" w:eastAsia="zh-CN" w:bidi="ar"/>
              </w:rPr>
              <w:t>%专票</w:t>
            </w:r>
            <w:r>
              <w:rPr>
                <w:rStyle w:val="16"/>
                <w:color w:val="auto"/>
                <w:highlight w:val="none"/>
                <w:lang w:val="en-US" w:eastAsia="zh-CN" w:bidi="ar"/>
              </w:rPr>
              <w:t>的固定单价（元/m³）</w:t>
            </w:r>
          </w:p>
        </w:tc>
      </w:tr>
      <w:tr w14:paraId="0A3FC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34EB2">
            <w:pPr>
              <w:jc w:val="center"/>
              <w:rPr>
                <w:rFonts w:hint="eastAsia" w:ascii="宋体" w:hAnsi="宋体" w:eastAsia="宋体" w:cs="宋体"/>
                <w:b/>
                <w:bCs/>
                <w:i w:val="0"/>
                <w:iCs w:val="0"/>
                <w:color w:val="auto"/>
                <w:sz w:val="24"/>
                <w:szCs w:val="24"/>
                <w:highlight w:val="none"/>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C7696">
            <w:pPr>
              <w:jc w:val="center"/>
              <w:rPr>
                <w:rFonts w:hint="eastAsia" w:ascii="宋体" w:hAnsi="宋体" w:eastAsia="宋体" w:cs="宋体"/>
                <w:b/>
                <w:bCs/>
                <w:i w:val="0"/>
                <w:iCs w:val="0"/>
                <w:color w:val="auto"/>
                <w:sz w:val="24"/>
                <w:szCs w:val="24"/>
                <w:highlight w:val="none"/>
                <w:u w:val="none"/>
              </w:rPr>
            </w:pP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FF27EE">
            <w:pPr>
              <w:jc w:val="center"/>
              <w:rPr>
                <w:rFonts w:hint="eastAsia" w:ascii="宋体" w:hAnsi="宋体" w:eastAsia="宋体" w:cs="宋体"/>
                <w:b/>
                <w:bCs/>
                <w:i w:val="0"/>
                <w:iCs w:val="0"/>
                <w:color w:val="auto"/>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46E804">
            <w:pPr>
              <w:jc w:val="center"/>
              <w:rPr>
                <w:rFonts w:hint="eastAsia" w:ascii="宋体" w:hAnsi="宋体" w:eastAsia="宋体" w:cs="宋体"/>
                <w:b/>
                <w:bCs/>
                <w:i w:val="0"/>
                <w:iCs w:val="0"/>
                <w:color w:val="auto"/>
                <w:sz w:val="24"/>
                <w:szCs w:val="24"/>
                <w:highlight w:val="none"/>
                <w:u w:val="none"/>
              </w:rPr>
            </w:pPr>
          </w:p>
        </w:tc>
        <w:tc>
          <w:tcPr>
            <w:tcW w:w="5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E459E2">
            <w:pPr>
              <w:jc w:val="center"/>
              <w:rPr>
                <w:rFonts w:hint="eastAsia" w:ascii="宋体" w:hAnsi="宋体" w:eastAsia="宋体" w:cs="宋体"/>
                <w:i w:val="0"/>
                <w:iCs w:val="0"/>
                <w:color w:val="auto"/>
                <w:sz w:val="24"/>
                <w:szCs w:val="24"/>
                <w:highlight w:val="none"/>
                <w:u w:val="none"/>
              </w:rPr>
            </w:pPr>
          </w:p>
        </w:tc>
      </w:tr>
      <w:tr w14:paraId="2A2ED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7B18B">
            <w:pPr>
              <w:jc w:val="center"/>
              <w:rPr>
                <w:rFonts w:hint="eastAsia" w:ascii="宋体" w:hAnsi="宋体" w:eastAsia="宋体" w:cs="宋体"/>
                <w:b/>
                <w:bCs/>
                <w:i w:val="0"/>
                <w:iCs w:val="0"/>
                <w:color w:val="auto"/>
                <w:sz w:val="24"/>
                <w:szCs w:val="24"/>
                <w:highlight w:val="none"/>
                <w:u w:val="none"/>
              </w:rPr>
            </w:pPr>
          </w:p>
        </w:tc>
        <w:tc>
          <w:tcPr>
            <w:tcW w:w="1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30B0FD">
            <w:pPr>
              <w:jc w:val="center"/>
              <w:rPr>
                <w:rFonts w:hint="eastAsia" w:ascii="宋体" w:hAnsi="宋体" w:eastAsia="宋体" w:cs="宋体"/>
                <w:b/>
                <w:bCs/>
                <w:i w:val="0"/>
                <w:iCs w:val="0"/>
                <w:color w:val="auto"/>
                <w:sz w:val="24"/>
                <w:szCs w:val="24"/>
                <w:highlight w:val="none"/>
                <w:u w:val="none"/>
              </w:rPr>
            </w:pPr>
          </w:p>
        </w:tc>
        <w:tc>
          <w:tcPr>
            <w:tcW w:w="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4DA2B">
            <w:pPr>
              <w:jc w:val="center"/>
              <w:rPr>
                <w:rFonts w:hint="eastAsia" w:ascii="宋体" w:hAnsi="宋体" w:eastAsia="宋体" w:cs="宋体"/>
                <w:b/>
                <w:bCs/>
                <w:i w:val="0"/>
                <w:iCs w:val="0"/>
                <w:color w:val="auto"/>
                <w:sz w:val="24"/>
                <w:szCs w:val="24"/>
                <w:highlight w:val="none"/>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83073">
            <w:pPr>
              <w:jc w:val="center"/>
              <w:rPr>
                <w:rFonts w:hint="eastAsia" w:ascii="宋体" w:hAnsi="宋体" w:eastAsia="宋体" w:cs="宋体"/>
                <w:b/>
                <w:bCs/>
                <w:i w:val="0"/>
                <w:iCs w:val="0"/>
                <w:color w:val="auto"/>
                <w:sz w:val="24"/>
                <w:szCs w:val="24"/>
                <w:highlight w:val="none"/>
                <w:u w:val="none"/>
              </w:rPr>
            </w:pPr>
          </w:p>
        </w:tc>
        <w:tc>
          <w:tcPr>
            <w:tcW w:w="5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D8844">
            <w:pPr>
              <w:jc w:val="center"/>
              <w:rPr>
                <w:rFonts w:hint="eastAsia" w:ascii="宋体" w:hAnsi="宋体" w:eastAsia="宋体" w:cs="宋体"/>
                <w:i w:val="0"/>
                <w:iCs w:val="0"/>
                <w:color w:val="auto"/>
                <w:sz w:val="24"/>
                <w:szCs w:val="24"/>
                <w:highlight w:val="none"/>
                <w:u w:val="none"/>
              </w:rPr>
            </w:pPr>
          </w:p>
        </w:tc>
      </w:tr>
      <w:tr w14:paraId="60419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0" w:hRule="atLeast"/>
        </w:trPr>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41AF">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5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FD390">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商品混凝土</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（非泵送）</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EEA5">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全规格</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F923">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m³</w:t>
            </w:r>
          </w:p>
        </w:tc>
        <w:tc>
          <w:tcPr>
            <w:tcW w:w="5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64C4">
            <w:pPr>
              <w:keepNext w:val="0"/>
              <w:keepLines w:val="0"/>
              <w:widowControl/>
              <w:suppressLineNumbers w:val="0"/>
              <w:jc w:val="left"/>
              <w:textAlignment w:val="center"/>
              <w:rPr>
                <w:rStyle w:val="18"/>
                <w:rFonts w:hint="eastAsia"/>
                <w:color w:val="auto"/>
                <w:highlight w:val="none"/>
                <w:lang w:val="en-US" w:eastAsia="zh-CN" w:bidi="ar"/>
              </w:rPr>
            </w:pPr>
            <w:r>
              <w:rPr>
                <w:rStyle w:val="18"/>
                <w:color w:val="auto"/>
                <w:highlight w:val="none"/>
                <w:lang w:val="en-US" w:eastAsia="zh-CN" w:bidi="ar"/>
              </w:rPr>
              <w:t>按送货当月</w:t>
            </w:r>
            <w:r>
              <w:rPr>
                <w:rStyle w:val="18"/>
                <w:rFonts w:hint="eastAsia"/>
                <w:color w:val="auto"/>
                <w:highlight w:val="none"/>
                <w:lang w:val="en-US" w:eastAsia="zh-CN" w:bidi="ar"/>
              </w:rPr>
              <w:t>《东莞</w:t>
            </w:r>
            <w:r>
              <w:rPr>
                <w:rFonts w:ascii="宋体" w:hAnsi="宋体" w:eastAsia="宋体" w:cs="宋体"/>
                <w:color w:val="auto"/>
                <w:sz w:val="24"/>
                <w:szCs w:val="24"/>
              </w:rPr>
              <w:t>建设工程造价信息</w:t>
            </w:r>
            <w:r>
              <w:rPr>
                <w:rStyle w:val="18"/>
                <w:rFonts w:hint="eastAsia"/>
                <w:color w:val="auto"/>
                <w:highlight w:val="none"/>
                <w:lang w:val="en-US" w:eastAsia="zh-CN" w:bidi="ar"/>
              </w:rPr>
              <w:t>》</w:t>
            </w:r>
            <w:r>
              <w:rPr>
                <w:rStyle w:val="18"/>
                <w:color w:val="auto"/>
                <w:highlight w:val="none"/>
                <w:lang w:val="en-US" w:eastAsia="zh-CN" w:bidi="ar"/>
              </w:rPr>
              <w:t>（</w:t>
            </w:r>
            <w:r>
              <w:rPr>
                <w:rStyle w:val="18"/>
                <w:rFonts w:hint="eastAsia"/>
                <w:color w:val="auto"/>
                <w:highlight w:val="none"/>
                <w:lang w:val="en-US" w:eastAsia="zh-CN" w:bidi="ar"/>
              </w:rPr>
              <w:t>东莞市建设工程造价管理站</w:t>
            </w:r>
            <w:r>
              <w:rPr>
                <w:rStyle w:val="18"/>
                <w:color w:val="auto"/>
                <w:highlight w:val="none"/>
                <w:lang w:val="en-US" w:eastAsia="zh-CN" w:bidi="ar"/>
              </w:rPr>
              <w:t>编制）的“</w:t>
            </w:r>
            <w:r>
              <w:rPr>
                <w:rFonts w:ascii="宋体" w:hAnsi="宋体" w:eastAsia="宋体" w:cs="宋体"/>
                <w:color w:val="auto"/>
                <w:sz w:val="24"/>
                <w:szCs w:val="24"/>
              </w:rPr>
              <w:t>普通预拌混凝土</w:t>
            </w:r>
            <w:r>
              <w:rPr>
                <w:rStyle w:val="18"/>
                <w:color w:val="auto"/>
                <w:highlight w:val="none"/>
                <w:lang w:val="en-US" w:eastAsia="zh-CN" w:bidi="ar"/>
              </w:rPr>
              <w:t>”</w:t>
            </w:r>
            <w:r>
              <w:rPr>
                <w:rStyle w:val="18"/>
                <w:rFonts w:hint="eastAsia"/>
                <w:color w:val="auto"/>
                <w:highlight w:val="none"/>
                <w:lang w:val="en-US" w:eastAsia="zh-CN" w:bidi="ar"/>
              </w:rPr>
              <w:t>税前综合价</w:t>
            </w:r>
            <w:r>
              <w:rPr>
                <w:rStyle w:val="19"/>
                <w:color w:val="auto"/>
                <w:highlight w:val="none"/>
                <w:lang w:val="en-US" w:eastAsia="zh-CN" w:bidi="ar"/>
              </w:rPr>
              <w:t>下浮</w:t>
            </w:r>
            <w:r>
              <w:rPr>
                <w:rFonts w:hint="eastAsia" w:ascii="宋体" w:hAnsi="宋体" w:cs="宋体"/>
                <w:i w:val="0"/>
                <w:iCs w:val="0"/>
                <w:color w:val="auto"/>
                <w:kern w:val="0"/>
                <w:sz w:val="24"/>
                <w:szCs w:val="24"/>
                <w:highlight w:val="none"/>
                <w:u w:val="single"/>
                <w:lang w:val="en-US" w:eastAsia="zh-CN" w:bidi="ar"/>
              </w:rPr>
              <w:t xml:space="preserve">   </w:t>
            </w:r>
            <w:r>
              <w:rPr>
                <w:rStyle w:val="19"/>
                <w:color w:val="auto"/>
                <w:highlight w:val="none"/>
                <w:lang w:val="en-US" w:eastAsia="zh-CN" w:bidi="ar"/>
              </w:rPr>
              <w:t>%</w:t>
            </w:r>
            <w:r>
              <w:rPr>
                <w:rStyle w:val="18"/>
                <w:color w:val="auto"/>
                <w:highlight w:val="none"/>
                <w:lang w:val="en-US" w:eastAsia="zh-CN" w:bidi="ar"/>
              </w:rPr>
              <w:t>作为当月含税结算单价。</w:t>
            </w:r>
          </w:p>
        </w:tc>
      </w:tr>
      <w:tr w14:paraId="1F4D6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8" w:hRule="atLeast"/>
        </w:trPr>
        <w:tc>
          <w:tcPr>
            <w:tcW w:w="530" w:type="dxa"/>
            <w:tcBorders>
              <w:top w:val="nil"/>
              <w:left w:val="single" w:color="000000" w:sz="4" w:space="0"/>
              <w:bottom w:val="single" w:color="000000" w:sz="4" w:space="0"/>
              <w:right w:val="nil"/>
            </w:tcBorders>
            <w:shd w:val="clear" w:color="auto" w:fill="auto"/>
            <w:vAlign w:val="center"/>
          </w:tcPr>
          <w:p w14:paraId="7AC3E585">
            <w:pPr>
              <w:keepNext w:val="0"/>
              <w:keepLines w:val="0"/>
              <w:widowControl/>
              <w:suppressLineNumbers w:val="0"/>
              <w:jc w:val="center"/>
              <w:textAlignment w:val="center"/>
              <w:rPr>
                <w:rFonts w:hint="default" w:ascii="Times New Roman" w:hAnsi="Times New Roman" w:cs="Times New Roman"/>
                <w:i w:val="0"/>
                <w:iCs w:val="0"/>
                <w:color w:val="auto"/>
                <w:sz w:val="24"/>
                <w:szCs w:val="24"/>
                <w:highlight w:val="none"/>
                <w:u w:val="none"/>
              </w:rPr>
            </w:pPr>
            <w:r>
              <w:rPr>
                <w:rFonts w:hint="default" w:ascii="Times New Roman" w:hAnsi="Times New Roman" w:eastAsia="宋体" w:cs="Times New Roman"/>
                <w:i w:val="0"/>
                <w:iCs w:val="0"/>
                <w:color w:val="auto"/>
                <w:kern w:val="0"/>
                <w:sz w:val="24"/>
                <w:szCs w:val="24"/>
                <w:highlight w:val="none"/>
                <w:u w:val="none"/>
                <w:lang w:val="en-US" w:eastAsia="zh-CN" w:bidi="ar"/>
              </w:rPr>
              <w:t>2</w:t>
            </w:r>
          </w:p>
        </w:tc>
        <w:tc>
          <w:tcPr>
            <w:tcW w:w="1541" w:type="dxa"/>
            <w:tcBorders>
              <w:top w:val="nil"/>
              <w:left w:val="single" w:color="000000" w:sz="4" w:space="0"/>
              <w:bottom w:val="single" w:color="000000" w:sz="4" w:space="0"/>
              <w:right w:val="single" w:color="000000" w:sz="4" w:space="0"/>
            </w:tcBorders>
            <w:shd w:val="clear" w:color="auto" w:fill="auto"/>
            <w:vAlign w:val="center"/>
          </w:tcPr>
          <w:p w14:paraId="5B937F4C">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预拌砂浆</w:t>
            </w:r>
          </w:p>
        </w:tc>
        <w:tc>
          <w:tcPr>
            <w:tcW w:w="516" w:type="dxa"/>
            <w:tcBorders>
              <w:top w:val="nil"/>
              <w:left w:val="single" w:color="000000" w:sz="4" w:space="0"/>
              <w:bottom w:val="single" w:color="000000" w:sz="4" w:space="0"/>
              <w:right w:val="single" w:color="000000" w:sz="4" w:space="0"/>
            </w:tcBorders>
            <w:shd w:val="clear" w:color="auto" w:fill="auto"/>
            <w:vAlign w:val="center"/>
          </w:tcPr>
          <w:p w14:paraId="0B3ED325">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全规格</w:t>
            </w:r>
          </w:p>
        </w:tc>
        <w:tc>
          <w:tcPr>
            <w:tcW w:w="560" w:type="dxa"/>
            <w:tcBorders>
              <w:top w:val="nil"/>
              <w:left w:val="single" w:color="000000" w:sz="4" w:space="0"/>
              <w:bottom w:val="single" w:color="000000" w:sz="4" w:space="0"/>
              <w:right w:val="single" w:color="000000" w:sz="4" w:space="0"/>
            </w:tcBorders>
            <w:shd w:val="clear" w:color="auto" w:fill="auto"/>
            <w:vAlign w:val="center"/>
          </w:tcPr>
          <w:p w14:paraId="108050C8">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m³</w:t>
            </w:r>
          </w:p>
        </w:tc>
        <w:tc>
          <w:tcPr>
            <w:tcW w:w="5843" w:type="dxa"/>
            <w:tcBorders>
              <w:top w:val="nil"/>
              <w:left w:val="single" w:color="000000" w:sz="4" w:space="0"/>
              <w:bottom w:val="single" w:color="000000" w:sz="4" w:space="0"/>
              <w:right w:val="single" w:color="000000" w:sz="4" w:space="0"/>
            </w:tcBorders>
            <w:shd w:val="clear" w:color="auto" w:fill="auto"/>
            <w:vAlign w:val="center"/>
          </w:tcPr>
          <w:p w14:paraId="6B30E5AA">
            <w:pPr>
              <w:keepNext w:val="0"/>
              <w:keepLines w:val="0"/>
              <w:widowControl/>
              <w:suppressLineNumbers w:val="0"/>
              <w:jc w:val="left"/>
              <w:textAlignment w:val="center"/>
              <w:rPr>
                <w:rFonts w:hint="eastAsia" w:ascii="宋体" w:hAnsi="宋体" w:eastAsia="宋体" w:cs="宋体"/>
                <w:color w:val="auto"/>
                <w:kern w:val="2"/>
                <w:sz w:val="24"/>
                <w:szCs w:val="24"/>
                <w:highlight w:val="none"/>
                <w:u w:val="none"/>
                <w:lang w:val="en-US" w:eastAsia="zh-CN" w:bidi="ar"/>
              </w:rPr>
            </w:pPr>
            <w:r>
              <w:rPr>
                <w:rStyle w:val="20"/>
                <w:rFonts w:hint="eastAsia"/>
                <w:color w:val="auto"/>
                <w:highlight w:val="none"/>
                <w:lang w:val="en-US" w:eastAsia="zh-CN" w:bidi="ar"/>
              </w:rPr>
              <w:t>按送货当月</w:t>
            </w:r>
            <w:r>
              <w:rPr>
                <w:rStyle w:val="18"/>
                <w:rFonts w:hint="eastAsia"/>
                <w:color w:val="auto"/>
                <w:highlight w:val="none"/>
                <w:lang w:val="en-US" w:eastAsia="zh-CN" w:bidi="ar"/>
              </w:rPr>
              <w:t>《东莞</w:t>
            </w:r>
            <w:r>
              <w:rPr>
                <w:rFonts w:ascii="宋体" w:hAnsi="宋体" w:eastAsia="宋体" w:cs="宋体"/>
                <w:color w:val="auto"/>
                <w:sz w:val="24"/>
                <w:szCs w:val="24"/>
              </w:rPr>
              <w:t>建设工程造价信息</w:t>
            </w:r>
            <w:r>
              <w:rPr>
                <w:rStyle w:val="18"/>
                <w:rFonts w:hint="eastAsia"/>
                <w:color w:val="auto"/>
                <w:highlight w:val="none"/>
                <w:lang w:val="en-US" w:eastAsia="zh-CN" w:bidi="ar"/>
              </w:rPr>
              <w:t>》</w:t>
            </w:r>
            <w:r>
              <w:rPr>
                <w:rStyle w:val="18"/>
                <w:color w:val="auto"/>
                <w:highlight w:val="none"/>
                <w:lang w:val="en-US" w:eastAsia="zh-CN" w:bidi="ar"/>
              </w:rPr>
              <w:t>（</w:t>
            </w:r>
            <w:r>
              <w:rPr>
                <w:rStyle w:val="18"/>
                <w:rFonts w:hint="eastAsia"/>
                <w:color w:val="auto"/>
                <w:highlight w:val="none"/>
                <w:lang w:val="en-US" w:eastAsia="zh-CN" w:bidi="ar"/>
              </w:rPr>
              <w:t>东莞市建设工程造价管理站</w:t>
            </w:r>
            <w:r>
              <w:rPr>
                <w:rStyle w:val="18"/>
                <w:color w:val="auto"/>
                <w:highlight w:val="none"/>
                <w:lang w:val="en-US" w:eastAsia="zh-CN" w:bidi="ar"/>
              </w:rPr>
              <w:t>编制）的</w:t>
            </w:r>
            <w:r>
              <w:rPr>
                <w:rStyle w:val="20"/>
                <w:rFonts w:hint="eastAsia"/>
                <w:color w:val="auto"/>
                <w:highlight w:val="none"/>
                <w:lang w:val="en-US" w:eastAsia="zh-CN" w:bidi="ar"/>
              </w:rPr>
              <w:t>“预拌砌筑砂浆”</w:t>
            </w:r>
            <w:r>
              <w:rPr>
                <w:rStyle w:val="18"/>
                <w:rFonts w:hint="eastAsia"/>
                <w:color w:val="auto"/>
                <w:highlight w:val="none"/>
                <w:lang w:val="en-US" w:eastAsia="zh-CN" w:bidi="ar"/>
              </w:rPr>
              <w:t>税前综合价</w:t>
            </w:r>
            <w:r>
              <w:rPr>
                <w:rStyle w:val="19"/>
                <w:color w:val="auto"/>
                <w:highlight w:val="none"/>
                <w:lang w:val="en-US" w:eastAsia="zh-CN" w:bidi="ar"/>
              </w:rPr>
              <w:t>下浮</w:t>
            </w:r>
            <w:r>
              <w:rPr>
                <w:rFonts w:hint="eastAsia" w:ascii="宋体" w:hAnsi="宋体" w:cs="宋体"/>
                <w:i w:val="0"/>
                <w:iCs w:val="0"/>
                <w:color w:val="auto"/>
                <w:kern w:val="0"/>
                <w:sz w:val="24"/>
                <w:szCs w:val="24"/>
                <w:highlight w:val="none"/>
                <w:u w:val="single"/>
                <w:lang w:val="en-US" w:eastAsia="zh-CN" w:bidi="ar"/>
              </w:rPr>
              <w:t xml:space="preserve">   </w:t>
            </w:r>
            <w:r>
              <w:rPr>
                <w:rStyle w:val="19"/>
                <w:color w:val="auto"/>
                <w:highlight w:val="none"/>
                <w:lang w:val="en-US" w:eastAsia="zh-CN" w:bidi="ar"/>
              </w:rPr>
              <w:t>%</w:t>
            </w:r>
            <w:r>
              <w:rPr>
                <w:rStyle w:val="18"/>
                <w:color w:val="auto"/>
                <w:highlight w:val="none"/>
                <w:lang w:val="en-US" w:eastAsia="zh-CN" w:bidi="ar"/>
              </w:rPr>
              <w:t>作为当月含税结算单价。</w:t>
            </w:r>
          </w:p>
        </w:tc>
      </w:tr>
      <w:tr w14:paraId="4591F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4" w:hRule="atLeast"/>
        </w:trPr>
        <w:tc>
          <w:tcPr>
            <w:tcW w:w="530" w:type="dxa"/>
            <w:tcBorders>
              <w:top w:val="nil"/>
              <w:left w:val="single" w:color="000000" w:sz="4" w:space="0"/>
              <w:bottom w:val="single" w:color="000000" w:sz="4" w:space="0"/>
              <w:right w:val="nil"/>
            </w:tcBorders>
            <w:shd w:val="clear" w:color="auto" w:fill="auto"/>
            <w:vAlign w:val="center"/>
          </w:tcPr>
          <w:p w14:paraId="68061CF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4"/>
                <w:szCs w:val="24"/>
                <w:highlight w:val="none"/>
                <w:u w:val="none"/>
                <w:lang w:val="en-US" w:eastAsia="zh-CN" w:bidi="ar"/>
              </w:rPr>
            </w:pPr>
            <w:r>
              <w:rPr>
                <w:rFonts w:hint="eastAsia" w:ascii="Times New Roman" w:hAnsi="Times New Roman" w:cs="Times New Roman"/>
                <w:i w:val="0"/>
                <w:iCs w:val="0"/>
                <w:color w:val="auto"/>
                <w:kern w:val="0"/>
                <w:sz w:val="24"/>
                <w:szCs w:val="24"/>
                <w:highlight w:val="none"/>
                <w:u w:val="none"/>
                <w:lang w:val="en-US" w:eastAsia="zh-CN" w:bidi="ar"/>
              </w:rPr>
              <w:t>3</w:t>
            </w:r>
          </w:p>
        </w:tc>
        <w:tc>
          <w:tcPr>
            <w:tcW w:w="1541" w:type="dxa"/>
            <w:tcBorders>
              <w:top w:val="nil"/>
              <w:left w:val="single" w:color="000000" w:sz="4" w:space="0"/>
              <w:bottom w:val="single" w:color="000000" w:sz="4" w:space="0"/>
              <w:right w:val="single" w:color="000000" w:sz="4" w:space="0"/>
            </w:tcBorders>
            <w:shd w:val="clear" w:color="auto" w:fill="auto"/>
            <w:vAlign w:val="center"/>
          </w:tcPr>
          <w:p w14:paraId="463571B6">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润管砂浆</w:t>
            </w:r>
          </w:p>
        </w:tc>
        <w:tc>
          <w:tcPr>
            <w:tcW w:w="516" w:type="dxa"/>
            <w:tcBorders>
              <w:top w:val="nil"/>
              <w:left w:val="single" w:color="000000" w:sz="4" w:space="0"/>
              <w:bottom w:val="single" w:color="000000" w:sz="4" w:space="0"/>
              <w:right w:val="single" w:color="000000" w:sz="4" w:space="0"/>
            </w:tcBorders>
            <w:shd w:val="clear" w:color="auto" w:fill="auto"/>
            <w:vAlign w:val="center"/>
          </w:tcPr>
          <w:p w14:paraId="26688114">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全规格</w:t>
            </w:r>
          </w:p>
        </w:tc>
        <w:tc>
          <w:tcPr>
            <w:tcW w:w="560" w:type="dxa"/>
            <w:tcBorders>
              <w:top w:val="nil"/>
              <w:left w:val="single" w:color="000000" w:sz="4" w:space="0"/>
              <w:bottom w:val="single" w:color="000000" w:sz="4" w:space="0"/>
              <w:right w:val="single" w:color="000000" w:sz="4" w:space="0"/>
            </w:tcBorders>
            <w:shd w:val="clear" w:color="auto" w:fill="auto"/>
            <w:vAlign w:val="center"/>
          </w:tcPr>
          <w:p w14:paraId="1D7E5187">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m³</w:t>
            </w:r>
          </w:p>
        </w:tc>
        <w:tc>
          <w:tcPr>
            <w:tcW w:w="5843" w:type="dxa"/>
            <w:tcBorders>
              <w:top w:val="nil"/>
              <w:left w:val="single" w:color="000000" w:sz="4" w:space="0"/>
              <w:bottom w:val="single" w:color="000000" w:sz="4" w:space="0"/>
              <w:right w:val="single" w:color="000000" w:sz="4" w:space="0"/>
            </w:tcBorders>
            <w:shd w:val="clear" w:color="auto" w:fill="auto"/>
            <w:vAlign w:val="center"/>
          </w:tcPr>
          <w:p w14:paraId="0DC52450">
            <w:pPr>
              <w:keepNext w:val="0"/>
              <w:keepLines w:val="0"/>
              <w:widowControl/>
              <w:suppressLineNumbers w:val="0"/>
              <w:jc w:val="left"/>
              <w:textAlignment w:val="center"/>
              <w:rPr>
                <w:rFonts w:hint="eastAsia" w:ascii="宋体" w:hAnsi="宋体" w:eastAsia="宋体" w:cs="宋体"/>
                <w:color w:val="auto"/>
                <w:kern w:val="2"/>
                <w:sz w:val="24"/>
                <w:szCs w:val="24"/>
                <w:highlight w:val="none"/>
                <w:u w:val="none"/>
                <w:lang w:val="en-US" w:eastAsia="zh-CN" w:bidi="ar"/>
              </w:rPr>
            </w:pPr>
            <w:r>
              <w:rPr>
                <w:rStyle w:val="20"/>
                <w:rFonts w:hint="eastAsia"/>
                <w:color w:val="auto"/>
                <w:highlight w:val="none"/>
                <w:lang w:val="en-US" w:eastAsia="zh-CN" w:bidi="ar"/>
              </w:rPr>
              <w:t>按交货当月第一期砼（型号）的信息价下浮</w:t>
            </w:r>
            <w:r>
              <w:rPr>
                <w:rStyle w:val="20"/>
                <w:rFonts w:hint="eastAsia"/>
                <w:color w:val="auto"/>
                <w:highlight w:val="none"/>
                <w:u w:val="single"/>
                <w:lang w:val="en-US" w:eastAsia="zh-CN" w:bidi="ar"/>
              </w:rPr>
              <w:t xml:space="preserve">   </w:t>
            </w:r>
            <w:r>
              <w:rPr>
                <w:rStyle w:val="20"/>
                <w:rFonts w:hint="eastAsia"/>
                <w:color w:val="auto"/>
                <w:highlight w:val="none"/>
                <w:lang w:val="en-US" w:eastAsia="zh-CN" w:bidi="ar"/>
              </w:rPr>
              <w:t>%即为当月交货润管砂浆的含税结算单价。</w:t>
            </w:r>
          </w:p>
        </w:tc>
      </w:tr>
      <w:tr w14:paraId="4EB8D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0" w:hRule="atLeast"/>
        </w:trPr>
        <w:tc>
          <w:tcPr>
            <w:tcW w:w="8990" w:type="dxa"/>
            <w:gridSpan w:val="5"/>
            <w:tcBorders>
              <w:top w:val="nil"/>
              <w:left w:val="nil"/>
              <w:bottom w:val="nil"/>
              <w:right w:val="nil"/>
            </w:tcBorders>
            <w:shd w:val="clear" w:color="auto" w:fill="auto"/>
            <w:vAlign w:val="center"/>
          </w:tcPr>
          <w:p w14:paraId="49B1B900">
            <w:pPr>
              <w:keepNext w:val="0"/>
              <w:keepLines w:val="0"/>
              <w:widowControl/>
              <w:suppressLineNumbers w:val="0"/>
              <w:spacing w:line="360" w:lineRule="auto"/>
              <w:jc w:val="left"/>
              <w:textAlignment w:val="center"/>
              <w:rPr>
                <w:color w:val="auto"/>
              </w:rPr>
            </w:pPr>
            <w:r>
              <w:rPr>
                <w:rStyle w:val="16"/>
                <w:color w:val="auto"/>
                <w:highlight w:val="none"/>
                <w:lang w:val="en-US" w:eastAsia="zh-CN" w:bidi="ar"/>
              </w:rPr>
              <w:t>其他：</w:t>
            </w:r>
            <w:r>
              <w:rPr>
                <w:rStyle w:val="16"/>
                <w:color w:val="auto"/>
                <w:highlight w:val="none"/>
                <w:lang w:val="en-US" w:eastAsia="zh-CN" w:bidi="ar"/>
              </w:rPr>
              <w:br w:type="textWrapping"/>
            </w:r>
            <w:r>
              <w:rPr>
                <w:rStyle w:val="16"/>
                <w:rFonts w:hint="eastAsia"/>
                <w:color w:val="auto"/>
                <w:highlight w:val="none"/>
                <w:lang w:val="en-US" w:eastAsia="zh-CN" w:bidi="ar"/>
              </w:rPr>
              <w:t>1、以上商品混凝土为掺粉煤灰混凝土，抗渗砼﹙P6、P8、P10、P12﹚在原砼级别单价基础上下浮后分别加价</w:t>
            </w:r>
            <w:r>
              <w:rPr>
                <w:rStyle w:val="16"/>
                <w:rFonts w:hint="eastAsia"/>
                <w:color w:val="auto"/>
                <w:highlight w:val="none"/>
                <w:u w:val="single"/>
                <w:lang w:val="en-US" w:eastAsia="zh-CN" w:bidi="ar"/>
              </w:rPr>
              <w:t xml:space="preserve">    元/m³、   元/m³、   元/m³、   元/m³</w:t>
            </w:r>
            <w:r>
              <w:rPr>
                <w:rStyle w:val="16"/>
                <w:rFonts w:hint="eastAsia"/>
                <w:color w:val="auto"/>
                <w:highlight w:val="none"/>
                <w:lang w:val="en-US" w:eastAsia="zh-CN" w:bidi="ar"/>
              </w:rPr>
              <w:t>；细石砼在原砼级别单价基础上下浮后加价</w:t>
            </w:r>
            <w:r>
              <w:rPr>
                <w:rStyle w:val="16"/>
                <w:rFonts w:hint="eastAsia"/>
                <w:color w:val="auto"/>
                <w:highlight w:val="none"/>
                <w:u w:val="single"/>
                <w:lang w:val="en-US" w:eastAsia="zh-CN" w:bidi="ar"/>
              </w:rPr>
              <w:t xml:space="preserve">   元/m³</w:t>
            </w:r>
            <w:r>
              <w:rPr>
                <w:rStyle w:val="16"/>
                <w:rFonts w:hint="eastAsia"/>
                <w:color w:val="auto"/>
                <w:highlight w:val="none"/>
                <w:lang w:val="en-US" w:eastAsia="zh-CN" w:bidi="ar"/>
              </w:rPr>
              <w:t>；不掺粉煤灰在原强度等级单价基础上下浮后加</w:t>
            </w:r>
            <w:r>
              <w:rPr>
                <w:rStyle w:val="16"/>
                <w:rFonts w:hint="eastAsia"/>
                <w:color w:val="auto"/>
                <w:highlight w:val="none"/>
                <w:u w:val="single"/>
                <w:lang w:val="en-US" w:eastAsia="zh-CN" w:bidi="ar"/>
              </w:rPr>
              <w:t xml:space="preserve">   元/m³</w:t>
            </w:r>
            <w:r>
              <w:rPr>
                <w:rStyle w:val="16"/>
                <w:rFonts w:hint="eastAsia"/>
                <w:color w:val="auto"/>
                <w:highlight w:val="none"/>
                <w:lang w:val="en-US" w:eastAsia="zh-CN" w:bidi="ar"/>
              </w:rPr>
              <w:t>；早强3天砼在原砼级别单价基础上下浮后加价</w:t>
            </w:r>
            <w:r>
              <w:rPr>
                <w:rStyle w:val="16"/>
                <w:rFonts w:hint="eastAsia"/>
                <w:color w:val="auto"/>
                <w:highlight w:val="none"/>
                <w:u w:val="single"/>
                <w:lang w:val="en-US" w:eastAsia="zh-CN" w:bidi="ar"/>
              </w:rPr>
              <w:t xml:space="preserve">   元/m³</w:t>
            </w:r>
            <w:r>
              <w:rPr>
                <w:rStyle w:val="16"/>
                <w:rFonts w:hint="eastAsia"/>
                <w:color w:val="auto"/>
                <w:highlight w:val="none"/>
                <w:lang w:val="en-US" w:eastAsia="zh-CN" w:bidi="ar"/>
              </w:rPr>
              <w:t>；早强7天砼（80%）在原砼级别单价基础上下浮后加价</w:t>
            </w:r>
            <w:r>
              <w:rPr>
                <w:rStyle w:val="16"/>
                <w:rFonts w:hint="eastAsia"/>
                <w:color w:val="auto"/>
                <w:highlight w:val="none"/>
                <w:u w:val="single"/>
                <w:lang w:val="en-US" w:eastAsia="zh-CN" w:bidi="ar"/>
              </w:rPr>
              <w:t xml:space="preserve">   元/m³</w:t>
            </w:r>
            <w:r>
              <w:rPr>
                <w:rStyle w:val="16"/>
                <w:rFonts w:hint="eastAsia"/>
                <w:color w:val="auto"/>
                <w:highlight w:val="none"/>
                <w:lang w:val="en-US" w:eastAsia="zh-CN" w:bidi="ar"/>
              </w:rPr>
              <w:t>；清水砼在原砼级别单价基础上下浮后加</w:t>
            </w:r>
            <w:r>
              <w:rPr>
                <w:rStyle w:val="16"/>
                <w:rFonts w:hint="eastAsia"/>
                <w:color w:val="auto"/>
                <w:highlight w:val="none"/>
                <w:u w:val="single"/>
                <w:lang w:val="en-US" w:eastAsia="zh-CN" w:bidi="ar"/>
              </w:rPr>
              <w:t xml:space="preserve">   元/m³</w:t>
            </w:r>
            <w:r>
              <w:rPr>
                <w:rStyle w:val="16"/>
                <w:rFonts w:hint="eastAsia"/>
                <w:color w:val="auto"/>
                <w:highlight w:val="none"/>
                <w:lang w:val="en-US" w:eastAsia="zh-CN" w:bidi="ar"/>
              </w:rPr>
              <w:t>；掺加膨胀剂在原砼级别单价基础上下浮后加价</w:t>
            </w:r>
            <w:r>
              <w:rPr>
                <w:rStyle w:val="16"/>
                <w:rFonts w:hint="eastAsia"/>
                <w:color w:val="auto"/>
                <w:highlight w:val="none"/>
                <w:u w:val="single"/>
                <w:lang w:val="en-US" w:eastAsia="zh-CN" w:bidi="ar"/>
              </w:rPr>
              <w:t xml:space="preserve">   元/m³</w:t>
            </w:r>
            <w:r>
              <w:rPr>
                <w:rStyle w:val="16"/>
                <w:rFonts w:hint="eastAsia"/>
                <w:color w:val="auto"/>
                <w:highlight w:val="none"/>
                <w:lang w:val="en-US" w:eastAsia="zh-CN" w:bidi="ar"/>
              </w:rPr>
              <w:t>；水下砼（C20~C40）在原砼级别单价基础上下浮后加价</w:t>
            </w:r>
            <w:r>
              <w:rPr>
                <w:rStyle w:val="16"/>
                <w:rFonts w:hint="eastAsia"/>
                <w:color w:val="auto"/>
                <w:highlight w:val="none"/>
                <w:u w:val="single"/>
                <w:lang w:val="en-US" w:eastAsia="zh-CN" w:bidi="ar"/>
              </w:rPr>
              <w:t xml:space="preserve">   元/m³</w:t>
            </w:r>
            <w:r>
              <w:rPr>
                <w:rStyle w:val="16"/>
                <w:rFonts w:hint="eastAsia"/>
                <w:color w:val="auto"/>
                <w:highlight w:val="none"/>
                <w:lang w:val="en-US" w:eastAsia="zh-CN" w:bidi="ar"/>
              </w:rPr>
              <w:t>；掺加缓凝剂在原砼级别单价基础上下浮后加价</w:t>
            </w:r>
            <w:r>
              <w:rPr>
                <w:rStyle w:val="16"/>
                <w:rFonts w:hint="eastAsia"/>
                <w:color w:val="auto"/>
                <w:highlight w:val="none"/>
                <w:u w:val="single"/>
                <w:lang w:val="en-US" w:eastAsia="zh-CN" w:bidi="ar"/>
              </w:rPr>
              <w:t xml:space="preserve">   元/m³</w:t>
            </w:r>
            <w:r>
              <w:rPr>
                <w:rStyle w:val="16"/>
                <w:rFonts w:hint="eastAsia"/>
                <w:color w:val="auto"/>
                <w:highlight w:val="none"/>
                <w:lang w:val="en-US" w:eastAsia="zh-CN" w:bidi="ar"/>
              </w:rPr>
              <w:t>。凝结时间在14小时以上到24小时以内的在同等标号上下浮后加</w:t>
            </w:r>
            <w:r>
              <w:rPr>
                <w:rStyle w:val="16"/>
                <w:rFonts w:hint="eastAsia"/>
                <w:color w:val="auto"/>
                <w:highlight w:val="none"/>
                <w:u w:val="single"/>
                <w:lang w:val="en-US" w:eastAsia="zh-CN" w:bidi="ar"/>
              </w:rPr>
              <w:t xml:space="preserve">    元/m³</w:t>
            </w:r>
            <w:r>
              <w:rPr>
                <w:rStyle w:val="16"/>
                <w:rFonts w:hint="eastAsia"/>
                <w:color w:val="auto"/>
                <w:highlight w:val="none"/>
                <w:lang w:val="en-US" w:eastAsia="zh-CN" w:bidi="ar"/>
              </w:rPr>
              <w:t>。任意一车产品卸料超过4小时的，按超出的时间对该车补超时费</w:t>
            </w:r>
            <w:r>
              <w:rPr>
                <w:rStyle w:val="16"/>
                <w:rFonts w:hint="eastAsia"/>
                <w:color w:val="auto"/>
                <w:highlight w:val="none"/>
                <w:u w:val="single"/>
                <w:lang w:val="en-US" w:eastAsia="zh-CN" w:bidi="ar"/>
              </w:rPr>
              <w:t xml:space="preserve">   元/小时/车</w:t>
            </w:r>
            <w:r>
              <w:rPr>
                <w:rStyle w:val="16"/>
                <w:rFonts w:hint="eastAsia"/>
                <w:color w:val="auto"/>
                <w:highlight w:val="none"/>
                <w:lang w:val="en-US" w:eastAsia="zh-CN" w:bidi="ar"/>
              </w:rPr>
              <w:t>。甲方每批订货（以浇筑部位定义批次）仅允许一车混凝土和一车砂浆装载量少于车载容积量，若该批装载量不足车载容积量的混凝土及砂浆车次各超过一车，超出车次需收取空载费。空载费的计算方式：空载费（含税）=【混凝土/砂浆搅拌车实际容积量(最高按3m³/车计)–订货量】×</w:t>
            </w:r>
            <w:r>
              <w:rPr>
                <w:rStyle w:val="16"/>
                <w:rFonts w:hint="eastAsia"/>
                <w:color w:val="auto"/>
                <w:highlight w:val="none"/>
                <w:u w:val="single"/>
                <w:lang w:val="en-US" w:eastAsia="zh-CN" w:bidi="ar"/>
              </w:rPr>
              <w:t xml:space="preserve">   元/m³/车</w:t>
            </w:r>
            <w:r>
              <w:rPr>
                <w:rStyle w:val="16"/>
                <w:rFonts w:hint="eastAsia"/>
                <w:color w:val="auto"/>
                <w:highlight w:val="none"/>
                <w:lang w:val="en-US" w:eastAsia="zh-CN" w:bidi="ar"/>
              </w:rPr>
              <w:t>。</w:t>
            </w:r>
          </w:p>
          <w:p w14:paraId="1D129215">
            <w:pPr>
              <w:keepNext w:val="0"/>
              <w:keepLines w:val="0"/>
              <w:widowControl/>
              <w:suppressLineNumbers w:val="0"/>
              <w:spacing w:line="360" w:lineRule="auto"/>
              <w:jc w:val="left"/>
              <w:textAlignment w:val="center"/>
              <w:rPr>
                <w:rFonts w:hint="default" w:eastAsia="宋体"/>
                <w:color w:val="auto"/>
                <w:lang w:val="en-US" w:eastAsia="zh-CN"/>
              </w:rPr>
            </w:pPr>
          </w:p>
        </w:tc>
      </w:tr>
    </w:tbl>
    <w:p w14:paraId="490C1C24">
      <w:pPr>
        <w:jc w:val="both"/>
        <w:outlineLvl w:val="9"/>
        <w:rPr>
          <w:rFonts w:hint="default"/>
          <w:color w:val="auto"/>
          <w:highlight w:val="none"/>
          <w:lang w:val="en-US" w:eastAsia="zh-CN"/>
        </w:rPr>
      </w:pPr>
    </w:p>
    <w:p w14:paraId="29E029F3">
      <w:pPr>
        <w:jc w:val="both"/>
        <w:outlineLvl w:val="9"/>
        <w:rPr>
          <w:rFonts w:hint="default"/>
          <w:color w:val="auto"/>
          <w:highlight w:val="none"/>
          <w:lang w:val="en-US" w:eastAsia="zh-CN"/>
        </w:rPr>
      </w:pPr>
    </w:p>
    <w:sectPr>
      <w:pgSz w:w="11906" w:h="16838"/>
      <w:pgMar w:top="964" w:right="1134" w:bottom="964" w:left="1134" w:header="737" w:footer="624"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83EE2">
    <w:pPr>
      <w:pStyle w:val="4"/>
      <w:jc w:val="center"/>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D6BAE">
    <w:pPr>
      <w:pStyle w:val="4"/>
      <w:jc w:val="center"/>
      <w:rPr>
        <w:rFonts w:hint="default" w:eastAsia="宋体"/>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FCCB0">
    <w:pPr>
      <w:pStyle w:val="4"/>
      <w:jc w:val="center"/>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7536A">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277536A">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9240D">
    <w:pPr>
      <w:pStyle w:val="5"/>
      <w:ind w:left="7440" w:hanging="5580" w:hangingChars="3100"/>
      <w:rPr>
        <w:rFonts w:hint="default"/>
        <w:lang w:val="en-US"/>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8A6B60"/>
    <w:multiLevelType w:val="singleLevel"/>
    <w:tmpl w:val="CE8A6B60"/>
    <w:lvl w:ilvl="0" w:tentative="0">
      <w:start w:val="3"/>
      <w:numFmt w:val="chineseCounting"/>
      <w:suff w:val="nothing"/>
      <w:lvlText w:val="第%1章、"/>
      <w:lvlJc w:val="left"/>
      <w:rPr>
        <w:rFonts w:hint="eastAsia"/>
      </w:rPr>
    </w:lvl>
  </w:abstractNum>
  <w:abstractNum w:abstractNumId="1">
    <w:nsid w:val="D1A8A8AA"/>
    <w:multiLevelType w:val="singleLevel"/>
    <w:tmpl w:val="D1A8A8AA"/>
    <w:lvl w:ilvl="0" w:tentative="0">
      <w:start w:val="2"/>
      <w:numFmt w:val="decimal"/>
      <w:suff w:val="nothing"/>
      <w:lvlText w:val="%1、"/>
      <w:lvlJc w:val="left"/>
    </w:lvl>
  </w:abstractNum>
  <w:abstractNum w:abstractNumId="2">
    <w:nsid w:val="DC7ABB44"/>
    <w:multiLevelType w:val="singleLevel"/>
    <w:tmpl w:val="DC7ABB44"/>
    <w:lvl w:ilvl="0" w:tentative="0">
      <w:start w:val="3"/>
      <w:numFmt w:val="chineseCounting"/>
      <w:suff w:val="nothing"/>
      <w:lvlText w:val="第%1章、"/>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3NTFiODhkYmZlNzk3ZjM0OThiZWE0NTIwOGJkZGMifQ=="/>
  </w:docVars>
  <w:rsids>
    <w:rsidRoot w:val="00172A27"/>
    <w:rsid w:val="00133387"/>
    <w:rsid w:val="001D4206"/>
    <w:rsid w:val="0022181C"/>
    <w:rsid w:val="00240114"/>
    <w:rsid w:val="00247343"/>
    <w:rsid w:val="003F23CE"/>
    <w:rsid w:val="00494FFB"/>
    <w:rsid w:val="0055574E"/>
    <w:rsid w:val="005B4241"/>
    <w:rsid w:val="006308AB"/>
    <w:rsid w:val="006911F9"/>
    <w:rsid w:val="00732078"/>
    <w:rsid w:val="00735DDC"/>
    <w:rsid w:val="007E18FF"/>
    <w:rsid w:val="00863B59"/>
    <w:rsid w:val="008878D1"/>
    <w:rsid w:val="00942D05"/>
    <w:rsid w:val="00A7217D"/>
    <w:rsid w:val="00A87DE8"/>
    <w:rsid w:val="00B0507A"/>
    <w:rsid w:val="00BC757B"/>
    <w:rsid w:val="00D72607"/>
    <w:rsid w:val="00DC2680"/>
    <w:rsid w:val="01037573"/>
    <w:rsid w:val="01286562"/>
    <w:rsid w:val="012F2443"/>
    <w:rsid w:val="012F2B13"/>
    <w:rsid w:val="01305439"/>
    <w:rsid w:val="01325A8F"/>
    <w:rsid w:val="01326F3B"/>
    <w:rsid w:val="01351803"/>
    <w:rsid w:val="014B361F"/>
    <w:rsid w:val="0156177E"/>
    <w:rsid w:val="015D207C"/>
    <w:rsid w:val="016814B1"/>
    <w:rsid w:val="01791910"/>
    <w:rsid w:val="017B7436"/>
    <w:rsid w:val="017F50C9"/>
    <w:rsid w:val="019978BC"/>
    <w:rsid w:val="01A71FD9"/>
    <w:rsid w:val="01AD3795"/>
    <w:rsid w:val="0210376E"/>
    <w:rsid w:val="02217FDE"/>
    <w:rsid w:val="02471A55"/>
    <w:rsid w:val="024E06A7"/>
    <w:rsid w:val="02895B83"/>
    <w:rsid w:val="028C20E4"/>
    <w:rsid w:val="0290648C"/>
    <w:rsid w:val="02A52D67"/>
    <w:rsid w:val="03024286"/>
    <w:rsid w:val="03061542"/>
    <w:rsid w:val="031418F0"/>
    <w:rsid w:val="03416159"/>
    <w:rsid w:val="03495361"/>
    <w:rsid w:val="03531ABE"/>
    <w:rsid w:val="03562E11"/>
    <w:rsid w:val="035F2640"/>
    <w:rsid w:val="036C617D"/>
    <w:rsid w:val="038C76D9"/>
    <w:rsid w:val="03A323C4"/>
    <w:rsid w:val="03AF2714"/>
    <w:rsid w:val="03AF33C7"/>
    <w:rsid w:val="03C86237"/>
    <w:rsid w:val="03D130C9"/>
    <w:rsid w:val="03D23A10"/>
    <w:rsid w:val="03EF5DB2"/>
    <w:rsid w:val="03FD05D6"/>
    <w:rsid w:val="04194CE4"/>
    <w:rsid w:val="041C3581"/>
    <w:rsid w:val="04206073"/>
    <w:rsid w:val="042711AF"/>
    <w:rsid w:val="045301F6"/>
    <w:rsid w:val="047F2F94"/>
    <w:rsid w:val="04C9670A"/>
    <w:rsid w:val="04D05CEB"/>
    <w:rsid w:val="0515604A"/>
    <w:rsid w:val="05235E1B"/>
    <w:rsid w:val="05241B93"/>
    <w:rsid w:val="05571F68"/>
    <w:rsid w:val="055E32F7"/>
    <w:rsid w:val="055E648D"/>
    <w:rsid w:val="0563090D"/>
    <w:rsid w:val="05765DA0"/>
    <w:rsid w:val="057A50AF"/>
    <w:rsid w:val="058F1702"/>
    <w:rsid w:val="05B00870"/>
    <w:rsid w:val="05B94582"/>
    <w:rsid w:val="05CF7D50"/>
    <w:rsid w:val="05DC29A4"/>
    <w:rsid w:val="05E7046B"/>
    <w:rsid w:val="06071298"/>
    <w:rsid w:val="062A142B"/>
    <w:rsid w:val="062A31D9"/>
    <w:rsid w:val="06456265"/>
    <w:rsid w:val="064C13A1"/>
    <w:rsid w:val="065F1493"/>
    <w:rsid w:val="066A43D4"/>
    <w:rsid w:val="06732DD2"/>
    <w:rsid w:val="06994288"/>
    <w:rsid w:val="069A3EBB"/>
    <w:rsid w:val="069D0714"/>
    <w:rsid w:val="06B3319E"/>
    <w:rsid w:val="06B524FE"/>
    <w:rsid w:val="06CB49BC"/>
    <w:rsid w:val="06DB3895"/>
    <w:rsid w:val="06DC0977"/>
    <w:rsid w:val="070B4DB8"/>
    <w:rsid w:val="071E2D3E"/>
    <w:rsid w:val="071F6AB6"/>
    <w:rsid w:val="07222102"/>
    <w:rsid w:val="072916E2"/>
    <w:rsid w:val="072F06D6"/>
    <w:rsid w:val="07351E35"/>
    <w:rsid w:val="07402F73"/>
    <w:rsid w:val="074D44A4"/>
    <w:rsid w:val="076444C8"/>
    <w:rsid w:val="077438E7"/>
    <w:rsid w:val="078F7797"/>
    <w:rsid w:val="079B2A89"/>
    <w:rsid w:val="079C1EB4"/>
    <w:rsid w:val="07A72ABD"/>
    <w:rsid w:val="07E838FA"/>
    <w:rsid w:val="08005A40"/>
    <w:rsid w:val="08391A18"/>
    <w:rsid w:val="084762C4"/>
    <w:rsid w:val="08564322"/>
    <w:rsid w:val="085D5AE7"/>
    <w:rsid w:val="087674C3"/>
    <w:rsid w:val="087A1BF2"/>
    <w:rsid w:val="088C6DAF"/>
    <w:rsid w:val="08E04023"/>
    <w:rsid w:val="08EE7CFD"/>
    <w:rsid w:val="08EF01D5"/>
    <w:rsid w:val="08FD1E97"/>
    <w:rsid w:val="094B5940"/>
    <w:rsid w:val="0960032A"/>
    <w:rsid w:val="09615163"/>
    <w:rsid w:val="096D58B6"/>
    <w:rsid w:val="097F1A8E"/>
    <w:rsid w:val="09886B94"/>
    <w:rsid w:val="09A56D66"/>
    <w:rsid w:val="09BA4874"/>
    <w:rsid w:val="09C5399F"/>
    <w:rsid w:val="09D73678"/>
    <w:rsid w:val="09DF42DA"/>
    <w:rsid w:val="09FA34EB"/>
    <w:rsid w:val="0A026946"/>
    <w:rsid w:val="0A122CC5"/>
    <w:rsid w:val="0A200B7B"/>
    <w:rsid w:val="0A624FB9"/>
    <w:rsid w:val="0A692F6B"/>
    <w:rsid w:val="0A7635CA"/>
    <w:rsid w:val="0AA30A0F"/>
    <w:rsid w:val="0AA95014"/>
    <w:rsid w:val="0AB72067"/>
    <w:rsid w:val="0ABF20F1"/>
    <w:rsid w:val="0ACC485F"/>
    <w:rsid w:val="0AD11E75"/>
    <w:rsid w:val="0AE127A9"/>
    <w:rsid w:val="0AFA761E"/>
    <w:rsid w:val="0B2E0F81"/>
    <w:rsid w:val="0B602DC9"/>
    <w:rsid w:val="0B61144B"/>
    <w:rsid w:val="0B732F2C"/>
    <w:rsid w:val="0B752244"/>
    <w:rsid w:val="0B865355"/>
    <w:rsid w:val="0B8B58FD"/>
    <w:rsid w:val="0BC4514F"/>
    <w:rsid w:val="0BCB2D68"/>
    <w:rsid w:val="0BDB744F"/>
    <w:rsid w:val="0BFF07E0"/>
    <w:rsid w:val="0C0128E1"/>
    <w:rsid w:val="0C14470F"/>
    <w:rsid w:val="0C1E558E"/>
    <w:rsid w:val="0C2010AC"/>
    <w:rsid w:val="0C4A2FCD"/>
    <w:rsid w:val="0C62191E"/>
    <w:rsid w:val="0CB3697F"/>
    <w:rsid w:val="0CB90E13"/>
    <w:rsid w:val="0CC25F19"/>
    <w:rsid w:val="0CD2303E"/>
    <w:rsid w:val="0CF2453E"/>
    <w:rsid w:val="0D042E1A"/>
    <w:rsid w:val="0D4913C1"/>
    <w:rsid w:val="0D660F9A"/>
    <w:rsid w:val="0D6945E7"/>
    <w:rsid w:val="0D962F4D"/>
    <w:rsid w:val="0DBC6E0C"/>
    <w:rsid w:val="0DD35A97"/>
    <w:rsid w:val="0DF77E44"/>
    <w:rsid w:val="0E1518A1"/>
    <w:rsid w:val="0E2350DD"/>
    <w:rsid w:val="0E262ED1"/>
    <w:rsid w:val="0E2714DC"/>
    <w:rsid w:val="0E4928DC"/>
    <w:rsid w:val="0E754C08"/>
    <w:rsid w:val="0E84109E"/>
    <w:rsid w:val="0E8B4260"/>
    <w:rsid w:val="0EA64DF5"/>
    <w:rsid w:val="0EBC4BEA"/>
    <w:rsid w:val="0ED85EC8"/>
    <w:rsid w:val="0EDA7072"/>
    <w:rsid w:val="0EDC11FC"/>
    <w:rsid w:val="0EE26D46"/>
    <w:rsid w:val="0EE375D4"/>
    <w:rsid w:val="0EF12AE6"/>
    <w:rsid w:val="0F077ED2"/>
    <w:rsid w:val="0F0C4A59"/>
    <w:rsid w:val="0F112C3E"/>
    <w:rsid w:val="0F136916"/>
    <w:rsid w:val="0F1862C4"/>
    <w:rsid w:val="0F225395"/>
    <w:rsid w:val="0F24110D"/>
    <w:rsid w:val="0F2B249C"/>
    <w:rsid w:val="0F2C6214"/>
    <w:rsid w:val="0F2E5AE8"/>
    <w:rsid w:val="0F5D0A2F"/>
    <w:rsid w:val="0F607C6B"/>
    <w:rsid w:val="0F706100"/>
    <w:rsid w:val="0F784FB5"/>
    <w:rsid w:val="0F8A6A96"/>
    <w:rsid w:val="0F8C08E3"/>
    <w:rsid w:val="0F8D06EA"/>
    <w:rsid w:val="0FA53BB8"/>
    <w:rsid w:val="0FC149A6"/>
    <w:rsid w:val="0FC1695C"/>
    <w:rsid w:val="0FDF4E93"/>
    <w:rsid w:val="0FE03B0E"/>
    <w:rsid w:val="0FE4089C"/>
    <w:rsid w:val="0FEE34C9"/>
    <w:rsid w:val="0FF90784"/>
    <w:rsid w:val="10093E5F"/>
    <w:rsid w:val="100D7DF3"/>
    <w:rsid w:val="1054157E"/>
    <w:rsid w:val="105651B6"/>
    <w:rsid w:val="106A6FF4"/>
    <w:rsid w:val="10836E18"/>
    <w:rsid w:val="109C2F25"/>
    <w:rsid w:val="10AB142F"/>
    <w:rsid w:val="10AB4F16"/>
    <w:rsid w:val="10C06C14"/>
    <w:rsid w:val="10C36704"/>
    <w:rsid w:val="10CB4AD3"/>
    <w:rsid w:val="10E613C1"/>
    <w:rsid w:val="10EE19D3"/>
    <w:rsid w:val="11041F12"/>
    <w:rsid w:val="11095C2A"/>
    <w:rsid w:val="1154735C"/>
    <w:rsid w:val="1158509E"/>
    <w:rsid w:val="115A0AD0"/>
    <w:rsid w:val="11763776"/>
    <w:rsid w:val="117A14B8"/>
    <w:rsid w:val="11A007F3"/>
    <w:rsid w:val="11AD0E6F"/>
    <w:rsid w:val="11AE31E0"/>
    <w:rsid w:val="11AE5258"/>
    <w:rsid w:val="11B147AE"/>
    <w:rsid w:val="11C113C0"/>
    <w:rsid w:val="11C646FD"/>
    <w:rsid w:val="11C9487C"/>
    <w:rsid w:val="11F56D91"/>
    <w:rsid w:val="12266F4A"/>
    <w:rsid w:val="12340406"/>
    <w:rsid w:val="123A0C48"/>
    <w:rsid w:val="124341AB"/>
    <w:rsid w:val="12521AED"/>
    <w:rsid w:val="12633CFA"/>
    <w:rsid w:val="12692EF2"/>
    <w:rsid w:val="12786986"/>
    <w:rsid w:val="12922832"/>
    <w:rsid w:val="12A3059B"/>
    <w:rsid w:val="12BD293A"/>
    <w:rsid w:val="12EF37E0"/>
    <w:rsid w:val="12F17558"/>
    <w:rsid w:val="12F2507E"/>
    <w:rsid w:val="12F46273"/>
    <w:rsid w:val="1308124D"/>
    <w:rsid w:val="130D494D"/>
    <w:rsid w:val="132C0590"/>
    <w:rsid w:val="133236CD"/>
    <w:rsid w:val="13370CE3"/>
    <w:rsid w:val="13386F35"/>
    <w:rsid w:val="13394A5B"/>
    <w:rsid w:val="133B7A1B"/>
    <w:rsid w:val="134A56E4"/>
    <w:rsid w:val="13651CF4"/>
    <w:rsid w:val="139E54C9"/>
    <w:rsid w:val="13A9398F"/>
    <w:rsid w:val="13B3480E"/>
    <w:rsid w:val="13BD568C"/>
    <w:rsid w:val="13C37A25"/>
    <w:rsid w:val="13E44DAF"/>
    <w:rsid w:val="13FB325E"/>
    <w:rsid w:val="1470712F"/>
    <w:rsid w:val="14AF76CB"/>
    <w:rsid w:val="14B22D17"/>
    <w:rsid w:val="14B7032D"/>
    <w:rsid w:val="14BC1DE8"/>
    <w:rsid w:val="14C10EE2"/>
    <w:rsid w:val="14C201BA"/>
    <w:rsid w:val="14E31122"/>
    <w:rsid w:val="14FF7703"/>
    <w:rsid w:val="152621F6"/>
    <w:rsid w:val="1529148F"/>
    <w:rsid w:val="1542409B"/>
    <w:rsid w:val="15525C1B"/>
    <w:rsid w:val="155301D7"/>
    <w:rsid w:val="1557566D"/>
    <w:rsid w:val="15610299"/>
    <w:rsid w:val="15671D54"/>
    <w:rsid w:val="15703208"/>
    <w:rsid w:val="15724254"/>
    <w:rsid w:val="158C3568"/>
    <w:rsid w:val="158F270C"/>
    <w:rsid w:val="15984DE1"/>
    <w:rsid w:val="15B36931"/>
    <w:rsid w:val="15CF16A7"/>
    <w:rsid w:val="15F26C5C"/>
    <w:rsid w:val="16095447"/>
    <w:rsid w:val="16197E6B"/>
    <w:rsid w:val="16281F12"/>
    <w:rsid w:val="16302145"/>
    <w:rsid w:val="16351E52"/>
    <w:rsid w:val="167043DB"/>
    <w:rsid w:val="16717081"/>
    <w:rsid w:val="167209B0"/>
    <w:rsid w:val="16750D36"/>
    <w:rsid w:val="16B014D8"/>
    <w:rsid w:val="16C17241"/>
    <w:rsid w:val="16ED5EAA"/>
    <w:rsid w:val="170B3EB5"/>
    <w:rsid w:val="171952CF"/>
    <w:rsid w:val="1719707D"/>
    <w:rsid w:val="171D2EE0"/>
    <w:rsid w:val="1730504B"/>
    <w:rsid w:val="17361868"/>
    <w:rsid w:val="17515EC2"/>
    <w:rsid w:val="175C420C"/>
    <w:rsid w:val="17740758"/>
    <w:rsid w:val="179D2E56"/>
    <w:rsid w:val="17A6044E"/>
    <w:rsid w:val="17BA0860"/>
    <w:rsid w:val="17BD20FF"/>
    <w:rsid w:val="17E44BFC"/>
    <w:rsid w:val="17E53404"/>
    <w:rsid w:val="17EF06F4"/>
    <w:rsid w:val="180A4C18"/>
    <w:rsid w:val="180D50C3"/>
    <w:rsid w:val="180D79FC"/>
    <w:rsid w:val="18310418"/>
    <w:rsid w:val="1864558B"/>
    <w:rsid w:val="187B6274"/>
    <w:rsid w:val="189D783A"/>
    <w:rsid w:val="18B2778A"/>
    <w:rsid w:val="18B904BA"/>
    <w:rsid w:val="18C03544"/>
    <w:rsid w:val="18EB67F8"/>
    <w:rsid w:val="18F90F15"/>
    <w:rsid w:val="19063790"/>
    <w:rsid w:val="19120228"/>
    <w:rsid w:val="195720DF"/>
    <w:rsid w:val="19654B16"/>
    <w:rsid w:val="197E766C"/>
    <w:rsid w:val="1988190B"/>
    <w:rsid w:val="198A6011"/>
    <w:rsid w:val="198F1879"/>
    <w:rsid w:val="19A5109C"/>
    <w:rsid w:val="19B32869"/>
    <w:rsid w:val="19B74EE4"/>
    <w:rsid w:val="19C74A3D"/>
    <w:rsid w:val="19D11E91"/>
    <w:rsid w:val="19EC6CCB"/>
    <w:rsid w:val="19EE2A43"/>
    <w:rsid w:val="1A0C186A"/>
    <w:rsid w:val="1A2A3350"/>
    <w:rsid w:val="1A2C356C"/>
    <w:rsid w:val="1A3348FA"/>
    <w:rsid w:val="1A3D3083"/>
    <w:rsid w:val="1A9F78F8"/>
    <w:rsid w:val="1AA66E7A"/>
    <w:rsid w:val="1ABC48F0"/>
    <w:rsid w:val="1AC11F06"/>
    <w:rsid w:val="1AC61965"/>
    <w:rsid w:val="1AF65494"/>
    <w:rsid w:val="1AF75928"/>
    <w:rsid w:val="1AFC1190"/>
    <w:rsid w:val="1B101184"/>
    <w:rsid w:val="1B16525A"/>
    <w:rsid w:val="1B1A1616"/>
    <w:rsid w:val="1B1D74DF"/>
    <w:rsid w:val="1B210BF7"/>
    <w:rsid w:val="1B2B45EC"/>
    <w:rsid w:val="1B512979"/>
    <w:rsid w:val="1B59213E"/>
    <w:rsid w:val="1B666609"/>
    <w:rsid w:val="1B724FAE"/>
    <w:rsid w:val="1B7A7441"/>
    <w:rsid w:val="1B83540D"/>
    <w:rsid w:val="1B8A78B2"/>
    <w:rsid w:val="1B9C202B"/>
    <w:rsid w:val="1BEA0FE8"/>
    <w:rsid w:val="1BEC2FB3"/>
    <w:rsid w:val="1C237506"/>
    <w:rsid w:val="1C2465A3"/>
    <w:rsid w:val="1C3B7A96"/>
    <w:rsid w:val="1C4F52EF"/>
    <w:rsid w:val="1C67088B"/>
    <w:rsid w:val="1C8B27CB"/>
    <w:rsid w:val="1C9571A6"/>
    <w:rsid w:val="1CD66BB0"/>
    <w:rsid w:val="1CF928A3"/>
    <w:rsid w:val="1D1C78C7"/>
    <w:rsid w:val="1D385E44"/>
    <w:rsid w:val="1D5A219E"/>
    <w:rsid w:val="1D64183F"/>
    <w:rsid w:val="1D6923E1"/>
    <w:rsid w:val="1D762D4C"/>
    <w:rsid w:val="1DB01F75"/>
    <w:rsid w:val="1DC92705"/>
    <w:rsid w:val="1DD51824"/>
    <w:rsid w:val="1DDA6E3B"/>
    <w:rsid w:val="1DDF12F2"/>
    <w:rsid w:val="1E0A5972"/>
    <w:rsid w:val="1E0A7720"/>
    <w:rsid w:val="1E0F4D36"/>
    <w:rsid w:val="1E291486"/>
    <w:rsid w:val="1E3824DF"/>
    <w:rsid w:val="1E4744D0"/>
    <w:rsid w:val="1E4C5F8A"/>
    <w:rsid w:val="1E596F15"/>
    <w:rsid w:val="1E5D7DE9"/>
    <w:rsid w:val="1E6E5AF7"/>
    <w:rsid w:val="1E6E6048"/>
    <w:rsid w:val="1E8A260F"/>
    <w:rsid w:val="1E952C15"/>
    <w:rsid w:val="1E967206"/>
    <w:rsid w:val="1EAA33EB"/>
    <w:rsid w:val="1EAE6AE9"/>
    <w:rsid w:val="1EB55AAE"/>
    <w:rsid w:val="1EDE6925"/>
    <w:rsid w:val="1F066139"/>
    <w:rsid w:val="1F130856"/>
    <w:rsid w:val="1F2C36C6"/>
    <w:rsid w:val="1F2E743E"/>
    <w:rsid w:val="1F416D3C"/>
    <w:rsid w:val="1F4534F7"/>
    <w:rsid w:val="1F4E71EE"/>
    <w:rsid w:val="1F576995"/>
    <w:rsid w:val="1F5F550C"/>
    <w:rsid w:val="1F63358C"/>
    <w:rsid w:val="1F6D61B8"/>
    <w:rsid w:val="1F871243"/>
    <w:rsid w:val="1F9F033C"/>
    <w:rsid w:val="1FBD2E59"/>
    <w:rsid w:val="1FBF278C"/>
    <w:rsid w:val="1FFE5062"/>
    <w:rsid w:val="2006231E"/>
    <w:rsid w:val="2007660D"/>
    <w:rsid w:val="200C6649"/>
    <w:rsid w:val="20124FB2"/>
    <w:rsid w:val="20191E9C"/>
    <w:rsid w:val="204A02A8"/>
    <w:rsid w:val="20692753"/>
    <w:rsid w:val="206C1BB2"/>
    <w:rsid w:val="2080016D"/>
    <w:rsid w:val="208E288A"/>
    <w:rsid w:val="20D9162C"/>
    <w:rsid w:val="20E63F9F"/>
    <w:rsid w:val="21042B4C"/>
    <w:rsid w:val="21271BF9"/>
    <w:rsid w:val="212E1977"/>
    <w:rsid w:val="212E3725"/>
    <w:rsid w:val="21425423"/>
    <w:rsid w:val="21645399"/>
    <w:rsid w:val="21696E53"/>
    <w:rsid w:val="21920158"/>
    <w:rsid w:val="21927F47"/>
    <w:rsid w:val="219F3303"/>
    <w:rsid w:val="21AD23A2"/>
    <w:rsid w:val="21CF315A"/>
    <w:rsid w:val="21DE514B"/>
    <w:rsid w:val="21E07116"/>
    <w:rsid w:val="21EF55AB"/>
    <w:rsid w:val="21EF63FF"/>
    <w:rsid w:val="21F20BF7"/>
    <w:rsid w:val="2217065D"/>
    <w:rsid w:val="22293AE7"/>
    <w:rsid w:val="22317971"/>
    <w:rsid w:val="223615FD"/>
    <w:rsid w:val="22481B2B"/>
    <w:rsid w:val="226E1396"/>
    <w:rsid w:val="22793056"/>
    <w:rsid w:val="22832569"/>
    <w:rsid w:val="22835CF3"/>
    <w:rsid w:val="22971AE5"/>
    <w:rsid w:val="22992A4F"/>
    <w:rsid w:val="22B838F8"/>
    <w:rsid w:val="22CF0F38"/>
    <w:rsid w:val="22DE026A"/>
    <w:rsid w:val="22E177D9"/>
    <w:rsid w:val="22E42C35"/>
    <w:rsid w:val="22EF3388"/>
    <w:rsid w:val="22F05754"/>
    <w:rsid w:val="22F46F43"/>
    <w:rsid w:val="23166844"/>
    <w:rsid w:val="232E1AC6"/>
    <w:rsid w:val="232F786B"/>
    <w:rsid w:val="23384D2F"/>
    <w:rsid w:val="234C768D"/>
    <w:rsid w:val="2361501D"/>
    <w:rsid w:val="23671171"/>
    <w:rsid w:val="2369138D"/>
    <w:rsid w:val="236A568F"/>
    <w:rsid w:val="23812232"/>
    <w:rsid w:val="2382599A"/>
    <w:rsid w:val="2387457D"/>
    <w:rsid w:val="23C46955"/>
    <w:rsid w:val="23D20CE0"/>
    <w:rsid w:val="23D24851"/>
    <w:rsid w:val="23D507D0"/>
    <w:rsid w:val="23D83D9E"/>
    <w:rsid w:val="23DC56BB"/>
    <w:rsid w:val="23F5677C"/>
    <w:rsid w:val="23F63C20"/>
    <w:rsid w:val="240115C5"/>
    <w:rsid w:val="24101808"/>
    <w:rsid w:val="241C63FF"/>
    <w:rsid w:val="24226F43"/>
    <w:rsid w:val="24247062"/>
    <w:rsid w:val="2435126F"/>
    <w:rsid w:val="243A6885"/>
    <w:rsid w:val="246B4A33"/>
    <w:rsid w:val="2479115B"/>
    <w:rsid w:val="247B4ED4"/>
    <w:rsid w:val="24853FA4"/>
    <w:rsid w:val="24A2174F"/>
    <w:rsid w:val="24AA1A26"/>
    <w:rsid w:val="24C513B8"/>
    <w:rsid w:val="24F80254"/>
    <w:rsid w:val="25070E5D"/>
    <w:rsid w:val="250A6257"/>
    <w:rsid w:val="250E5D48"/>
    <w:rsid w:val="25165925"/>
    <w:rsid w:val="25294857"/>
    <w:rsid w:val="252F3F10"/>
    <w:rsid w:val="25382DC5"/>
    <w:rsid w:val="253E2E62"/>
    <w:rsid w:val="255614AE"/>
    <w:rsid w:val="255676EF"/>
    <w:rsid w:val="255A71DF"/>
    <w:rsid w:val="255D0A7D"/>
    <w:rsid w:val="25735262"/>
    <w:rsid w:val="25760913"/>
    <w:rsid w:val="259B2F08"/>
    <w:rsid w:val="25AB2680"/>
    <w:rsid w:val="25AC3A6A"/>
    <w:rsid w:val="25CE3E81"/>
    <w:rsid w:val="25D074A1"/>
    <w:rsid w:val="25D96C39"/>
    <w:rsid w:val="25ED0053"/>
    <w:rsid w:val="25FA451E"/>
    <w:rsid w:val="262C38E5"/>
    <w:rsid w:val="263712CE"/>
    <w:rsid w:val="263F14EC"/>
    <w:rsid w:val="264D0AF2"/>
    <w:rsid w:val="265C5712"/>
    <w:rsid w:val="265D05FD"/>
    <w:rsid w:val="26622EB6"/>
    <w:rsid w:val="268A3AF4"/>
    <w:rsid w:val="26A10E3D"/>
    <w:rsid w:val="26A30712"/>
    <w:rsid w:val="26A51FB7"/>
    <w:rsid w:val="26A56238"/>
    <w:rsid w:val="26BA675A"/>
    <w:rsid w:val="26BE6631"/>
    <w:rsid w:val="26C03C58"/>
    <w:rsid w:val="26C55046"/>
    <w:rsid w:val="26C62A86"/>
    <w:rsid w:val="26D62895"/>
    <w:rsid w:val="26ED5E31"/>
    <w:rsid w:val="26F47B11"/>
    <w:rsid w:val="26F61189"/>
    <w:rsid w:val="26F70A5D"/>
    <w:rsid w:val="270C62B7"/>
    <w:rsid w:val="27135897"/>
    <w:rsid w:val="2714160F"/>
    <w:rsid w:val="27174C5C"/>
    <w:rsid w:val="271B6D61"/>
    <w:rsid w:val="2728280B"/>
    <w:rsid w:val="272E26D1"/>
    <w:rsid w:val="27363334"/>
    <w:rsid w:val="27467B25"/>
    <w:rsid w:val="27475541"/>
    <w:rsid w:val="276C144B"/>
    <w:rsid w:val="27716A62"/>
    <w:rsid w:val="277976C4"/>
    <w:rsid w:val="277F098D"/>
    <w:rsid w:val="278170DB"/>
    <w:rsid w:val="27930786"/>
    <w:rsid w:val="279D4D50"/>
    <w:rsid w:val="279E0CE7"/>
    <w:rsid w:val="27AB3D22"/>
    <w:rsid w:val="27D05536"/>
    <w:rsid w:val="28292E99"/>
    <w:rsid w:val="283005FE"/>
    <w:rsid w:val="28327F9F"/>
    <w:rsid w:val="28331A56"/>
    <w:rsid w:val="28434849"/>
    <w:rsid w:val="28456613"/>
    <w:rsid w:val="286D202F"/>
    <w:rsid w:val="28956780"/>
    <w:rsid w:val="28C52BC1"/>
    <w:rsid w:val="28C606E7"/>
    <w:rsid w:val="28CC69C1"/>
    <w:rsid w:val="28E27A7D"/>
    <w:rsid w:val="29085DCB"/>
    <w:rsid w:val="290D6316"/>
    <w:rsid w:val="291807B8"/>
    <w:rsid w:val="29352E3A"/>
    <w:rsid w:val="293F15D2"/>
    <w:rsid w:val="29491A44"/>
    <w:rsid w:val="294A756A"/>
    <w:rsid w:val="295B01BA"/>
    <w:rsid w:val="295B1778"/>
    <w:rsid w:val="296E7D76"/>
    <w:rsid w:val="298F31CF"/>
    <w:rsid w:val="29B260BA"/>
    <w:rsid w:val="29C6285B"/>
    <w:rsid w:val="29D37560"/>
    <w:rsid w:val="29DD3F3B"/>
    <w:rsid w:val="29EF6C8F"/>
    <w:rsid w:val="29F97E4E"/>
    <w:rsid w:val="2A04596B"/>
    <w:rsid w:val="2A261D85"/>
    <w:rsid w:val="2A2B739C"/>
    <w:rsid w:val="2A3505EE"/>
    <w:rsid w:val="2A383867"/>
    <w:rsid w:val="2A467D32"/>
    <w:rsid w:val="2A4949BA"/>
    <w:rsid w:val="2A53244F"/>
    <w:rsid w:val="2A5744DB"/>
    <w:rsid w:val="2A5B72A5"/>
    <w:rsid w:val="2A5F7045"/>
    <w:rsid w:val="2A76764D"/>
    <w:rsid w:val="2AA42CAA"/>
    <w:rsid w:val="2ABD3BC6"/>
    <w:rsid w:val="2ACD2201"/>
    <w:rsid w:val="2AE337D3"/>
    <w:rsid w:val="2AE55781"/>
    <w:rsid w:val="2AF7727E"/>
    <w:rsid w:val="2B04158B"/>
    <w:rsid w:val="2B1278E3"/>
    <w:rsid w:val="2B150495"/>
    <w:rsid w:val="2B177920"/>
    <w:rsid w:val="2B312C19"/>
    <w:rsid w:val="2B5A1960"/>
    <w:rsid w:val="2B637489"/>
    <w:rsid w:val="2B6C01DB"/>
    <w:rsid w:val="2B726905"/>
    <w:rsid w:val="2B8209DE"/>
    <w:rsid w:val="2B8D272F"/>
    <w:rsid w:val="2BA72A52"/>
    <w:rsid w:val="2BD27F42"/>
    <w:rsid w:val="2BE94E19"/>
    <w:rsid w:val="2BE96E2D"/>
    <w:rsid w:val="2BFF6DCF"/>
    <w:rsid w:val="2C1A1476"/>
    <w:rsid w:val="2C3A38C6"/>
    <w:rsid w:val="2C4C16FF"/>
    <w:rsid w:val="2C6721E1"/>
    <w:rsid w:val="2C8608B9"/>
    <w:rsid w:val="2C9E20A7"/>
    <w:rsid w:val="2C9F63A9"/>
    <w:rsid w:val="2CBE62A5"/>
    <w:rsid w:val="2CC80A91"/>
    <w:rsid w:val="2CCE2260"/>
    <w:rsid w:val="2CDE06F5"/>
    <w:rsid w:val="2CE45CBD"/>
    <w:rsid w:val="2CE81574"/>
    <w:rsid w:val="2CF37F79"/>
    <w:rsid w:val="2D216834"/>
    <w:rsid w:val="2D3C541C"/>
    <w:rsid w:val="2D3C7997"/>
    <w:rsid w:val="2D480265"/>
    <w:rsid w:val="2D617625"/>
    <w:rsid w:val="2D7D6B19"/>
    <w:rsid w:val="2D9172A0"/>
    <w:rsid w:val="2DAA682A"/>
    <w:rsid w:val="2DAF2092"/>
    <w:rsid w:val="2DB5581A"/>
    <w:rsid w:val="2DB94CBF"/>
    <w:rsid w:val="2DC07527"/>
    <w:rsid w:val="2DD37B2E"/>
    <w:rsid w:val="2DE34362"/>
    <w:rsid w:val="2DE51610"/>
    <w:rsid w:val="2DE75CF4"/>
    <w:rsid w:val="2DEF20D7"/>
    <w:rsid w:val="2E2A1718"/>
    <w:rsid w:val="2E3422F8"/>
    <w:rsid w:val="2E382ECE"/>
    <w:rsid w:val="2E5A120D"/>
    <w:rsid w:val="2E5E7CC5"/>
    <w:rsid w:val="2E6609A2"/>
    <w:rsid w:val="2E89343E"/>
    <w:rsid w:val="2E9A4AF0"/>
    <w:rsid w:val="2EA75C11"/>
    <w:rsid w:val="2EAE017D"/>
    <w:rsid w:val="2EB01C1E"/>
    <w:rsid w:val="2EB13C87"/>
    <w:rsid w:val="2EC62A0D"/>
    <w:rsid w:val="2EC67693"/>
    <w:rsid w:val="2ECE6063"/>
    <w:rsid w:val="2ED753FC"/>
    <w:rsid w:val="2EE70552"/>
    <w:rsid w:val="2EE8585B"/>
    <w:rsid w:val="2EF064BE"/>
    <w:rsid w:val="2EF20488"/>
    <w:rsid w:val="2F0119DF"/>
    <w:rsid w:val="2F07062F"/>
    <w:rsid w:val="2F2717B8"/>
    <w:rsid w:val="2F3A39D1"/>
    <w:rsid w:val="2F3A3BDD"/>
    <w:rsid w:val="2F452CAE"/>
    <w:rsid w:val="2F5051AF"/>
    <w:rsid w:val="2F5922B5"/>
    <w:rsid w:val="2F6F3887"/>
    <w:rsid w:val="2F8224C5"/>
    <w:rsid w:val="2FA06136"/>
    <w:rsid w:val="2FA32702"/>
    <w:rsid w:val="2FC50467"/>
    <w:rsid w:val="2FC8743B"/>
    <w:rsid w:val="2FCA31B3"/>
    <w:rsid w:val="2FD2131E"/>
    <w:rsid w:val="2FD44032"/>
    <w:rsid w:val="30134B5A"/>
    <w:rsid w:val="302567CF"/>
    <w:rsid w:val="302723B3"/>
    <w:rsid w:val="303C40BD"/>
    <w:rsid w:val="3045283A"/>
    <w:rsid w:val="304E5B92"/>
    <w:rsid w:val="30590093"/>
    <w:rsid w:val="305F7D9F"/>
    <w:rsid w:val="307B625B"/>
    <w:rsid w:val="307D6477"/>
    <w:rsid w:val="309C3F65"/>
    <w:rsid w:val="309D08C8"/>
    <w:rsid w:val="30A13F14"/>
    <w:rsid w:val="30AD28D7"/>
    <w:rsid w:val="30B30980"/>
    <w:rsid w:val="30D44C7C"/>
    <w:rsid w:val="30E6401D"/>
    <w:rsid w:val="310C55BA"/>
    <w:rsid w:val="31224929"/>
    <w:rsid w:val="31376626"/>
    <w:rsid w:val="315224D4"/>
    <w:rsid w:val="31717D8A"/>
    <w:rsid w:val="3176279D"/>
    <w:rsid w:val="319770C5"/>
    <w:rsid w:val="319D4EF3"/>
    <w:rsid w:val="31A11CF2"/>
    <w:rsid w:val="31B55BDA"/>
    <w:rsid w:val="31C37EBA"/>
    <w:rsid w:val="31D245A1"/>
    <w:rsid w:val="31D9148B"/>
    <w:rsid w:val="31D91A92"/>
    <w:rsid w:val="31E47BCC"/>
    <w:rsid w:val="320D6B1C"/>
    <w:rsid w:val="321109A1"/>
    <w:rsid w:val="321270E3"/>
    <w:rsid w:val="321E1594"/>
    <w:rsid w:val="322841C1"/>
    <w:rsid w:val="323668DE"/>
    <w:rsid w:val="323808A8"/>
    <w:rsid w:val="323B0093"/>
    <w:rsid w:val="323C7F64"/>
    <w:rsid w:val="323E39E4"/>
    <w:rsid w:val="32466E61"/>
    <w:rsid w:val="324A2760"/>
    <w:rsid w:val="32503556"/>
    <w:rsid w:val="325A081E"/>
    <w:rsid w:val="326649B8"/>
    <w:rsid w:val="3278743C"/>
    <w:rsid w:val="32827D75"/>
    <w:rsid w:val="328E0C7D"/>
    <w:rsid w:val="32911D66"/>
    <w:rsid w:val="329C4F37"/>
    <w:rsid w:val="32AB02BD"/>
    <w:rsid w:val="32C83D55"/>
    <w:rsid w:val="32DA184C"/>
    <w:rsid w:val="32E26A66"/>
    <w:rsid w:val="32E620B2"/>
    <w:rsid w:val="32EC580C"/>
    <w:rsid w:val="32F95CB7"/>
    <w:rsid w:val="33010C9A"/>
    <w:rsid w:val="33244988"/>
    <w:rsid w:val="334E5EA9"/>
    <w:rsid w:val="337A64D0"/>
    <w:rsid w:val="33997124"/>
    <w:rsid w:val="33A65CE5"/>
    <w:rsid w:val="33AD7074"/>
    <w:rsid w:val="33B64277"/>
    <w:rsid w:val="33C76378"/>
    <w:rsid w:val="33D17B22"/>
    <w:rsid w:val="33D26ADA"/>
    <w:rsid w:val="33D62126"/>
    <w:rsid w:val="33DE722D"/>
    <w:rsid w:val="33E41C73"/>
    <w:rsid w:val="340C3D9A"/>
    <w:rsid w:val="34190265"/>
    <w:rsid w:val="342A6B27"/>
    <w:rsid w:val="34360E17"/>
    <w:rsid w:val="344D7F0F"/>
    <w:rsid w:val="3469049A"/>
    <w:rsid w:val="346E6B7F"/>
    <w:rsid w:val="34766B9C"/>
    <w:rsid w:val="3495532D"/>
    <w:rsid w:val="349F41F7"/>
    <w:rsid w:val="350022EF"/>
    <w:rsid w:val="35020CF9"/>
    <w:rsid w:val="35074561"/>
    <w:rsid w:val="35132F06"/>
    <w:rsid w:val="3522139B"/>
    <w:rsid w:val="352B0250"/>
    <w:rsid w:val="352E1AEE"/>
    <w:rsid w:val="35325A82"/>
    <w:rsid w:val="35411821"/>
    <w:rsid w:val="3558300F"/>
    <w:rsid w:val="3566572C"/>
    <w:rsid w:val="3583585A"/>
    <w:rsid w:val="35904557"/>
    <w:rsid w:val="35935DF5"/>
    <w:rsid w:val="35987004"/>
    <w:rsid w:val="359C73A0"/>
    <w:rsid w:val="359D02E4"/>
    <w:rsid w:val="35B75970"/>
    <w:rsid w:val="35C8513F"/>
    <w:rsid w:val="35D040D0"/>
    <w:rsid w:val="35D11499"/>
    <w:rsid w:val="35E03756"/>
    <w:rsid w:val="3607320C"/>
    <w:rsid w:val="360E0992"/>
    <w:rsid w:val="361707D4"/>
    <w:rsid w:val="361E1B63"/>
    <w:rsid w:val="36271315"/>
    <w:rsid w:val="36296D8F"/>
    <w:rsid w:val="363726A2"/>
    <w:rsid w:val="36394BEF"/>
    <w:rsid w:val="36454EF4"/>
    <w:rsid w:val="36480ED6"/>
    <w:rsid w:val="3667784E"/>
    <w:rsid w:val="366D5013"/>
    <w:rsid w:val="366E687E"/>
    <w:rsid w:val="368049F0"/>
    <w:rsid w:val="36897924"/>
    <w:rsid w:val="369B1405"/>
    <w:rsid w:val="36C46BAE"/>
    <w:rsid w:val="36C56482"/>
    <w:rsid w:val="36D45D93"/>
    <w:rsid w:val="36F9612C"/>
    <w:rsid w:val="372C02AF"/>
    <w:rsid w:val="373E7446"/>
    <w:rsid w:val="37427DCD"/>
    <w:rsid w:val="374D6BA3"/>
    <w:rsid w:val="376161AB"/>
    <w:rsid w:val="376E062B"/>
    <w:rsid w:val="37700298"/>
    <w:rsid w:val="3793032E"/>
    <w:rsid w:val="37AB17B4"/>
    <w:rsid w:val="37C14E9C"/>
    <w:rsid w:val="37FA1CAE"/>
    <w:rsid w:val="38003C16"/>
    <w:rsid w:val="38037262"/>
    <w:rsid w:val="38211DDE"/>
    <w:rsid w:val="382B3A22"/>
    <w:rsid w:val="385B0E4C"/>
    <w:rsid w:val="386717C0"/>
    <w:rsid w:val="38723425"/>
    <w:rsid w:val="38974AF0"/>
    <w:rsid w:val="38C34C43"/>
    <w:rsid w:val="38C95885"/>
    <w:rsid w:val="390019F4"/>
    <w:rsid w:val="391F631E"/>
    <w:rsid w:val="39202096"/>
    <w:rsid w:val="39422DEA"/>
    <w:rsid w:val="395D29A2"/>
    <w:rsid w:val="39CE1AF2"/>
    <w:rsid w:val="39E676B1"/>
    <w:rsid w:val="39F257E0"/>
    <w:rsid w:val="39F96B6F"/>
    <w:rsid w:val="3A030AC5"/>
    <w:rsid w:val="3A06128C"/>
    <w:rsid w:val="3A3148AB"/>
    <w:rsid w:val="3A476A7B"/>
    <w:rsid w:val="3A542215"/>
    <w:rsid w:val="3A7301ED"/>
    <w:rsid w:val="3AA82343"/>
    <w:rsid w:val="3AB61C66"/>
    <w:rsid w:val="3AD924FC"/>
    <w:rsid w:val="3ADF1DF8"/>
    <w:rsid w:val="3AE315CD"/>
    <w:rsid w:val="3AEF1D20"/>
    <w:rsid w:val="3B29323F"/>
    <w:rsid w:val="3B2C6AD0"/>
    <w:rsid w:val="3B8033E1"/>
    <w:rsid w:val="3BA269FD"/>
    <w:rsid w:val="3BAB20EB"/>
    <w:rsid w:val="3BB379B1"/>
    <w:rsid w:val="3BBD3BCC"/>
    <w:rsid w:val="3BD11425"/>
    <w:rsid w:val="3BD6013A"/>
    <w:rsid w:val="3BF13876"/>
    <w:rsid w:val="3BFF2436"/>
    <w:rsid w:val="3C08753D"/>
    <w:rsid w:val="3C2C6246"/>
    <w:rsid w:val="3C2D083A"/>
    <w:rsid w:val="3C6A3D54"/>
    <w:rsid w:val="3C783EFB"/>
    <w:rsid w:val="3C9E1C4F"/>
    <w:rsid w:val="3CCF40AD"/>
    <w:rsid w:val="3CE05AB2"/>
    <w:rsid w:val="3D1B504E"/>
    <w:rsid w:val="3D22018A"/>
    <w:rsid w:val="3D295E51"/>
    <w:rsid w:val="3D3B124C"/>
    <w:rsid w:val="3D3B2FFA"/>
    <w:rsid w:val="3D485717"/>
    <w:rsid w:val="3D657A24"/>
    <w:rsid w:val="3D6B7484"/>
    <w:rsid w:val="3D791D75"/>
    <w:rsid w:val="3D7D76FE"/>
    <w:rsid w:val="3D967432"/>
    <w:rsid w:val="3D9738AB"/>
    <w:rsid w:val="3DA17C5A"/>
    <w:rsid w:val="3DA94408"/>
    <w:rsid w:val="3DD82F3F"/>
    <w:rsid w:val="3DE6565C"/>
    <w:rsid w:val="3DE6740A"/>
    <w:rsid w:val="3DE93FE1"/>
    <w:rsid w:val="3DEF2039"/>
    <w:rsid w:val="3E38014F"/>
    <w:rsid w:val="3E483C21"/>
    <w:rsid w:val="3E5C147A"/>
    <w:rsid w:val="3E66477A"/>
    <w:rsid w:val="3E6B5B61"/>
    <w:rsid w:val="3E7F160D"/>
    <w:rsid w:val="3EAA6689"/>
    <w:rsid w:val="3F0E2A92"/>
    <w:rsid w:val="3F0F2990"/>
    <w:rsid w:val="3F253F62"/>
    <w:rsid w:val="3F2921E6"/>
    <w:rsid w:val="3F312986"/>
    <w:rsid w:val="3F5356B7"/>
    <w:rsid w:val="3F5F6009"/>
    <w:rsid w:val="3F7857D1"/>
    <w:rsid w:val="3F7D5A4F"/>
    <w:rsid w:val="3F9A21C7"/>
    <w:rsid w:val="3FB13A48"/>
    <w:rsid w:val="3FB172EB"/>
    <w:rsid w:val="3FBF43B6"/>
    <w:rsid w:val="3FCA68B7"/>
    <w:rsid w:val="3FD37E62"/>
    <w:rsid w:val="402D0145"/>
    <w:rsid w:val="403C77B5"/>
    <w:rsid w:val="407D1B7C"/>
    <w:rsid w:val="40884444"/>
    <w:rsid w:val="40A3112D"/>
    <w:rsid w:val="40A35A86"/>
    <w:rsid w:val="40A73B61"/>
    <w:rsid w:val="40BF3F42"/>
    <w:rsid w:val="40D03769"/>
    <w:rsid w:val="40D53EF1"/>
    <w:rsid w:val="40E24001"/>
    <w:rsid w:val="40FB141E"/>
    <w:rsid w:val="411B561D"/>
    <w:rsid w:val="412E12E8"/>
    <w:rsid w:val="4153338C"/>
    <w:rsid w:val="41581D4D"/>
    <w:rsid w:val="41656898"/>
    <w:rsid w:val="418D4040"/>
    <w:rsid w:val="41B86D2C"/>
    <w:rsid w:val="41D028AB"/>
    <w:rsid w:val="41D94E01"/>
    <w:rsid w:val="41F95D14"/>
    <w:rsid w:val="42072045"/>
    <w:rsid w:val="42295B17"/>
    <w:rsid w:val="42336996"/>
    <w:rsid w:val="4239350C"/>
    <w:rsid w:val="42447849"/>
    <w:rsid w:val="426217EC"/>
    <w:rsid w:val="429D6505"/>
    <w:rsid w:val="42CC4BAF"/>
    <w:rsid w:val="42CE4911"/>
    <w:rsid w:val="42DC527F"/>
    <w:rsid w:val="42E171C0"/>
    <w:rsid w:val="42E2739A"/>
    <w:rsid w:val="42ED4D97"/>
    <w:rsid w:val="42F97BDF"/>
    <w:rsid w:val="432A5FEB"/>
    <w:rsid w:val="43452E25"/>
    <w:rsid w:val="43613324"/>
    <w:rsid w:val="4364553F"/>
    <w:rsid w:val="436E09FD"/>
    <w:rsid w:val="4374370A"/>
    <w:rsid w:val="43853221"/>
    <w:rsid w:val="43C81360"/>
    <w:rsid w:val="43EA254E"/>
    <w:rsid w:val="43F07682"/>
    <w:rsid w:val="4416031D"/>
    <w:rsid w:val="44167F08"/>
    <w:rsid w:val="44175E76"/>
    <w:rsid w:val="44231A85"/>
    <w:rsid w:val="442A3DC9"/>
    <w:rsid w:val="443973A6"/>
    <w:rsid w:val="445E6A7B"/>
    <w:rsid w:val="44703ED1"/>
    <w:rsid w:val="447A4D50"/>
    <w:rsid w:val="448230D6"/>
    <w:rsid w:val="449C4CC6"/>
    <w:rsid w:val="449F6565"/>
    <w:rsid w:val="44B601AD"/>
    <w:rsid w:val="44C304A5"/>
    <w:rsid w:val="44C85ABB"/>
    <w:rsid w:val="44CD1324"/>
    <w:rsid w:val="45187B20"/>
    <w:rsid w:val="451C5E07"/>
    <w:rsid w:val="45237196"/>
    <w:rsid w:val="45275A63"/>
    <w:rsid w:val="4538249B"/>
    <w:rsid w:val="453942C3"/>
    <w:rsid w:val="453C0257"/>
    <w:rsid w:val="453E3FCF"/>
    <w:rsid w:val="45513D03"/>
    <w:rsid w:val="4565673D"/>
    <w:rsid w:val="4574077E"/>
    <w:rsid w:val="45765517"/>
    <w:rsid w:val="45794E9A"/>
    <w:rsid w:val="45795008"/>
    <w:rsid w:val="459E4A6E"/>
    <w:rsid w:val="45AA241A"/>
    <w:rsid w:val="45BE0C6C"/>
    <w:rsid w:val="45C30031"/>
    <w:rsid w:val="46192347"/>
    <w:rsid w:val="464F6181"/>
    <w:rsid w:val="46671304"/>
    <w:rsid w:val="467342B8"/>
    <w:rsid w:val="46963997"/>
    <w:rsid w:val="46B02CAB"/>
    <w:rsid w:val="46D36999"/>
    <w:rsid w:val="46DD3374"/>
    <w:rsid w:val="46E75FA1"/>
    <w:rsid w:val="46EB7C68"/>
    <w:rsid w:val="47095F17"/>
    <w:rsid w:val="470D1EAB"/>
    <w:rsid w:val="472D4172"/>
    <w:rsid w:val="473B735A"/>
    <w:rsid w:val="47484C91"/>
    <w:rsid w:val="4749496A"/>
    <w:rsid w:val="474D04FA"/>
    <w:rsid w:val="475950F1"/>
    <w:rsid w:val="47633879"/>
    <w:rsid w:val="4766336A"/>
    <w:rsid w:val="47677A6F"/>
    <w:rsid w:val="47737D22"/>
    <w:rsid w:val="47942E2B"/>
    <w:rsid w:val="47C50090"/>
    <w:rsid w:val="47CB7671"/>
    <w:rsid w:val="47D41743"/>
    <w:rsid w:val="47E25E36"/>
    <w:rsid w:val="47E40B80"/>
    <w:rsid w:val="47FD07FD"/>
    <w:rsid w:val="48172BDB"/>
    <w:rsid w:val="48223734"/>
    <w:rsid w:val="483B2A48"/>
    <w:rsid w:val="484922A6"/>
    <w:rsid w:val="485960BF"/>
    <w:rsid w:val="486C71BD"/>
    <w:rsid w:val="4873378B"/>
    <w:rsid w:val="488A12DA"/>
    <w:rsid w:val="488E2B78"/>
    <w:rsid w:val="489A151D"/>
    <w:rsid w:val="48B40105"/>
    <w:rsid w:val="48B87BF5"/>
    <w:rsid w:val="48D72771"/>
    <w:rsid w:val="48E56510"/>
    <w:rsid w:val="48FD385A"/>
    <w:rsid w:val="493A4AAE"/>
    <w:rsid w:val="495C057F"/>
    <w:rsid w:val="497004D0"/>
    <w:rsid w:val="497E0E3E"/>
    <w:rsid w:val="49836455"/>
    <w:rsid w:val="498668DA"/>
    <w:rsid w:val="49A10689"/>
    <w:rsid w:val="49A85EBB"/>
    <w:rsid w:val="49AB1508"/>
    <w:rsid w:val="49EA0597"/>
    <w:rsid w:val="49F41101"/>
    <w:rsid w:val="4A0961E3"/>
    <w:rsid w:val="4A183041"/>
    <w:rsid w:val="4A205A52"/>
    <w:rsid w:val="4A5B4CDC"/>
    <w:rsid w:val="4A5E3F5D"/>
    <w:rsid w:val="4A6A1427"/>
    <w:rsid w:val="4A730277"/>
    <w:rsid w:val="4A842484"/>
    <w:rsid w:val="4A8C758B"/>
    <w:rsid w:val="4A965D14"/>
    <w:rsid w:val="4AE42F23"/>
    <w:rsid w:val="4AE83C54"/>
    <w:rsid w:val="4AF97A1B"/>
    <w:rsid w:val="4B06733D"/>
    <w:rsid w:val="4B0B6702"/>
    <w:rsid w:val="4B0C5FD6"/>
    <w:rsid w:val="4B1E0FA9"/>
    <w:rsid w:val="4B206D94"/>
    <w:rsid w:val="4B215F25"/>
    <w:rsid w:val="4B2C3CC2"/>
    <w:rsid w:val="4B321EE0"/>
    <w:rsid w:val="4B49722A"/>
    <w:rsid w:val="4B4C6376"/>
    <w:rsid w:val="4B6127C6"/>
    <w:rsid w:val="4B6776C2"/>
    <w:rsid w:val="4B751DCD"/>
    <w:rsid w:val="4B814C16"/>
    <w:rsid w:val="4B893ACB"/>
    <w:rsid w:val="4B9F32EE"/>
    <w:rsid w:val="4BAB3530"/>
    <w:rsid w:val="4BB548C0"/>
    <w:rsid w:val="4BC36D42"/>
    <w:rsid w:val="4BE40D01"/>
    <w:rsid w:val="4BEB6533"/>
    <w:rsid w:val="4BEC408D"/>
    <w:rsid w:val="4BF076A6"/>
    <w:rsid w:val="4C0A1121"/>
    <w:rsid w:val="4C161AF1"/>
    <w:rsid w:val="4C222B32"/>
    <w:rsid w:val="4C285091"/>
    <w:rsid w:val="4C416153"/>
    <w:rsid w:val="4C417B78"/>
    <w:rsid w:val="4C4A5AF7"/>
    <w:rsid w:val="4C5365B2"/>
    <w:rsid w:val="4C924E2D"/>
    <w:rsid w:val="4C9D5A7F"/>
    <w:rsid w:val="4CE74F4D"/>
    <w:rsid w:val="4D111FCA"/>
    <w:rsid w:val="4D1B2F53"/>
    <w:rsid w:val="4D4B54DB"/>
    <w:rsid w:val="4D565C2E"/>
    <w:rsid w:val="4D61085B"/>
    <w:rsid w:val="4D667004"/>
    <w:rsid w:val="4D6B0035"/>
    <w:rsid w:val="4D6D43F9"/>
    <w:rsid w:val="4D866514"/>
    <w:rsid w:val="4D930C30"/>
    <w:rsid w:val="4D9C7AE5"/>
    <w:rsid w:val="4DB210B7"/>
    <w:rsid w:val="4DC1754C"/>
    <w:rsid w:val="4DD54DA5"/>
    <w:rsid w:val="4DE33966"/>
    <w:rsid w:val="4DEB6377"/>
    <w:rsid w:val="4DF06083"/>
    <w:rsid w:val="4DFA2A5E"/>
    <w:rsid w:val="4DFA66E6"/>
    <w:rsid w:val="4E065CB6"/>
    <w:rsid w:val="4E0B07EA"/>
    <w:rsid w:val="4E200716"/>
    <w:rsid w:val="4E30022D"/>
    <w:rsid w:val="4E482208"/>
    <w:rsid w:val="4E4F2DA9"/>
    <w:rsid w:val="4E5401B4"/>
    <w:rsid w:val="4E5B57DC"/>
    <w:rsid w:val="4E676B93"/>
    <w:rsid w:val="4E6D5DEE"/>
    <w:rsid w:val="4E740A62"/>
    <w:rsid w:val="4E766588"/>
    <w:rsid w:val="4EA6788D"/>
    <w:rsid w:val="4EB470B0"/>
    <w:rsid w:val="4EC76DE4"/>
    <w:rsid w:val="4ED90AFF"/>
    <w:rsid w:val="4EFE6975"/>
    <w:rsid w:val="4F1815E2"/>
    <w:rsid w:val="4F183BE6"/>
    <w:rsid w:val="4F336227"/>
    <w:rsid w:val="4F4F73A1"/>
    <w:rsid w:val="4F8E7901"/>
    <w:rsid w:val="4F9B059D"/>
    <w:rsid w:val="4FC9093A"/>
    <w:rsid w:val="4FCE41A2"/>
    <w:rsid w:val="4FD866CB"/>
    <w:rsid w:val="4FDC68BF"/>
    <w:rsid w:val="4FE94B38"/>
    <w:rsid w:val="4FEA5EB5"/>
    <w:rsid w:val="4FEB04D3"/>
    <w:rsid w:val="4FF9121F"/>
    <w:rsid w:val="501740DB"/>
    <w:rsid w:val="505B3C87"/>
    <w:rsid w:val="505D7058"/>
    <w:rsid w:val="507A1C34"/>
    <w:rsid w:val="509C7DFC"/>
    <w:rsid w:val="50B43398"/>
    <w:rsid w:val="50C00528"/>
    <w:rsid w:val="50C11611"/>
    <w:rsid w:val="50C25AB5"/>
    <w:rsid w:val="50C35389"/>
    <w:rsid w:val="50D137D5"/>
    <w:rsid w:val="50F84F5E"/>
    <w:rsid w:val="51112598"/>
    <w:rsid w:val="5120603F"/>
    <w:rsid w:val="51206ED5"/>
    <w:rsid w:val="51302E35"/>
    <w:rsid w:val="51422684"/>
    <w:rsid w:val="514C35D0"/>
    <w:rsid w:val="51667392"/>
    <w:rsid w:val="51825244"/>
    <w:rsid w:val="51B01DB1"/>
    <w:rsid w:val="51BC4CC0"/>
    <w:rsid w:val="51DA6E2E"/>
    <w:rsid w:val="51F872B4"/>
    <w:rsid w:val="51FC0A11"/>
    <w:rsid w:val="521C7446"/>
    <w:rsid w:val="52417FCB"/>
    <w:rsid w:val="526606C2"/>
    <w:rsid w:val="528172AA"/>
    <w:rsid w:val="52892C4F"/>
    <w:rsid w:val="529C1904"/>
    <w:rsid w:val="529F12A2"/>
    <w:rsid w:val="52B753C1"/>
    <w:rsid w:val="52D209C6"/>
    <w:rsid w:val="530138E1"/>
    <w:rsid w:val="530F0D59"/>
    <w:rsid w:val="531613D5"/>
    <w:rsid w:val="5324020D"/>
    <w:rsid w:val="532A5B93"/>
    <w:rsid w:val="533267F6"/>
    <w:rsid w:val="535B036B"/>
    <w:rsid w:val="535E4700"/>
    <w:rsid w:val="536B2FE6"/>
    <w:rsid w:val="536E3CD2"/>
    <w:rsid w:val="53715737"/>
    <w:rsid w:val="5373753A"/>
    <w:rsid w:val="537D5CC3"/>
    <w:rsid w:val="53987A46"/>
    <w:rsid w:val="53BB4A3D"/>
    <w:rsid w:val="53E24C4B"/>
    <w:rsid w:val="53F37C05"/>
    <w:rsid w:val="540B7EB5"/>
    <w:rsid w:val="540E1011"/>
    <w:rsid w:val="54297BF9"/>
    <w:rsid w:val="5436445F"/>
    <w:rsid w:val="54365B47"/>
    <w:rsid w:val="543F7869"/>
    <w:rsid w:val="544B5DC1"/>
    <w:rsid w:val="545033D7"/>
    <w:rsid w:val="54D20290"/>
    <w:rsid w:val="54D67D81"/>
    <w:rsid w:val="54E2482B"/>
    <w:rsid w:val="54E56216"/>
    <w:rsid w:val="54F47B28"/>
    <w:rsid w:val="550F6DEF"/>
    <w:rsid w:val="553B73E2"/>
    <w:rsid w:val="554051FA"/>
    <w:rsid w:val="55473338"/>
    <w:rsid w:val="55833339"/>
    <w:rsid w:val="559429E6"/>
    <w:rsid w:val="55BC3F54"/>
    <w:rsid w:val="55FC07CB"/>
    <w:rsid w:val="560721BC"/>
    <w:rsid w:val="561E0C30"/>
    <w:rsid w:val="561F12B3"/>
    <w:rsid w:val="562B7C58"/>
    <w:rsid w:val="563D798B"/>
    <w:rsid w:val="56561738"/>
    <w:rsid w:val="56602B8B"/>
    <w:rsid w:val="56617B1E"/>
    <w:rsid w:val="56763E09"/>
    <w:rsid w:val="568071EB"/>
    <w:rsid w:val="568E3A93"/>
    <w:rsid w:val="56B52D87"/>
    <w:rsid w:val="56C1680E"/>
    <w:rsid w:val="56CC00BF"/>
    <w:rsid w:val="56EF6ED8"/>
    <w:rsid w:val="570979E2"/>
    <w:rsid w:val="571C3A45"/>
    <w:rsid w:val="571C57F3"/>
    <w:rsid w:val="571D1826"/>
    <w:rsid w:val="573219E8"/>
    <w:rsid w:val="57362D58"/>
    <w:rsid w:val="573C5E95"/>
    <w:rsid w:val="5743331B"/>
    <w:rsid w:val="57541431"/>
    <w:rsid w:val="575431DF"/>
    <w:rsid w:val="576462DE"/>
    <w:rsid w:val="57737EC4"/>
    <w:rsid w:val="5785783C"/>
    <w:rsid w:val="57947A7F"/>
    <w:rsid w:val="57A86BE1"/>
    <w:rsid w:val="57CB5B25"/>
    <w:rsid w:val="57E44562"/>
    <w:rsid w:val="57EB4490"/>
    <w:rsid w:val="57EC1669"/>
    <w:rsid w:val="580449F9"/>
    <w:rsid w:val="581D0F85"/>
    <w:rsid w:val="582C5F09"/>
    <w:rsid w:val="58311772"/>
    <w:rsid w:val="58337298"/>
    <w:rsid w:val="588405BD"/>
    <w:rsid w:val="58873140"/>
    <w:rsid w:val="58935F89"/>
    <w:rsid w:val="58A63441"/>
    <w:rsid w:val="58BF28DA"/>
    <w:rsid w:val="58D00AF4"/>
    <w:rsid w:val="58DE1D8C"/>
    <w:rsid w:val="58F06F37"/>
    <w:rsid w:val="58F44C79"/>
    <w:rsid w:val="5919648E"/>
    <w:rsid w:val="591A5DA5"/>
    <w:rsid w:val="59337D32"/>
    <w:rsid w:val="598A550B"/>
    <w:rsid w:val="599C09DC"/>
    <w:rsid w:val="599D70BF"/>
    <w:rsid w:val="59BA6FCD"/>
    <w:rsid w:val="59C36C5B"/>
    <w:rsid w:val="59CC3500"/>
    <w:rsid w:val="59D14FBA"/>
    <w:rsid w:val="59EE3017"/>
    <w:rsid w:val="59F1323B"/>
    <w:rsid w:val="5A0D0436"/>
    <w:rsid w:val="5A2C0443"/>
    <w:rsid w:val="5A434692"/>
    <w:rsid w:val="5A5B2AD6"/>
    <w:rsid w:val="5A7B0A82"/>
    <w:rsid w:val="5A86410C"/>
    <w:rsid w:val="5A8D7133"/>
    <w:rsid w:val="5A9B2ED2"/>
    <w:rsid w:val="5AAE0E58"/>
    <w:rsid w:val="5AC32B55"/>
    <w:rsid w:val="5ADF3707"/>
    <w:rsid w:val="5AF076C2"/>
    <w:rsid w:val="5AF56A87"/>
    <w:rsid w:val="5AFE1DDF"/>
    <w:rsid w:val="5B1433B1"/>
    <w:rsid w:val="5B1E5FDD"/>
    <w:rsid w:val="5B264B73"/>
    <w:rsid w:val="5B2A2BD4"/>
    <w:rsid w:val="5B5E462C"/>
    <w:rsid w:val="5B5F1393"/>
    <w:rsid w:val="5B5F2152"/>
    <w:rsid w:val="5B687BD4"/>
    <w:rsid w:val="5B6B6D49"/>
    <w:rsid w:val="5B9535F4"/>
    <w:rsid w:val="5B991B08"/>
    <w:rsid w:val="5B9938B6"/>
    <w:rsid w:val="5BC528FD"/>
    <w:rsid w:val="5BC8419B"/>
    <w:rsid w:val="5BD26DC8"/>
    <w:rsid w:val="5BDE576D"/>
    <w:rsid w:val="5C0B4CB9"/>
    <w:rsid w:val="5C0D0AE7"/>
    <w:rsid w:val="5C2018E1"/>
    <w:rsid w:val="5C2C0286"/>
    <w:rsid w:val="5C2C297C"/>
    <w:rsid w:val="5C2E2250"/>
    <w:rsid w:val="5C753B41"/>
    <w:rsid w:val="5C7D31D8"/>
    <w:rsid w:val="5C870D7B"/>
    <w:rsid w:val="5CC22486"/>
    <w:rsid w:val="5CC76A05"/>
    <w:rsid w:val="5CE05C01"/>
    <w:rsid w:val="5D1C654D"/>
    <w:rsid w:val="5D2015DA"/>
    <w:rsid w:val="5D213B63"/>
    <w:rsid w:val="5D226CFA"/>
    <w:rsid w:val="5D2C2695"/>
    <w:rsid w:val="5D2D69AC"/>
    <w:rsid w:val="5D3F66DF"/>
    <w:rsid w:val="5D912C18"/>
    <w:rsid w:val="5D9702C9"/>
    <w:rsid w:val="5DA85633"/>
    <w:rsid w:val="5DB91FED"/>
    <w:rsid w:val="5DC07B22"/>
    <w:rsid w:val="5DC2175C"/>
    <w:rsid w:val="5DF63972"/>
    <w:rsid w:val="5DFC012C"/>
    <w:rsid w:val="5E080D42"/>
    <w:rsid w:val="5E0A45F7"/>
    <w:rsid w:val="5E2E0A91"/>
    <w:rsid w:val="5E345B18"/>
    <w:rsid w:val="5E36132D"/>
    <w:rsid w:val="5E451AD3"/>
    <w:rsid w:val="5E792572"/>
    <w:rsid w:val="5ED6597D"/>
    <w:rsid w:val="5ED94AAC"/>
    <w:rsid w:val="5EDD61AF"/>
    <w:rsid w:val="5EFC6636"/>
    <w:rsid w:val="5F076D88"/>
    <w:rsid w:val="5F37766E"/>
    <w:rsid w:val="5F5F532C"/>
    <w:rsid w:val="5F6D308F"/>
    <w:rsid w:val="5F7466FE"/>
    <w:rsid w:val="5F7A755A"/>
    <w:rsid w:val="5F863542"/>
    <w:rsid w:val="5FAE4D62"/>
    <w:rsid w:val="5FB20274"/>
    <w:rsid w:val="5FEB709A"/>
    <w:rsid w:val="5FFC7BC4"/>
    <w:rsid w:val="60063D1C"/>
    <w:rsid w:val="60182CB2"/>
    <w:rsid w:val="60287A9B"/>
    <w:rsid w:val="60326810"/>
    <w:rsid w:val="6042451C"/>
    <w:rsid w:val="60687CFB"/>
    <w:rsid w:val="60835BF8"/>
    <w:rsid w:val="60D62EB6"/>
    <w:rsid w:val="60F021CA"/>
    <w:rsid w:val="60FB0B6F"/>
    <w:rsid w:val="610619ED"/>
    <w:rsid w:val="613C6465"/>
    <w:rsid w:val="613D4CE3"/>
    <w:rsid w:val="61442516"/>
    <w:rsid w:val="614D13CA"/>
    <w:rsid w:val="61776447"/>
    <w:rsid w:val="618D5C6B"/>
    <w:rsid w:val="61CD42B9"/>
    <w:rsid w:val="61F555BE"/>
    <w:rsid w:val="62035F2D"/>
    <w:rsid w:val="62057D23"/>
    <w:rsid w:val="621C5BA9"/>
    <w:rsid w:val="62427522"/>
    <w:rsid w:val="624F23FA"/>
    <w:rsid w:val="62514EEA"/>
    <w:rsid w:val="62736350"/>
    <w:rsid w:val="627436ED"/>
    <w:rsid w:val="62763D02"/>
    <w:rsid w:val="628506F0"/>
    <w:rsid w:val="62CC2BB0"/>
    <w:rsid w:val="62EB3A25"/>
    <w:rsid w:val="63185A08"/>
    <w:rsid w:val="6320666B"/>
    <w:rsid w:val="632C5010"/>
    <w:rsid w:val="634B4821"/>
    <w:rsid w:val="636D1FAC"/>
    <w:rsid w:val="63712083"/>
    <w:rsid w:val="63936E3D"/>
    <w:rsid w:val="63BA479C"/>
    <w:rsid w:val="63C139AA"/>
    <w:rsid w:val="63D00091"/>
    <w:rsid w:val="63D368D7"/>
    <w:rsid w:val="63F35B2D"/>
    <w:rsid w:val="640A5918"/>
    <w:rsid w:val="640D6BEF"/>
    <w:rsid w:val="641F3554"/>
    <w:rsid w:val="64233706"/>
    <w:rsid w:val="64265F03"/>
    <w:rsid w:val="6432550D"/>
    <w:rsid w:val="64371EBE"/>
    <w:rsid w:val="64426DE8"/>
    <w:rsid w:val="644F5459"/>
    <w:rsid w:val="64686B51"/>
    <w:rsid w:val="647C1FC7"/>
    <w:rsid w:val="647D6C6E"/>
    <w:rsid w:val="648A0240"/>
    <w:rsid w:val="648D7D30"/>
    <w:rsid w:val="64B140D9"/>
    <w:rsid w:val="64B4710A"/>
    <w:rsid w:val="64B90B25"/>
    <w:rsid w:val="64BE613B"/>
    <w:rsid w:val="64C50E7F"/>
    <w:rsid w:val="64D771FD"/>
    <w:rsid w:val="64DB4F3F"/>
    <w:rsid w:val="65006754"/>
    <w:rsid w:val="651122B9"/>
    <w:rsid w:val="6515681C"/>
    <w:rsid w:val="65202952"/>
    <w:rsid w:val="652E506F"/>
    <w:rsid w:val="65406093"/>
    <w:rsid w:val="65420B1A"/>
    <w:rsid w:val="655C3587"/>
    <w:rsid w:val="65886897"/>
    <w:rsid w:val="659770B8"/>
    <w:rsid w:val="65A2780B"/>
    <w:rsid w:val="65B512EC"/>
    <w:rsid w:val="65C8329B"/>
    <w:rsid w:val="65D01C39"/>
    <w:rsid w:val="65F904A0"/>
    <w:rsid w:val="66044E06"/>
    <w:rsid w:val="66197FF3"/>
    <w:rsid w:val="664509E2"/>
    <w:rsid w:val="66496A71"/>
    <w:rsid w:val="66967370"/>
    <w:rsid w:val="66C537B1"/>
    <w:rsid w:val="66E005EB"/>
    <w:rsid w:val="66E16111"/>
    <w:rsid w:val="66F37636"/>
    <w:rsid w:val="670A2DA3"/>
    <w:rsid w:val="67472418"/>
    <w:rsid w:val="675B0722"/>
    <w:rsid w:val="6762124F"/>
    <w:rsid w:val="676273A8"/>
    <w:rsid w:val="677A0EB9"/>
    <w:rsid w:val="678B2407"/>
    <w:rsid w:val="67A4786A"/>
    <w:rsid w:val="67B101D9"/>
    <w:rsid w:val="67B42433"/>
    <w:rsid w:val="67B75B18"/>
    <w:rsid w:val="67B850C4"/>
    <w:rsid w:val="67C972D1"/>
    <w:rsid w:val="67CC0B6F"/>
    <w:rsid w:val="67DD2D7C"/>
    <w:rsid w:val="67E91721"/>
    <w:rsid w:val="68047157"/>
    <w:rsid w:val="68057461"/>
    <w:rsid w:val="680A680D"/>
    <w:rsid w:val="680E1188"/>
    <w:rsid w:val="68264723"/>
    <w:rsid w:val="6828049B"/>
    <w:rsid w:val="68460921"/>
    <w:rsid w:val="68531770"/>
    <w:rsid w:val="68531926"/>
    <w:rsid w:val="68866F70"/>
    <w:rsid w:val="688B4586"/>
    <w:rsid w:val="689A6532"/>
    <w:rsid w:val="689D73CB"/>
    <w:rsid w:val="68A044D6"/>
    <w:rsid w:val="68A35D74"/>
    <w:rsid w:val="68A4505F"/>
    <w:rsid w:val="68BC01F8"/>
    <w:rsid w:val="68E02A60"/>
    <w:rsid w:val="68EC771B"/>
    <w:rsid w:val="69015A74"/>
    <w:rsid w:val="6917406C"/>
    <w:rsid w:val="6942099E"/>
    <w:rsid w:val="695D4175"/>
    <w:rsid w:val="698931BC"/>
    <w:rsid w:val="699D0A15"/>
    <w:rsid w:val="69A00505"/>
    <w:rsid w:val="69A2427D"/>
    <w:rsid w:val="69BA1345"/>
    <w:rsid w:val="69D07FD1"/>
    <w:rsid w:val="69DC3E4A"/>
    <w:rsid w:val="69F566F5"/>
    <w:rsid w:val="69FA7C16"/>
    <w:rsid w:val="6A170B7C"/>
    <w:rsid w:val="6A2151A2"/>
    <w:rsid w:val="6A2627B9"/>
    <w:rsid w:val="6A2702BC"/>
    <w:rsid w:val="6A331379"/>
    <w:rsid w:val="6A3C1FDC"/>
    <w:rsid w:val="6A577A5F"/>
    <w:rsid w:val="6A647785"/>
    <w:rsid w:val="6A701C86"/>
    <w:rsid w:val="6A894DD0"/>
    <w:rsid w:val="6A8D0A8A"/>
    <w:rsid w:val="6A9E2C97"/>
    <w:rsid w:val="6AB763D1"/>
    <w:rsid w:val="6AB83C70"/>
    <w:rsid w:val="6AC01C35"/>
    <w:rsid w:val="6AC27BFE"/>
    <w:rsid w:val="6AC93F86"/>
    <w:rsid w:val="6ADB13C7"/>
    <w:rsid w:val="6AFE7291"/>
    <w:rsid w:val="6B0D2C0B"/>
    <w:rsid w:val="6B160A7F"/>
    <w:rsid w:val="6B1747F7"/>
    <w:rsid w:val="6B19231D"/>
    <w:rsid w:val="6B301415"/>
    <w:rsid w:val="6B5965FE"/>
    <w:rsid w:val="6B5C6B1E"/>
    <w:rsid w:val="6B5E41D4"/>
    <w:rsid w:val="6B797260"/>
    <w:rsid w:val="6B8005EE"/>
    <w:rsid w:val="6B823440"/>
    <w:rsid w:val="6B83272F"/>
    <w:rsid w:val="6B9B310B"/>
    <w:rsid w:val="6BA51E03"/>
    <w:rsid w:val="6BB65DBE"/>
    <w:rsid w:val="6BB67B6C"/>
    <w:rsid w:val="6BEB5EDE"/>
    <w:rsid w:val="6BF16DF6"/>
    <w:rsid w:val="6C2E3BA6"/>
    <w:rsid w:val="6C375151"/>
    <w:rsid w:val="6C3C47B3"/>
    <w:rsid w:val="6C4909E0"/>
    <w:rsid w:val="6C496C32"/>
    <w:rsid w:val="6C832144"/>
    <w:rsid w:val="6C937EAD"/>
    <w:rsid w:val="6C9D0D2C"/>
    <w:rsid w:val="6CB85BF5"/>
    <w:rsid w:val="6CD01102"/>
    <w:rsid w:val="6CD75FEC"/>
    <w:rsid w:val="6CDE737B"/>
    <w:rsid w:val="6CE24244"/>
    <w:rsid w:val="6CE36FC8"/>
    <w:rsid w:val="6D176D30"/>
    <w:rsid w:val="6D1F7993"/>
    <w:rsid w:val="6D2232F1"/>
    <w:rsid w:val="6D4A0EB4"/>
    <w:rsid w:val="6D975A3E"/>
    <w:rsid w:val="6D9914F3"/>
    <w:rsid w:val="6DAD528E"/>
    <w:rsid w:val="6DBF7D15"/>
    <w:rsid w:val="6DDB21D3"/>
    <w:rsid w:val="6DDF5000"/>
    <w:rsid w:val="6DE24C48"/>
    <w:rsid w:val="6DE35D18"/>
    <w:rsid w:val="6DF41CE2"/>
    <w:rsid w:val="6E160D96"/>
    <w:rsid w:val="6E1F3036"/>
    <w:rsid w:val="6E2C05BA"/>
    <w:rsid w:val="6E3000AA"/>
    <w:rsid w:val="6E3B3456"/>
    <w:rsid w:val="6E453A31"/>
    <w:rsid w:val="6E4E22DE"/>
    <w:rsid w:val="6E645FA5"/>
    <w:rsid w:val="6E751F61"/>
    <w:rsid w:val="6E810366"/>
    <w:rsid w:val="6E881C94"/>
    <w:rsid w:val="6EC364B5"/>
    <w:rsid w:val="6EC407F2"/>
    <w:rsid w:val="6EE449F0"/>
    <w:rsid w:val="6EF62128"/>
    <w:rsid w:val="6F3239AE"/>
    <w:rsid w:val="6F4C2993"/>
    <w:rsid w:val="6F5F0599"/>
    <w:rsid w:val="6F765F90"/>
    <w:rsid w:val="6F7B35A7"/>
    <w:rsid w:val="6FB22D40"/>
    <w:rsid w:val="6FB90620"/>
    <w:rsid w:val="6FDC1B6B"/>
    <w:rsid w:val="6FE0165C"/>
    <w:rsid w:val="6FE90800"/>
    <w:rsid w:val="701D465E"/>
    <w:rsid w:val="7023779A"/>
    <w:rsid w:val="702754DC"/>
    <w:rsid w:val="70281CF1"/>
    <w:rsid w:val="702F4391"/>
    <w:rsid w:val="705B0CE2"/>
    <w:rsid w:val="706C2EEF"/>
    <w:rsid w:val="706E4EB9"/>
    <w:rsid w:val="707B1384"/>
    <w:rsid w:val="70B97A34"/>
    <w:rsid w:val="70BE3020"/>
    <w:rsid w:val="70C42D2B"/>
    <w:rsid w:val="70E0072F"/>
    <w:rsid w:val="70E178AF"/>
    <w:rsid w:val="70E21403"/>
    <w:rsid w:val="70F84783"/>
    <w:rsid w:val="70F97914"/>
    <w:rsid w:val="71125845"/>
    <w:rsid w:val="7113780F"/>
    <w:rsid w:val="713752AB"/>
    <w:rsid w:val="71561E1E"/>
    <w:rsid w:val="716360A0"/>
    <w:rsid w:val="716F713B"/>
    <w:rsid w:val="719646C8"/>
    <w:rsid w:val="71A1306D"/>
    <w:rsid w:val="71A861A9"/>
    <w:rsid w:val="71D76A8E"/>
    <w:rsid w:val="720C2AB9"/>
    <w:rsid w:val="72182020"/>
    <w:rsid w:val="7218332F"/>
    <w:rsid w:val="72225F5B"/>
    <w:rsid w:val="72273572"/>
    <w:rsid w:val="72281098"/>
    <w:rsid w:val="7238752D"/>
    <w:rsid w:val="723F4D5F"/>
    <w:rsid w:val="72533BCF"/>
    <w:rsid w:val="725620A9"/>
    <w:rsid w:val="725B146D"/>
    <w:rsid w:val="725D3437"/>
    <w:rsid w:val="72CB03A1"/>
    <w:rsid w:val="72D03C09"/>
    <w:rsid w:val="72F37EB8"/>
    <w:rsid w:val="72F71196"/>
    <w:rsid w:val="73190D85"/>
    <w:rsid w:val="731F693F"/>
    <w:rsid w:val="732E6B82"/>
    <w:rsid w:val="734C3D25"/>
    <w:rsid w:val="73634A7D"/>
    <w:rsid w:val="736425A4"/>
    <w:rsid w:val="7372081D"/>
    <w:rsid w:val="738343C3"/>
    <w:rsid w:val="73F90F3E"/>
    <w:rsid w:val="7419338E"/>
    <w:rsid w:val="74341F76"/>
    <w:rsid w:val="74485A21"/>
    <w:rsid w:val="745D50A1"/>
    <w:rsid w:val="745D7A02"/>
    <w:rsid w:val="746E5488"/>
    <w:rsid w:val="74BE7A92"/>
    <w:rsid w:val="74D42813"/>
    <w:rsid w:val="750D2EF3"/>
    <w:rsid w:val="751F654B"/>
    <w:rsid w:val="752D5343"/>
    <w:rsid w:val="75322959"/>
    <w:rsid w:val="753C5586"/>
    <w:rsid w:val="75686BCC"/>
    <w:rsid w:val="75693EA1"/>
    <w:rsid w:val="75752846"/>
    <w:rsid w:val="75842A89"/>
    <w:rsid w:val="75932CCC"/>
    <w:rsid w:val="75955852"/>
    <w:rsid w:val="75A754F8"/>
    <w:rsid w:val="75AF45AE"/>
    <w:rsid w:val="75B275F6"/>
    <w:rsid w:val="75D237F5"/>
    <w:rsid w:val="75DE03EB"/>
    <w:rsid w:val="75F94992"/>
    <w:rsid w:val="760D7FB3"/>
    <w:rsid w:val="76391AC6"/>
    <w:rsid w:val="764346F2"/>
    <w:rsid w:val="7645046A"/>
    <w:rsid w:val="764C557E"/>
    <w:rsid w:val="765C57B4"/>
    <w:rsid w:val="767174B1"/>
    <w:rsid w:val="76780840"/>
    <w:rsid w:val="76783F68"/>
    <w:rsid w:val="76793892"/>
    <w:rsid w:val="7687068A"/>
    <w:rsid w:val="76941B1A"/>
    <w:rsid w:val="76AD7DBE"/>
    <w:rsid w:val="76DE441B"/>
    <w:rsid w:val="76E45ED5"/>
    <w:rsid w:val="770D1EB1"/>
    <w:rsid w:val="77147E3D"/>
    <w:rsid w:val="771A3ADA"/>
    <w:rsid w:val="7725204A"/>
    <w:rsid w:val="7730111A"/>
    <w:rsid w:val="77391FC6"/>
    <w:rsid w:val="773D3837"/>
    <w:rsid w:val="7746449A"/>
    <w:rsid w:val="77551879"/>
    <w:rsid w:val="776963DA"/>
    <w:rsid w:val="776D0DB5"/>
    <w:rsid w:val="779C40BA"/>
    <w:rsid w:val="779F1CDF"/>
    <w:rsid w:val="77AB69F3"/>
    <w:rsid w:val="77B07A95"/>
    <w:rsid w:val="77C6382D"/>
    <w:rsid w:val="77E048EF"/>
    <w:rsid w:val="780C3B22"/>
    <w:rsid w:val="787D038F"/>
    <w:rsid w:val="78960636"/>
    <w:rsid w:val="789F0530"/>
    <w:rsid w:val="78AC169E"/>
    <w:rsid w:val="78B96EEE"/>
    <w:rsid w:val="78C0027C"/>
    <w:rsid w:val="78CA55CE"/>
    <w:rsid w:val="78DC11E9"/>
    <w:rsid w:val="78EF46BD"/>
    <w:rsid w:val="78F9488B"/>
    <w:rsid w:val="78FB12B4"/>
    <w:rsid w:val="79074B53"/>
    <w:rsid w:val="790E7239"/>
    <w:rsid w:val="79257DFE"/>
    <w:rsid w:val="793A6280"/>
    <w:rsid w:val="794C5FB4"/>
    <w:rsid w:val="79716072"/>
    <w:rsid w:val="79735687"/>
    <w:rsid w:val="797A667D"/>
    <w:rsid w:val="797D43BF"/>
    <w:rsid w:val="79870D9A"/>
    <w:rsid w:val="79951DB2"/>
    <w:rsid w:val="79993610"/>
    <w:rsid w:val="79B81A3C"/>
    <w:rsid w:val="79C478F8"/>
    <w:rsid w:val="79DD60B2"/>
    <w:rsid w:val="79EA1A55"/>
    <w:rsid w:val="79FA5A10"/>
    <w:rsid w:val="79FF6B82"/>
    <w:rsid w:val="7A2D118F"/>
    <w:rsid w:val="7A356A48"/>
    <w:rsid w:val="7A454EDD"/>
    <w:rsid w:val="7A532341"/>
    <w:rsid w:val="7A551C2F"/>
    <w:rsid w:val="7A5769BE"/>
    <w:rsid w:val="7A5B4CFF"/>
    <w:rsid w:val="7A8157E9"/>
    <w:rsid w:val="7A833F3B"/>
    <w:rsid w:val="7AAF1A3A"/>
    <w:rsid w:val="7AE26947"/>
    <w:rsid w:val="7AF661D7"/>
    <w:rsid w:val="7AF75AAB"/>
    <w:rsid w:val="7B220D7A"/>
    <w:rsid w:val="7B2F3497"/>
    <w:rsid w:val="7B2F5245"/>
    <w:rsid w:val="7B430CF1"/>
    <w:rsid w:val="7B5237E2"/>
    <w:rsid w:val="7B786BEC"/>
    <w:rsid w:val="7B89373C"/>
    <w:rsid w:val="7B940C71"/>
    <w:rsid w:val="7B9F484E"/>
    <w:rsid w:val="7BA7127F"/>
    <w:rsid w:val="7BBA7D61"/>
    <w:rsid w:val="7BC24845"/>
    <w:rsid w:val="7C374C0D"/>
    <w:rsid w:val="7C430CD5"/>
    <w:rsid w:val="7C4371FA"/>
    <w:rsid w:val="7C796B83"/>
    <w:rsid w:val="7C7C270C"/>
    <w:rsid w:val="7C913580"/>
    <w:rsid w:val="7CA659DB"/>
    <w:rsid w:val="7CCB222D"/>
    <w:rsid w:val="7CD24A22"/>
    <w:rsid w:val="7CD930BA"/>
    <w:rsid w:val="7CFE0C47"/>
    <w:rsid w:val="7D006E99"/>
    <w:rsid w:val="7D2A08F5"/>
    <w:rsid w:val="7D2C6D56"/>
    <w:rsid w:val="7D4F5B8A"/>
    <w:rsid w:val="7D517499"/>
    <w:rsid w:val="7D6F401F"/>
    <w:rsid w:val="7D752025"/>
    <w:rsid w:val="7D9D0B8C"/>
    <w:rsid w:val="7D9F1E09"/>
    <w:rsid w:val="7DA168CE"/>
    <w:rsid w:val="7DA56368"/>
    <w:rsid w:val="7DB8418C"/>
    <w:rsid w:val="7DBB54B6"/>
    <w:rsid w:val="7DDD542C"/>
    <w:rsid w:val="7E0368D8"/>
    <w:rsid w:val="7E335125"/>
    <w:rsid w:val="7E4159BB"/>
    <w:rsid w:val="7E553215"/>
    <w:rsid w:val="7E7044F2"/>
    <w:rsid w:val="7E7B31DC"/>
    <w:rsid w:val="7E9235AA"/>
    <w:rsid w:val="7ECA21EB"/>
    <w:rsid w:val="7ED2135E"/>
    <w:rsid w:val="7EE01021"/>
    <w:rsid w:val="7EE5787B"/>
    <w:rsid w:val="7EED78F1"/>
    <w:rsid w:val="7EFB4FBB"/>
    <w:rsid w:val="7F07123A"/>
    <w:rsid w:val="7F2E23E3"/>
    <w:rsid w:val="7F2F641F"/>
    <w:rsid w:val="7F390F10"/>
    <w:rsid w:val="7F4E65E2"/>
    <w:rsid w:val="7F687745"/>
    <w:rsid w:val="7F6C6A68"/>
    <w:rsid w:val="7F7153BB"/>
    <w:rsid w:val="7F871C42"/>
    <w:rsid w:val="7FBB79EF"/>
    <w:rsid w:val="7FBE3022"/>
    <w:rsid w:val="7FBF1CF8"/>
    <w:rsid w:val="7FF058EB"/>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仿宋" w:hAnsi="仿宋" w:eastAsia="仿宋" w:cs="仿宋"/>
      <w:sz w:val="30"/>
      <w:szCs w:val="30"/>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1"/>
    <w:pPr>
      <w:spacing w:before="240"/>
      <w:ind w:right="263"/>
      <w:jc w:val="right"/>
    </w:pPr>
    <w:rPr>
      <w:rFonts w:ascii="仿宋" w:hAnsi="仿宋" w:eastAsia="仿宋" w:cs="仿宋"/>
      <w:sz w:val="30"/>
      <w:szCs w:val="30"/>
      <w:lang w:val="zh-CN" w:eastAsia="zh-CN" w:bidi="zh-CN"/>
    </w:rPr>
  </w:style>
  <w:style w:type="paragraph" w:styleId="7">
    <w:name w:val="toc 2"/>
    <w:basedOn w:val="1"/>
    <w:next w:val="1"/>
    <w:qFormat/>
    <w:uiPriority w:val="0"/>
    <w:pPr>
      <w:ind w:left="420" w:leftChars="200"/>
    </w:pPr>
  </w:style>
  <w:style w:type="paragraph" w:styleId="8">
    <w:name w:val="Body Text First Indent 2"/>
    <w:qFormat/>
    <w:uiPriority w:val="0"/>
    <w:pPr>
      <w:widowControl w:val="0"/>
      <w:tabs>
        <w:tab w:val="left" w:pos="-116"/>
        <w:tab w:val="left" w:pos="420"/>
      </w:tabs>
      <w:ind w:firstLine="420" w:firstLineChars="200"/>
      <w:jc w:val="left"/>
    </w:pPr>
    <w:rPr>
      <w:rFonts w:ascii="宋体" w:hAnsi="Times New Roman" w:eastAsia="宋体" w:cs="Times New Roman"/>
      <w:kern w:val="2"/>
      <w:sz w:val="28"/>
      <w:szCs w:val="20"/>
      <w:lang w:val="en-US" w:eastAsia="zh-CN"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table" w:customStyle="1" w:styleId="14">
    <w:name w:val="Table Normal"/>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Arial" w:hAnsi="Arial" w:eastAsia="Arial" w:cs="Arial"/>
      <w:sz w:val="21"/>
      <w:szCs w:val="21"/>
      <w:lang w:val="en-US" w:eastAsia="en-US" w:bidi="ar-SA"/>
    </w:rPr>
  </w:style>
  <w:style w:type="character" w:customStyle="1" w:styleId="16">
    <w:name w:val="font41"/>
    <w:basedOn w:val="11"/>
    <w:qFormat/>
    <w:uiPriority w:val="0"/>
    <w:rPr>
      <w:rFonts w:hint="eastAsia" w:ascii="宋体" w:hAnsi="宋体" w:eastAsia="宋体" w:cs="宋体"/>
      <w:color w:val="000000"/>
      <w:sz w:val="24"/>
      <w:szCs w:val="24"/>
      <w:u w:val="none"/>
    </w:rPr>
  </w:style>
  <w:style w:type="character" w:customStyle="1" w:styleId="17">
    <w:name w:val="font101"/>
    <w:basedOn w:val="11"/>
    <w:qFormat/>
    <w:uiPriority w:val="0"/>
    <w:rPr>
      <w:rFonts w:hint="eastAsia" w:ascii="宋体" w:hAnsi="宋体" w:eastAsia="宋体" w:cs="宋体"/>
      <w:color w:val="FF0000"/>
      <w:sz w:val="24"/>
      <w:szCs w:val="24"/>
      <w:u w:val="none"/>
    </w:rPr>
  </w:style>
  <w:style w:type="character" w:customStyle="1" w:styleId="18">
    <w:name w:val="font61"/>
    <w:basedOn w:val="11"/>
    <w:qFormat/>
    <w:uiPriority w:val="0"/>
    <w:rPr>
      <w:rFonts w:hint="eastAsia" w:ascii="宋体" w:hAnsi="宋体" w:eastAsia="宋体" w:cs="宋体"/>
      <w:color w:val="000000"/>
      <w:sz w:val="24"/>
      <w:szCs w:val="24"/>
      <w:u w:val="none"/>
    </w:rPr>
  </w:style>
  <w:style w:type="character" w:customStyle="1" w:styleId="19">
    <w:name w:val="font111"/>
    <w:basedOn w:val="11"/>
    <w:qFormat/>
    <w:uiPriority w:val="0"/>
    <w:rPr>
      <w:rFonts w:hint="eastAsia" w:ascii="宋体" w:hAnsi="宋体" w:eastAsia="宋体" w:cs="宋体"/>
      <w:color w:val="FF0000"/>
      <w:sz w:val="24"/>
      <w:szCs w:val="24"/>
      <w:u w:val="none"/>
    </w:rPr>
  </w:style>
  <w:style w:type="character" w:customStyle="1" w:styleId="20">
    <w:name w:val="font81"/>
    <w:basedOn w:val="11"/>
    <w:qFormat/>
    <w:uiPriority w:val="0"/>
    <w:rPr>
      <w:rFonts w:hint="eastAsia" w:ascii="宋体" w:hAnsi="宋体" w:eastAsia="宋体" w:cs="宋体"/>
      <w:color w:val="000000"/>
      <w:sz w:val="24"/>
      <w:szCs w:val="24"/>
      <w:u w:val="none"/>
    </w:rPr>
  </w:style>
  <w:style w:type="character" w:customStyle="1" w:styleId="21">
    <w:name w:val="font132"/>
    <w:basedOn w:val="11"/>
    <w:qFormat/>
    <w:uiPriority w:val="0"/>
    <w:rPr>
      <w:rFonts w:hint="eastAsia" w:ascii="宋体" w:hAnsi="宋体" w:eastAsia="宋体" w:cs="宋体"/>
      <w:color w:val="FF0000"/>
      <w:sz w:val="24"/>
      <w:szCs w:val="24"/>
      <w:u w:val="single"/>
    </w:rPr>
  </w:style>
  <w:style w:type="character" w:customStyle="1" w:styleId="22">
    <w:name w:val="font141"/>
    <w:basedOn w:val="11"/>
    <w:qFormat/>
    <w:uiPriority w:val="0"/>
    <w:rPr>
      <w:rFonts w:hint="eastAsia" w:ascii="宋体" w:hAnsi="宋体" w:eastAsia="宋体" w:cs="宋体"/>
      <w:color w:val="000000"/>
      <w:sz w:val="24"/>
      <w:szCs w:val="24"/>
      <w:u w:val="single"/>
    </w:rPr>
  </w:style>
  <w:style w:type="paragraph" w:customStyle="1" w:styleId="23">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jpe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18563</Words>
  <Characters>19463</Characters>
  <Lines>0</Lines>
  <Paragraphs>0</Paragraphs>
  <TotalTime>15</TotalTime>
  <ScaleCrop>false</ScaleCrop>
  <LinksUpToDate>false</LinksUpToDate>
  <CharactersWithSpaces>19987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2021-11-16T09:54:00Z</dcterms:created>
  <dc:creator>Administrator</dc:creator>
  <cp:lastModifiedBy>招采中心2</cp:lastModifiedBy>
  <cp:lastPrinted>2024-12-04T08:18:00Z</cp:lastPrinted>
  <dcterms:modified xsi:type="dcterms:W3CDTF">2025-03-24T05:50:54Z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DD1717A544204D9D9990861E7EDA4FB9_13</vt:lpwstr>
  </property>
  <property fmtid="{D5CDD505-2E9C-101B-9397-08002B2CF9AE}" pid="4" name="KSOTemplateDocerSaveRecord">
    <vt:lpwstr>eyJoZGlkIjoiZTZlZWQxYjNiOGQwOWQ3ZDcwYzI4ZTE0M2ZhZmIzYTgiLCJ1c2VySWQiOiIzMjYyOTIwOTcifQ==</vt:lpwstr>
  </property>
</Properties>
</file>