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360" w:lineRule="auto"/>
        <w:jc w:val="center"/>
        <w:rPr>
          <w:rFonts w:ascii="仿宋" w:hAnsi="仿宋" w:eastAsia="仿宋" w:cs="仿宋"/>
          <w:b/>
          <w:bCs/>
          <w:color w:val="auto"/>
          <w:sz w:val="40"/>
          <w:szCs w:val="40"/>
          <w:highlight w:val="none"/>
        </w:rPr>
      </w:pPr>
      <w:r>
        <w:rPr>
          <w:rFonts w:hint="eastAsia" w:ascii="仿宋" w:hAnsi="仿宋" w:eastAsia="仿宋" w:cs="仿宋"/>
          <w:b/>
          <w:bCs/>
          <w:color w:val="auto"/>
          <w:sz w:val="40"/>
          <w:szCs w:val="40"/>
          <w:highlight w:val="none"/>
          <w:lang w:val="en-US" w:eastAsia="zh-CN"/>
        </w:rPr>
        <w:t>碧水天源小区道闸系统改造工程</w:t>
      </w:r>
      <w:r>
        <w:rPr>
          <w:rFonts w:hint="eastAsia" w:ascii="仿宋" w:hAnsi="仿宋" w:eastAsia="仿宋" w:cs="仿宋"/>
          <w:b/>
          <w:bCs/>
          <w:color w:val="auto"/>
          <w:sz w:val="40"/>
          <w:szCs w:val="40"/>
          <w:highlight w:val="none"/>
        </w:rPr>
        <w:t>合同</w:t>
      </w:r>
    </w:p>
    <w:p>
      <w:pPr>
        <w:spacing w:line="440" w:lineRule="exact"/>
        <w:jc w:val="center"/>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eastAsia="zh-CN"/>
        </w:rPr>
        <w:t>（</w:t>
      </w:r>
      <w:r>
        <w:rPr>
          <w:rFonts w:hint="eastAsia" w:ascii="仿宋" w:hAnsi="仿宋" w:eastAsia="仿宋" w:cs="仿宋"/>
          <w:b/>
          <w:bCs/>
          <w:color w:val="auto"/>
          <w:sz w:val="22"/>
          <w:szCs w:val="22"/>
          <w:highlight w:val="none"/>
          <w:lang w:val="en-US" w:eastAsia="zh-CN"/>
        </w:rPr>
        <w:t>20240603版</w:t>
      </w:r>
      <w:r>
        <w:rPr>
          <w:rFonts w:hint="eastAsia" w:ascii="仿宋" w:hAnsi="仿宋" w:eastAsia="仿宋" w:cs="仿宋"/>
          <w:b/>
          <w:bCs/>
          <w:color w:val="auto"/>
          <w:sz w:val="22"/>
          <w:szCs w:val="22"/>
          <w:highlight w:val="none"/>
          <w:lang w:eastAsia="zh-CN"/>
        </w:rPr>
        <w:t>）</w:t>
      </w:r>
      <w:bookmarkStart w:id="0" w:name="_GoBack"/>
      <w:bookmarkEnd w:id="0"/>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spacing w:line="440" w:lineRule="exact"/>
        <w:jc w:val="left"/>
        <w:rPr>
          <w:rFonts w:hint="eastAsia" w:ascii="仿宋" w:hAnsi="仿宋" w:eastAsia="仿宋" w:cs="仿宋"/>
          <w:b/>
          <w:bCs/>
          <w:color w:val="auto"/>
          <w:sz w:val="32"/>
          <w:szCs w:val="32"/>
          <w:highlight w:val="none"/>
          <w:lang w:val="en-US" w:eastAsia="zh-CN"/>
        </w:rPr>
      </w:pPr>
      <w:r>
        <w:rPr>
          <w:rFonts w:hint="eastAsia" w:ascii="黑体" w:eastAsia="黑体"/>
          <w:color w:val="auto"/>
          <w:sz w:val="36"/>
          <w:highlight w:val="none"/>
        </w:rPr>
        <w:t xml:space="preserve"> </w:t>
      </w:r>
      <w:r>
        <w:rPr>
          <w:rFonts w:hint="eastAsia" w:ascii="黑体" w:eastAsia="黑体"/>
          <w:color w:val="auto"/>
          <w:sz w:val="36"/>
          <w:highlight w:val="none"/>
          <w:lang w:val="en-US" w:eastAsia="zh-CN"/>
        </w:rPr>
        <w:t xml:space="preserve">     </w:t>
      </w:r>
      <w:r>
        <w:rPr>
          <w:rFonts w:hint="eastAsia" w:ascii="仿宋" w:hAnsi="仿宋" w:eastAsia="仿宋" w:cs="仿宋"/>
          <w:b/>
          <w:bCs/>
          <w:color w:val="auto"/>
          <w:sz w:val="32"/>
          <w:szCs w:val="32"/>
          <w:highlight w:val="none"/>
          <w:lang w:val="en-US" w:eastAsia="zh-CN"/>
        </w:rPr>
        <w:t>合同编号：</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发 包 人：</w:t>
      </w:r>
      <w:r>
        <w:rPr>
          <w:rFonts w:hint="eastAsia" w:ascii="仿宋" w:hAnsi="仿宋" w:eastAsia="仿宋" w:cs="仿宋"/>
          <w:b/>
          <w:bCs/>
          <w:color w:val="auto"/>
          <w:sz w:val="32"/>
          <w:szCs w:val="32"/>
          <w:highlight w:val="none"/>
          <w:u w:val="single"/>
          <w:lang w:val="en-US" w:eastAsia="zh-CN"/>
        </w:rPr>
        <w:t xml:space="preserve">东莞市南峰物业管理有限公司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承 包 人：</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both"/>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碧水天源小区道闸系统改造工程</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发包方（以下简称甲方）：</w:t>
      </w:r>
      <w:r>
        <w:rPr>
          <w:rFonts w:hint="eastAsia" w:ascii="仿宋" w:hAnsi="仿宋" w:eastAsia="仿宋" w:cs="仿宋"/>
          <w:b w:val="0"/>
          <w:bCs/>
          <w:color w:val="auto"/>
          <w:sz w:val="24"/>
          <w:szCs w:val="24"/>
          <w:highlight w:val="none"/>
          <w:u w:val="single"/>
          <w:lang w:val="en-US" w:eastAsia="zh-CN"/>
        </w:rPr>
        <w:t>东莞市南峰物业管理有限公司</w:t>
      </w:r>
    </w:p>
    <w:p>
      <w:pPr>
        <w:snapToGrid w:val="0"/>
        <w:spacing w:line="360" w:lineRule="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val="0"/>
          <w:bCs w:val="0"/>
          <w:color w:val="auto"/>
          <w:sz w:val="24"/>
          <w:szCs w:val="24"/>
          <w:highlight w:val="none"/>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color w:val="auto"/>
          <w:sz w:val="24"/>
          <w:szCs w:val="24"/>
          <w:highlight w:val="none"/>
          <w:u w:val="single"/>
          <w:lang w:val="en-US" w:eastAsia="zh-CN"/>
        </w:rPr>
        <w:t>碧水天源小区道闸系统改造工程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pacing w:line="440" w:lineRule="exact"/>
        <w:ind w:firstLine="480" w:firstLineChars="200"/>
        <w:rPr>
          <w:rFonts w:hint="default"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rPr>
        <w:t>1.1工程地址：</w:t>
      </w:r>
      <w:r>
        <w:rPr>
          <w:rFonts w:hint="eastAsia" w:ascii="仿宋" w:hAnsi="仿宋" w:eastAsia="仿宋" w:cs="仿宋"/>
          <w:b w:val="0"/>
          <w:bCs w:val="0"/>
          <w:color w:val="auto"/>
          <w:sz w:val="24"/>
          <w:szCs w:val="24"/>
          <w:highlight w:val="none"/>
          <w:u w:val="single"/>
          <w:lang w:val="en-US" w:eastAsia="zh-CN"/>
        </w:rPr>
        <w:t>东莞市大朗镇碧水天源小区</w:t>
      </w:r>
    </w:p>
    <w:p>
      <w:pP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none"/>
          <w:u w:val="single"/>
          <w:lang w:val="en-US" w:eastAsia="zh-CN"/>
        </w:rPr>
        <w:t>原有道闸设备拆除，新设备安装、调试</w:t>
      </w:r>
      <w:r>
        <w:rPr>
          <w:rFonts w:hint="eastAsia" w:ascii="仿宋" w:hAnsi="仿宋" w:eastAsia="仿宋" w:cs="仿宋"/>
          <w:b w:val="0"/>
          <w:bCs w:val="0"/>
          <w:color w:val="auto"/>
          <w:sz w:val="24"/>
          <w:szCs w:val="24"/>
          <w:highlight w:val="none"/>
          <w:u w:val="single"/>
          <w:lang w:eastAsia="zh-CN"/>
        </w:rPr>
        <w:t>等全部工作。</w:t>
      </w:r>
    </w:p>
    <w:p>
      <w:pPr>
        <w:numPr>
          <w:ilvl w:val="0"/>
          <w:numId w:val="1"/>
        </w:num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b w:val="0"/>
          <w:bCs w:val="0"/>
          <w:color w:val="auto"/>
          <w:sz w:val="24"/>
          <w:szCs w:val="24"/>
          <w:highlight w:val="none"/>
        </w:rPr>
        <w:t>甲方通知之日起</w:t>
      </w:r>
      <w:r>
        <w:rPr>
          <w:rFonts w:hint="eastAsia" w:ascii="仿宋" w:hAnsi="仿宋" w:eastAsia="仿宋" w:cs="仿宋"/>
          <w:b w:val="0"/>
          <w:bCs w:val="0"/>
          <w:color w:val="auto"/>
          <w:sz w:val="24"/>
          <w:szCs w:val="24"/>
          <w:highlight w:val="none"/>
          <w:u w:val="single"/>
          <w:lang w:val="en-US" w:eastAsia="zh-CN"/>
        </w:rPr>
        <w:t xml:space="preserve"> 50 </w:t>
      </w:r>
      <w:r>
        <w:rPr>
          <w:rFonts w:hint="eastAsia" w:ascii="仿宋" w:hAnsi="仿宋" w:eastAsia="仿宋" w:cs="仿宋"/>
          <w:b w:val="0"/>
          <w:bCs w:val="0"/>
          <w:color w:val="auto"/>
          <w:sz w:val="24"/>
          <w:szCs w:val="24"/>
          <w:highlight w:val="none"/>
        </w:rPr>
        <w:t>个日</w:t>
      </w:r>
      <w:r>
        <w:rPr>
          <w:rFonts w:hint="eastAsia" w:ascii="仿宋" w:hAnsi="仿宋" w:eastAsia="仿宋" w:cs="仿宋"/>
          <w:b w:val="0"/>
          <w:bCs w:val="0"/>
          <w:color w:val="auto"/>
          <w:sz w:val="24"/>
          <w:szCs w:val="24"/>
          <w:highlight w:val="none"/>
          <w:lang w:val="en-US" w:eastAsia="zh-CN"/>
        </w:rPr>
        <w:t>历天</w:t>
      </w:r>
      <w:r>
        <w:rPr>
          <w:rFonts w:hint="eastAsia" w:ascii="仿宋" w:hAnsi="仿宋" w:eastAsia="仿宋" w:cs="仿宋"/>
          <w:b w:val="0"/>
          <w:bCs w:val="0"/>
          <w:color w:val="auto"/>
          <w:sz w:val="24"/>
          <w:szCs w:val="24"/>
          <w:highlight w:val="none"/>
        </w:rPr>
        <w:t>内（</w:t>
      </w:r>
      <w:r>
        <w:rPr>
          <w:rFonts w:hint="eastAsia" w:ascii="仿宋" w:hAnsi="仿宋" w:eastAsia="仿宋" w:cs="仿宋"/>
          <w:b w:val="0"/>
          <w:bCs w:val="0"/>
          <w:color w:val="auto"/>
          <w:sz w:val="24"/>
          <w:szCs w:val="24"/>
          <w:highlight w:val="none"/>
          <w:lang w:val="en-US" w:eastAsia="zh-CN"/>
        </w:rPr>
        <w:t>以甲方通知为准</w:t>
      </w: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rPr>
        <w:t>，乙方完成本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并交付甲方正常使用，延迟超过3个日历天的，甲方有权单方解除合同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numPr>
          <w:ilvl w:val="0"/>
          <w:numId w:val="1"/>
        </w:num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包安全文明施工措施费、包利润、包管理费、包税金、包风险、包保险、包场地清理、</w:t>
      </w:r>
      <w:r>
        <w:rPr>
          <w:rFonts w:hint="eastAsia" w:ascii="仿宋" w:hAnsi="仿宋" w:eastAsia="仿宋" w:cs="仿宋"/>
          <w:b w:val="0"/>
          <w:bCs w:val="0"/>
          <w:color w:val="auto"/>
          <w:sz w:val="24"/>
          <w:szCs w:val="24"/>
          <w:highlight w:val="none"/>
          <w:lang w:val="en-US" w:eastAsia="zh-CN"/>
        </w:rPr>
        <w:t>包废旧设备回收、</w:t>
      </w:r>
      <w:r>
        <w:rPr>
          <w:rFonts w:hint="eastAsia" w:ascii="仿宋" w:hAnsi="仿宋" w:eastAsia="仿宋" w:cs="仿宋"/>
          <w:color w:val="auto"/>
          <w:sz w:val="24"/>
          <w:szCs w:val="24"/>
          <w:highlight w:val="none"/>
        </w:rPr>
        <w:t>包验收合格、包保修、包防疫</w:t>
      </w:r>
      <w:r>
        <w:rPr>
          <w:rFonts w:hint="eastAsia" w:ascii="仿宋" w:hAnsi="仿宋" w:eastAsia="仿宋" w:cs="仿宋"/>
          <w:color w:val="auto"/>
          <w:sz w:val="24"/>
          <w:szCs w:val="24"/>
          <w:highlight w:val="none"/>
          <w:lang w:eastAsia="zh-CN"/>
        </w:rPr>
        <w:t>费、包报建安工程险、包物业报建费（如押金</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lang w:eastAsia="zh-CN"/>
        </w:rPr>
        <w:t>费用）</w:t>
      </w:r>
      <w:r>
        <w:rPr>
          <w:rFonts w:hint="eastAsia" w:ascii="仿宋" w:hAnsi="仿宋" w:eastAsia="仿宋" w:cs="仿宋"/>
          <w:color w:val="auto"/>
          <w:sz w:val="24"/>
          <w:szCs w:val="24"/>
          <w:highlight w:val="none"/>
        </w:rPr>
        <w:t>等本工程涉及的全部内容及费用。</w:t>
      </w:r>
    </w:p>
    <w:p>
      <w:pP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4.1本合</w:t>
      </w:r>
      <w:r>
        <w:rPr>
          <w:rFonts w:hint="eastAsia" w:ascii="仿宋" w:hAnsi="仿宋" w:eastAsia="仿宋" w:cs="仿宋"/>
          <w:b w:val="0"/>
          <w:bCs w:val="0"/>
          <w:color w:val="auto"/>
          <w:sz w:val="24"/>
          <w:szCs w:val="24"/>
          <w:highlight w:val="none"/>
        </w:rPr>
        <w:t>同为</w:t>
      </w:r>
      <w:r>
        <w:rPr>
          <w:rFonts w:hint="eastAsia" w:ascii="仿宋" w:hAnsi="仿宋" w:eastAsia="仿宋" w:cs="仿宋"/>
          <w:b w:val="0"/>
          <w:bCs w:val="0"/>
          <w:color w:val="auto"/>
          <w:sz w:val="24"/>
          <w:szCs w:val="24"/>
          <w:highlight w:val="none"/>
          <w:u w:val="none"/>
        </w:rPr>
        <w:t>固定</w:t>
      </w:r>
      <w:r>
        <w:rPr>
          <w:rFonts w:hint="eastAsia" w:ascii="仿宋" w:hAnsi="仿宋" w:eastAsia="仿宋" w:cs="仿宋"/>
          <w:b w:val="0"/>
          <w:bCs w:val="0"/>
          <w:color w:val="auto"/>
          <w:sz w:val="24"/>
          <w:szCs w:val="24"/>
          <w:highlight w:val="none"/>
          <w:u w:val="single"/>
          <w:lang w:val="en-US" w:eastAsia="zh-CN"/>
        </w:rPr>
        <w:t>总</w:t>
      </w:r>
      <w:r>
        <w:rPr>
          <w:rFonts w:hint="eastAsia" w:ascii="仿宋" w:hAnsi="仿宋" w:eastAsia="仿宋" w:cs="仿宋"/>
          <w:b w:val="0"/>
          <w:bCs w:val="0"/>
          <w:color w:val="auto"/>
          <w:sz w:val="24"/>
          <w:szCs w:val="24"/>
          <w:highlight w:val="none"/>
          <w:u w:val="none"/>
        </w:rPr>
        <w:t>价包干合同，合同</w:t>
      </w:r>
      <w:r>
        <w:rPr>
          <w:rFonts w:hint="eastAsia" w:ascii="仿宋" w:hAnsi="仿宋" w:eastAsia="仿宋" w:cs="仿宋"/>
          <w:b w:val="0"/>
          <w:bCs w:val="0"/>
          <w:color w:val="auto"/>
          <w:sz w:val="24"/>
          <w:szCs w:val="24"/>
          <w:highlight w:val="none"/>
          <w:u w:val="none"/>
          <w:lang w:val="en-US" w:eastAsia="zh-CN"/>
        </w:rPr>
        <w:t>总</w:t>
      </w:r>
      <w:r>
        <w:rPr>
          <w:rFonts w:hint="eastAsia" w:ascii="仿宋" w:hAnsi="仿宋" w:eastAsia="仿宋" w:cs="仿宋"/>
          <w:b w:val="0"/>
          <w:bCs w:val="0"/>
          <w:color w:val="auto"/>
          <w:sz w:val="24"/>
          <w:szCs w:val="24"/>
          <w:highlight w:val="none"/>
          <w:lang w:eastAsia="zh-CN"/>
        </w:rPr>
        <w:t>价</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元，详见</w:t>
      </w:r>
      <w:r>
        <w:rPr>
          <w:rFonts w:hint="eastAsia" w:ascii="仿宋" w:hAnsi="仿宋" w:eastAsia="仿宋" w:cs="仿宋"/>
          <w:b w:val="0"/>
          <w:bCs w:val="0"/>
          <w:color w:val="auto"/>
          <w:sz w:val="24"/>
          <w:szCs w:val="24"/>
          <w:highlight w:val="none"/>
          <w:lang w:eastAsia="zh-CN"/>
        </w:rPr>
        <w:t>附件一</w:t>
      </w: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价</w:t>
      </w:r>
      <w:r>
        <w:rPr>
          <w:rFonts w:hint="eastAsia" w:ascii="仿宋" w:hAnsi="仿宋" w:eastAsia="仿宋" w:cs="仿宋"/>
          <w:color w:val="auto"/>
          <w:sz w:val="24"/>
          <w:szCs w:val="24"/>
          <w:highlight w:val="none"/>
        </w:rPr>
        <w:t>包括乙方承担合同义务、责任、风险的费用，除合同另有约定外，不作调整。</w:t>
      </w:r>
      <w:r>
        <w:rPr>
          <w:rFonts w:hint="eastAsia" w:ascii="仿宋" w:hAnsi="仿宋" w:eastAsia="仿宋" w:cs="仿宋"/>
          <w:b w:val="0"/>
          <w:bCs w:val="0"/>
          <w:color w:val="auto"/>
          <w:sz w:val="24"/>
          <w:szCs w:val="24"/>
          <w:highlight w:val="none"/>
          <w:lang w:eastAsia="zh-CN"/>
        </w:rPr>
        <w:t>乙方</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增值税</w:t>
      </w:r>
      <w:r>
        <w:rPr>
          <w:rFonts w:hint="eastAsia" w:ascii="仿宋" w:hAnsi="仿宋" w:eastAsia="仿宋" w:cs="仿宋"/>
          <w:color w:val="auto"/>
          <w:sz w:val="24"/>
          <w:szCs w:val="24"/>
          <w:highlight w:val="none"/>
          <w:u w:val="single"/>
          <w:lang w:val="en-US" w:eastAsia="zh-CN"/>
        </w:rPr>
        <w:t>专用</w:t>
      </w:r>
      <w:r>
        <w:rPr>
          <w:rFonts w:hint="eastAsia" w:ascii="仿宋" w:hAnsi="仿宋" w:eastAsia="仿宋" w:cs="仿宋"/>
          <w:color w:val="auto"/>
          <w:sz w:val="24"/>
          <w:szCs w:val="24"/>
          <w:highlight w:val="none"/>
        </w:rPr>
        <w:t>发票（税率按国家政策执行，如税率调整，</w:t>
      </w:r>
      <w:r>
        <w:rPr>
          <w:rFonts w:hint="eastAsia" w:ascii="仿宋" w:hAnsi="仿宋" w:eastAsia="仿宋" w:cs="仿宋"/>
          <w:color w:val="auto"/>
          <w:sz w:val="24"/>
          <w:szCs w:val="24"/>
          <w:highlight w:val="none"/>
          <w:lang w:eastAsia="zh-CN"/>
        </w:rPr>
        <w:t>税金</w:t>
      </w:r>
      <w:r>
        <w:rPr>
          <w:rFonts w:hint="eastAsia" w:ascii="仿宋" w:hAnsi="仿宋" w:eastAsia="仿宋" w:cs="仿宋"/>
          <w:color w:val="auto"/>
          <w:sz w:val="24"/>
          <w:szCs w:val="24"/>
          <w:highlight w:val="none"/>
        </w:rPr>
        <w:t>随之调整）。</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4.2乙方确认合同价为乙方完成本合同</w:t>
      </w:r>
      <w:r>
        <w:rPr>
          <w:rFonts w:hint="eastAsia" w:ascii="仿宋" w:hAnsi="仿宋" w:eastAsia="仿宋" w:cs="仿宋"/>
          <w:color w:val="auto"/>
          <w:sz w:val="24"/>
          <w:szCs w:val="24"/>
          <w:highlight w:val="none"/>
          <w:lang w:val="en-US" w:eastAsia="zh-CN"/>
        </w:rPr>
        <w:t>1.2条及</w:t>
      </w:r>
      <w:r>
        <w:rPr>
          <w:rFonts w:hint="eastAsia" w:ascii="仿宋" w:hAnsi="仿宋" w:eastAsia="仿宋" w:cs="仿宋"/>
          <w:color w:val="auto"/>
          <w:sz w:val="24"/>
          <w:szCs w:val="24"/>
          <w:highlight w:val="none"/>
        </w:rPr>
        <w:t>3.1条所述承包内容的价款，乙方不因施工条件、施工难度等的任何变化向甲方主张增加价款。</w:t>
      </w:r>
    </w:p>
    <w:p>
      <w:pPr>
        <w:snapToGrid w:val="0"/>
        <w:spacing w:line="440" w:lineRule="exact"/>
        <w:ind w:firstLine="480" w:firstLineChars="200"/>
        <w:textAlignment w:val="baseline"/>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4.3本工程所有更换废旧物料、设备由乙方自行处理并负责清运，废旧物料、设备回收处置所得或产生的所有费用均考虑在本合同固定总价内。</w:t>
      </w:r>
    </w:p>
    <w:p>
      <w:pP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napToGrid w:val="0"/>
        <w:spacing w:line="440" w:lineRule="exact"/>
        <w:ind w:firstLine="480" w:firstLineChars="200"/>
        <w:textAlignment w:val="baseline"/>
        <w:rPr>
          <w:rFonts w:ascii="仿宋" w:hAnsi="仿宋" w:eastAsia="仿宋" w:cs="仿宋"/>
          <w:bCs/>
          <w:color w:val="auto"/>
          <w:sz w:val="24"/>
          <w:szCs w:val="24"/>
        </w:rPr>
      </w:pPr>
      <w:r>
        <w:rPr>
          <w:rFonts w:hint="eastAsia" w:ascii="仿宋" w:hAnsi="仿宋" w:eastAsia="仿宋" w:cs="仿宋"/>
          <w:bCs/>
          <w:color w:val="auto"/>
          <w:sz w:val="24"/>
          <w:szCs w:val="24"/>
        </w:rPr>
        <w:t>5.1</w:t>
      </w:r>
      <w:r>
        <w:rPr>
          <w:rFonts w:hint="eastAsia" w:ascii="仿宋" w:hAnsi="仿宋" w:eastAsia="仿宋" w:cs="仿宋"/>
          <w:bCs/>
          <w:color w:val="auto"/>
          <w:sz w:val="24"/>
          <w:szCs w:val="24"/>
          <w:lang w:val="en-US" w:eastAsia="zh-CN"/>
        </w:rPr>
        <w:t>乙方如实完成本工程</w:t>
      </w:r>
      <w:r>
        <w:rPr>
          <w:rFonts w:hint="eastAsia" w:ascii="仿宋" w:hAnsi="仿宋" w:eastAsia="仿宋" w:cs="仿宋"/>
          <w:bCs/>
          <w:color w:val="auto"/>
          <w:sz w:val="24"/>
          <w:szCs w:val="24"/>
        </w:rPr>
        <w:t>经甲方验收合格</w:t>
      </w:r>
      <w:r>
        <w:rPr>
          <w:rFonts w:hint="eastAsia" w:ascii="仿宋" w:hAnsi="仿宋" w:eastAsia="仿宋" w:cs="仿宋"/>
          <w:bCs/>
          <w:color w:val="auto"/>
          <w:sz w:val="24"/>
          <w:szCs w:val="24"/>
          <w:lang w:val="en-US" w:eastAsia="zh-CN"/>
        </w:rPr>
        <w:t>并</w:t>
      </w:r>
      <w:r>
        <w:rPr>
          <w:rFonts w:hint="eastAsia" w:ascii="仿宋" w:hAnsi="仿宋" w:eastAsia="仿宋" w:cs="仿宋"/>
          <w:color w:val="auto"/>
          <w:sz w:val="24"/>
          <w:szCs w:val="24"/>
        </w:rPr>
        <w:t>交付甲方正常使用</w:t>
      </w:r>
      <w:r>
        <w:rPr>
          <w:rFonts w:hint="eastAsia" w:ascii="仿宋" w:hAnsi="仿宋" w:eastAsia="仿宋" w:cs="仿宋"/>
          <w:bCs/>
          <w:color w:val="auto"/>
          <w:sz w:val="24"/>
          <w:szCs w:val="24"/>
          <w:lang w:val="en-US" w:eastAsia="zh-CN"/>
        </w:rPr>
        <w:t>后</w:t>
      </w:r>
      <w:r>
        <w:rPr>
          <w:rFonts w:hint="eastAsia" w:ascii="仿宋" w:hAnsi="仿宋" w:eastAsia="仿宋" w:cs="仿宋"/>
          <w:bCs/>
          <w:color w:val="auto"/>
          <w:sz w:val="24"/>
          <w:szCs w:val="24"/>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rPr>
        <w:t>结算。</w:t>
      </w:r>
    </w:p>
    <w:p>
      <w:pPr>
        <w:snapToGrid w:val="0"/>
        <w:spacing w:line="440" w:lineRule="exact"/>
        <w:ind w:firstLine="480" w:firstLineChars="200"/>
        <w:textAlignment w:val="baseline"/>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rPr>
        <w:t>5.2未经甲方验收或验收达不到合同标准、在整改中的</w:t>
      </w:r>
      <w:r>
        <w:rPr>
          <w:rFonts w:hint="eastAsia" w:ascii="仿宋" w:hAnsi="仿宋" w:eastAsia="仿宋" w:cs="仿宋"/>
          <w:bCs/>
          <w:color w:val="auto"/>
          <w:sz w:val="24"/>
          <w:szCs w:val="24"/>
          <w:lang w:val="en-US" w:eastAsia="zh-CN"/>
        </w:rPr>
        <w:t>工程</w:t>
      </w:r>
      <w:r>
        <w:rPr>
          <w:rFonts w:hint="eastAsia" w:ascii="仿宋" w:hAnsi="仿宋" w:eastAsia="仿宋" w:cs="仿宋"/>
          <w:bCs/>
          <w:color w:val="auto"/>
          <w:sz w:val="24"/>
          <w:szCs w:val="24"/>
        </w:rPr>
        <w:t>不予结算</w:t>
      </w:r>
      <w:r>
        <w:rPr>
          <w:rFonts w:hint="eastAsia" w:ascii="仿宋" w:hAnsi="仿宋" w:eastAsia="仿宋" w:cs="仿宋"/>
          <w:bCs/>
          <w:color w:val="auto"/>
          <w:sz w:val="24"/>
          <w:szCs w:val="24"/>
          <w:lang w:eastAsia="zh-CN"/>
        </w:rPr>
        <w:t>；乙方整改完成并经甲方验收合格</w:t>
      </w:r>
      <w:r>
        <w:rPr>
          <w:rFonts w:hint="eastAsia" w:ascii="仿宋" w:hAnsi="仿宋" w:eastAsia="仿宋" w:cs="仿宋"/>
          <w:bCs/>
          <w:color w:val="auto"/>
          <w:sz w:val="24"/>
          <w:szCs w:val="24"/>
          <w:lang w:val="en-US" w:eastAsia="zh-CN"/>
        </w:rPr>
        <w:t>后方</w:t>
      </w:r>
      <w:r>
        <w:rPr>
          <w:rFonts w:hint="eastAsia" w:ascii="仿宋" w:hAnsi="仿宋" w:eastAsia="仿宋" w:cs="仿宋"/>
          <w:bCs/>
          <w:color w:val="auto"/>
          <w:sz w:val="24"/>
          <w:szCs w:val="24"/>
          <w:lang w:eastAsia="zh-CN"/>
        </w:rPr>
        <w:t>可结算。</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5.3</w:t>
      </w:r>
      <w:r>
        <w:rPr>
          <w:rFonts w:hint="eastAsia" w:ascii="仿宋" w:hAnsi="仿宋" w:eastAsia="仿宋" w:cs="仿宋"/>
          <w:bCs/>
          <w:color w:val="auto"/>
          <w:sz w:val="24"/>
          <w:szCs w:val="24"/>
        </w:rPr>
        <w:t>合同约定工程量清单项目的合同</w:t>
      </w:r>
      <w:r>
        <w:rPr>
          <w:rFonts w:hint="eastAsia" w:ascii="仿宋" w:hAnsi="仿宋" w:eastAsia="仿宋" w:cs="仿宋"/>
          <w:bCs/>
          <w:color w:val="auto"/>
          <w:sz w:val="24"/>
          <w:szCs w:val="24"/>
          <w:u w:val="none"/>
          <w:lang w:val="en-US" w:eastAsia="zh-CN"/>
        </w:rPr>
        <w:t>总</w:t>
      </w:r>
      <w:r>
        <w:rPr>
          <w:rFonts w:hint="eastAsia" w:ascii="仿宋" w:hAnsi="仿宋" w:eastAsia="仿宋" w:cs="仿宋"/>
          <w:bCs/>
          <w:color w:val="auto"/>
          <w:sz w:val="24"/>
          <w:szCs w:val="24"/>
        </w:rPr>
        <w:t>价在约定条件及范围内是固定的；</w:t>
      </w:r>
    </w:p>
    <w:p>
      <w:pPr>
        <w:snapToGrid w:val="0"/>
        <w:spacing w:line="440" w:lineRule="exact"/>
        <w:ind w:firstLine="480" w:firstLineChars="200"/>
        <w:textAlignment w:val="baseline"/>
        <w:rPr>
          <w:rFonts w:hint="eastAsia" w:ascii="仿宋" w:hAnsi="仿宋" w:eastAsia="仿宋" w:cs="仿宋"/>
          <w:b w:val="0"/>
          <w:bCs/>
          <w:color w:val="auto"/>
          <w:sz w:val="24"/>
          <w:szCs w:val="24"/>
          <w:u w:val="none"/>
        </w:rPr>
      </w:pPr>
      <w:r>
        <w:rPr>
          <w:rFonts w:hint="eastAsia" w:ascii="仿宋" w:hAnsi="仿宋" w:eastAsia="仿宋" w:cs="仿宋"/>
          <w:b w:val="0"/>
          <w:bCs/>
          <w:color w:val="auto"/>
          <w:sz w:val="24"/>
          <w:szCs w:val="24"/>
          <w:u w:val="none"/>
          <w:lang w:val="en-US" w:eastAsia="zh-CN"/>
        </w:rPr>
        <w:t>5.4</w:t>
      </w:r>
      <w:r>
        <w:rPr>
          <w:rFonts w:hint="eastAsia" w:ascii="仿宋" w:hAnsi="仿宋" w:eastAsia="仿宋" w:cs="仿宋"/>
          <w:b w:val="0"/>
          <w:bCs/>
          <w:color w:val="auto"/>
          <w:sz w:val="24"/>
          <w:szCs w:val="24"/>
          <w:u w:val="none"/>
        </w:rPr>
        <w:t>若</w:t>
      </w:r>
      <w:r>
        <w:rPr>
          <w:rFonts w:hint="eastAsia" w:ascii="仿宋" w:hAnsi="仿宋" w:eastAsia="仿宋" w:cs="仿宋"/>
          <w:b w:val="0"/>
          <w:bCs/>
          <w:color w:val="auto"/>
          <w:sz w:val="24"/>
          <w:szCs w:val="24"/>
          <w:u w:val="none"/>
          <w:lang w:eastAsia="zh-CN"/>
        </w:rPr>
        <w:t>发生</w:t>
      </w:r>
      <w:r>
        <w:rPr>
          <w:rFonts w:hint="eastAsia" w:ascii="仿宋" w:hAnsi="仿宋" w:eastAsia="仿宋" w:cs="仿宋"/>
          <w:b w:val="0"/>
          <w:bCs/>
          <w:color w:val="auto"/>
          <w:sz w:val="24"/>
          <w:szCs w:val="24"/>
          <w:u w:val="none"/>
        </w:rPr>
        <w:t>甲方原因</w:t>
      </w:r>
      <w:r>
        <w:rPr>
          <w:rFonts w:hint="eastAsia" w:ascii="仿宋" w:hAnsi="仿宋" w:eastAsia="仿宋" w:cs="仿宋"/>
          <w:b w:val="0"/>
          <w:bCs/>
          <w:color w:val="auto"/>
          <w:sz w:val="24"/>
          <w:szCs w:val="24"/>
          <w:u w:val="none"/>
          <w:lang w:eastAsia="zh-CN"/>
        </w:rPr>
        <w:t>的变更</w:t>
      </w:r>
      <w:r>
        <w:rPr>
          <w:rFonts w:hint="eastAsia" w:ascii="仿宋" w:hAnsi="仿宋" w:eastAsia="仿宋" w:cs="仿宋"/>
          <w:b w:val="0"/>
          <w:bCs/>
          <w:color w:val="auto"/>
          <w:sz w:val="24"/>
          <w:szCs w:val="24"/>
          <w:u w:val="none"/>
        </w:rPr>
        <w:t>时（以甲方书面确认的为准</w:t>
      </w:r>
      <w:r>
        <w:rPr>
          <w:rFonts w:hint="eastAsia" w:ascii="仿宋" w:hAnsi="仿宋" w:eastAsia="仿宋" w:cs="仿宋"/>
          <w:b w:val="0"/>
          <w:bCs/>
          <w:color w:val="auto"/>
          <w:sz w:val="24"/>
          <w:szCs w:val="24"/>
          <w:u w:val="none"/>
          <w:lang w:eastAsia="zh-CN"/>
        </w:rPr>
        <w:t>），工程量</w:t>
      </w:r>
      <w:r>
        <w:rPr>
          <w:rFonts w:hint="eastAsia" w:ascii="仿宋" w:hAnsi="仿宋" w:eastAsia="仿宋" w:cs="仿宋"/>
          <w:b w:val="0"/>
          <w:bCs/>
          <w:color w:val="auto"/>
          <w:sz w:val="24"/>
          <w:szCs w:val="24"/>
          <w:u w:val="none"/>
          <w:lang w:val="en-US" w:eastAsia="zh-CN"/>
        </w:rPr>
        <w:t>变更</w:t>
      </w:r>
      <w:r>
        <w:rPr>
          <w:rFonts w:hint="eastAsia" w:ascii="仿宋" w:hAnsi="仿宋" w:eastAsia="仿宋" w:cs="仿宋"/>
          <w:b w:val="0"/>
          <w:bCs/>
          <w:color w:val="auto"/>
          <w:sz w:val="24"/>
          <w:szCs w:val="24"/>
          <w:u w:val="none"/>
          <w:lang w:eastAsia="zh-CN"/>
        </w:rPr>
        <w:t>不超过</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none"/>
          <w:lang w:val="en-US" w:eastAsia="zh-CN"/>
        </w:rPr>
        <w:t>%（含</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none"/>
          <w:lang w:val="en-US" w:eastAsia="zh-CN"/>
        </w:rPr>
        <w:t>%），合同总价不调整</w:t>
      </w:r>
      <w:r>
        <w:rPr>
          <w:rFonts w:hint="eastAsia" w:ascii="仿宋" w:hAnsi="仿宋" w:eastAsia="仿宋" w:cs="仿宋"/>
          <w:b w:val="0"/>
          <w:bCs/>
          <w:color w:val="auto"/>
          <w:sz w:val="24"/>
          <w:szCs w:val="24"/>
          <w:highlight w:val="none"/>
          <w:u w:val="none"/>
        </w:rPr>
        <w:t>，</w:t>
      </w:r>
      <w:r>
        <w:rPr>
          <w:rFonts w:hint="eastAsia" w:ascii="仿宋" w:hAnsi="仿宋" w:eastAsia="仿宋" w:cs="仿宋"/>
          <w:b w:val="0"/>
          <w:bCs/>
          <w:color w:val="auto"/>
          <w:sz w:val="24"/>
          <w:szCs w:val="24"/>
          <w:highlight w:val="none"/>
          <w:u w:val="none"/>
          <w:lang w:val="en-US" w:eastAsia="zh-CN"/>
        </w:rPr>
        <w:t>超过</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none"/>
          <w:lang w:val="en-US" w:eastAsia="zh-CN"/>
        </w:rPr>
        <w:t>%以上部分</w:t>
      </w:r>
      <w:r>
        <w:rPr>
          <w:rFonts w:hint="eastAsia" w:ascii="仿宋" w:hAnsi="仿宋" w:eastAsia="仿宋" w:cs="仿宋"/>
          <w:b w:val="0"/>
          <w:bCs/>
          <w:color w:val="auto"/>
          <w:sz w:val="24"/>
          <w:szCs w:val="24"/>
          <w:highlight w:val="none"/>
          <w:u w:val="none"/>
        </w:rPr>
        <w:t>按</w:t>
      </w:r>
      <w:r>
        <w:rPr>
          <w:rFonts w:hint="eastAsia" w:ascii="仿宋" w:hAnsi="仿宋" w:eastAsia="仿宋" w:cs="仿宋"/>
          <w:b w:val="0"/>
          <w:bCs/>
          <w:color w:val="auto"/>
          <w:sz w:val="24"/>
          <w:szCs w:val="24"/>
          <w:highlight w:val="none"/>
          <w:u w:val="none"/>
          <w:lang w:eastAsia="zh-CN"/>
        </w:rPr>
        <w:t>实际发生工程量</w:t>
      </w:r>
      <w:r>
        <w:rPr>
          <w:rFonts w:hint="eastAsia" w:ascii="仿宋" w:hAnsi="仿宋" w:eastAsia="仿宋" w:cs="仿宋"/>
          <w:b w:val="0"/>
          <w:bCs/>
          <w:color w:val="auto"/>
          <w:sz w:val="24"/>
          <w:szCs w:val="24"/>
          <w:highlight w:val="none"/>
          <w:u w:val="none"/>
        </w:rPr>
        <w:t>计算，单价套用适用的合同单价；合同中只有类似单价的，参照类似单价调整；若合同没有适用或类</w:t>
      </w:r>
      <w:r>
        <w:rPr>
          <w:rFonts w:hint="eastAsia" w:ascii="仿宋" w:hAnsi="仿宋" w:eastAsia="仿宋" w:cs="仿宋"/>
          <w:b w:val="0"/>
          <w:bCs/>
          <w:color w:val="auto"/>
          <w:sz w:val="24"/>
          <w:szCs w:val="24"/>
          <w:u w:val="none"/>
        </w:rPr>
        <w:t>似单价的，则由乙方提出并提供相关证明资料</w:t>
      </w:r>
      <w:r>
        <w:rPr>
          <w:rFonts w:hint="eastAsia" w:ascii="仿宋" w:hAnsi="仿宋" w:eastAsia="仿宋" w:cs="仿宋"/>
          <w:b w:val="0"/>
          <w:bCs/>
          <w:color w:val="auto"/>
          <w:sz w:val="24"/>
          <w:szCs w:val="24"/>
          <w:u w:val="none"/>
          <w:lang w:eastAsia="zh-CN"/>
        </w:rPr>
        <w:t>后</w:t>
      </w:r>
      <w:r>
        <w:rPr>
          <w:rFonts w:hint="eastAsia" w:ascii="仿宋" w:hAnsi="仿宋" w:eastAsia="仿宋" w:cs="仿宋"/>
          <w:b w:val="0"/>
          <w:bCs/>
          <w:color w:val="auto"/>
          <w:sz w:val="24"/>
          <w:szCs w:val="24"/>
          <w:u w:val="none"/>
        </w:rPr>
        <w:t>由甲方审定。</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5.5 凡</w:t>
      </w:r>
      <w:r>
        <w:rPr>
          <w:rFonts w:hint="eastAsia" w:ascii="仿宋" w:hAnsi="仿宋" w:eastAsia="仿宋" w:cs="仿宋"/>
          <w:color w:val="auto"/>
          <w:kern w:val="0"/>
          <w:sz w:val="24"/>
          <w:szCs w:val="24"/>
          <w:highlight w:val="none"/>
          <w:lang w:val="en-US" w:eastAsia="zh-CN"/>
        </w:rPr>
        <w:t>国家、广东省及东莞市规定</w:t>
      </w:r>
      <w:r>
        <w:rPr>
          <w:rFonts w:hint="eastAsia" w:ascii="仿宋" w:hAnsi="仿宋" w:eastAsia="仿宋" w:cs="仿宋"/>
          <w:b w:val="0"/>
          <w:bCs w:val="0"/>
          <w:color w:val="auto"/>
          <w:kern w:val="0"/>
          <w:sz w:val="24"/>
          <w:szCs w:val="24"/>
          <w:highlight w:val="none"/>
          <w:lang w:val="en-US" w:eastAsia="zh-CN"/>
        </w:rPr>
        <w:t>本工程应纳的税项及费用已包含在合同价内</w:t>
      </w:r>
      <w:r>
        <w:rPr>
          <w:rFonts w:hint="eastAsia" w:ascii="仿宋" w:hAnsi="仿宋" w:eastAsia="仿宋" w:cs="仿宋"/>
          <w:color w:val="auto"/>
          <w:kern w:val="0"/>
          <w:sz w:val="24"/>
          <w:szCs w:val="24"/>
          <w:highlight w:val="none"/>
          <w:lang w:val="en-US" w:eastAsia="zh-CN"/>
        </w:rPr>
        <w:t>，由乙方支付。施工条件的变化和一切政府部门颁布的价格调整文件及物价客观波动情况，已由乙方考虑在合同价内，日后工程造价不因此调整。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5.6乙方已实地考察过本工程施工现场，合同价内已包括保证质量、安全及进度的措施费用。施工组织设计中的任何措施不另外计取费用(即:经甲方认可的施工组织设计或方案，甲方只对其认可施工组织设计或方案的可行性，但由此而产生的一切增加费用不计取)。</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5.7若出现甲方原因造成的停建、缓建及必要停工，甲方无需补偿由此产生的任何费用，工期顺延。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5.8本工程如不符合（或超出)设计要求或本合同要求，或因乙方失误导致施工中发生设计变更的，由乙方负全责。</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5.9乙方在本工程竣工验收合格并交付甲方使用之日起30个日历天内，须向甲方提交完整的竣工结算资料(须本合同甲方项目经理签字确认)，逾期报送来的，甲方有权延付(至少6个月)或拒付工程结算款。</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5.10乙方应当向甲方提供(包括但不限于)以下结算资料:</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(1)结算申请会签表（按甲方格式，一份);</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(2)甲方书面确认的工程竣工图(含电子版，由乙方绘制);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(3)竣工验收合格证明和本工程移交甲方的证明;</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(4)工程结算书(含电子版);</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(5)工程材料及设备清单等(须注明主材的品牌、型号规格等):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(6)材料及设备说明书、认证书、检测报告及其合格证等;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(7)设计变更单及现场签证资料 ;</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(8)工程洽商记录等其他结算资料。</w:t>
      </w:r>
    </w:p>
    <w:p>
      <w:pPr>
        <w:snapToGrid w:val="0"/>
        <w:spacing w:line="440" w:lineRule="exact"/>
        <w:ind w:firstLine="480" w:firstLineChars="200"/>
        <w:textAlignment w:val="baseline"/>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5.11乙方提交的竣工资料、签证单(以甲方要求的格式为准)必须为签章齐全的原件，否则甲方不予结算相关费用。</w:t>
      </w:r>
    </w:p>
    <w:p>
      <w:pPr>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21"/>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6.1本合同生效</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本工程施工完成</w:t>
      </w:r>
      <w:r>
        <w:rPr>
          <w:rFonts w:hint="eastAsia" w:ascii="仿宋" w:hAnsi="仿宋" w:eastAsia="仿宋" w:cs="仿宋"/>
          <w:color w:val="auto"/>
          <w:sz w:val="24"/>
          <w:szCs w:val="24"/>
          <w:highlight w:val="none"/>
          <w:lang w:eastAsia="zh-CN"/>
        </w:rPr>
        <w:t>经甲方书面确认</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甲方向乙方支付</w:t>
      </w:r>
      <w:r>
        <w:rPr>
          <w:rFonts w:hint="eastAsia" w:ascii="仿宋" w:hAnsi="仿宋" w:eastAsia="仿宋" w:cs="仿宋"/>
          <w:color w:val="auto"/>
          <w:sz w:val="24"/>
          <w:szCs w:val="24"/>
          <w:highlight w:val="none"/>
          <w:lang w:eastAsia="zh-CN"/>
        </w:rPr>
        <w:t>本工程</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完成合格工程量造价的</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0%。</w:t>
      </w:r>
    </w:p>
    <w:p>
      <w:pPr>
        <w:pStyle w:val="21"/>
        <w:snapToGrid w:val="0"/>
        <w:spacing w:line="440" w:lineRule="exact"/>
        <w:ind w:firstLine="48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6.2</w:t>
      </w:r>
      <w:r>
        <w:rPr>
          <w:rFonts w:hint="eastAsia" w:ascii="仿宋" w:hAnsi="仿宋" w:eastAsia="仿宋" w:cs="仿宋"/>
          <w:color w:val="auto"/>
          <w:sz w:val="24"/>
          <w:szCs w:val="24"/>
          <w:highlight w:val="none"/>
          <w:lang w:val="en-US" w:eastAsia="zh-CN"/>
        </w:rPr>
        <w:t>本工程</w:t>
      </w:r>
      <w:r>
        <w:rPr>
          <w:rFonts w:hint="eastAsia" w:ascii="仿宋" w:hAnsi="仿宋" w:eastAsia="仿宋" w:cs="仿宋"/>
          <w:bCs/>
          <w:color w:val="auto"/>
          <w:sz w:val="24"/>
          <w:szCs w:val="24"/>
          <w:highlight w:val="none"/>
          <w:lang w:val="en-US" w:eastAsia="zh-CN"/>
        </w:rPr>
        <w:t>甲乙双方</w:t>
      </w:r>
      <w:r>
        <w:rPr>
          <w:rFonts w:hint="eastAsia" w:ascii="仿宋" w:hAnsi="仿宋" w:eastAsia="仿宋" w:cs="仿宋"/>
          <w:bCs/>
          <w:color w:val="auto"/>
          <w:sz w:val="24"/>
          <w:szCs w:val="24"/>
          <w:highlight w:val="none"/>
        </w:rPr>
        <w:t>验收合格并移交甲方后，双方办理结算，双方就结算结果达成</w:t>
      </w:r>
      <w:r>
        <w:rPr>
          <w:rFonts w:hint="eastAsia" w:ascii="仿宋" w:hAnsi="仿宋" w:eastAsia="仿宋" w:cs="仿宋"/>
          <w:bCs/>
          <w:color w:val="auto"/>
          <w:sz w:val="24"/>
          <w:szCs w:val="24"/>
          <w:highlight w:val="none"/>
          <w:lang w:val="en-US" w:eastAsia="zh-CN"/>
        </w:rPr>
        <w:t>书面</w:t>
      </w:r>
      <w:r>
        <w:rPr>
          <w:rFonts w:hint="eastAsia" w:ascii="仿宋" w:hAnsi="仿宋" w:eastAsia="仿宋" w:cs="仿宋"/>
          <w:bCs/>
          <w:color w:val="auto"/>
          <w:sz w:val="24"/>
          <w:szCs w:val="24"/>
          <w:highlight w:val="none"/>
        </w:rPr>
        <w:t>一致后，甲方付至</w:t>
      </w:r>
      <w:r>
        <w:rPr>
          <w:rFonts w:hint="eastAsia" w:ascii="仿宋" w:hAnsi="仿宋" w:eastAsia="仿宋" w:cs="仿宋"/>
          <w:bCs/>
          <w:color w:val="auto"/>
          <w:sz w:val="24"/>
          <w:szCs w:val="24"/>
          <w:highlight w:val="none"/>
          <w:lang w:eastAsia="zh-CN"/>
        </w:rPr>
        <w:t>结算</w:t>
      </w:r>
      <w:r>
        <w:rPr>
          <w:rFonts w:hint="eastAsia" w:ascii="仿宋" w:hAnsi="仿宋" w:eastAsia="仿宋" w:cs="仿宋"/>
          <w:bCs/>
          <w:color w:val="auto"/>
          <w:sz w:val="24"/>
          <w:szCs w:val="24"/>
          <w:highlight w:val="none"/>
        </w:rPr>
        <w:t>总价的9</w:t>
      </w:r>
      <w:r>
        <w:rPr>
          <w:rFonts w:hint="eastAsia" w:ascii="仿宋" w:hAnsi="仿宋" w:eastAsia="仿宋" w:cs="仿宋"/>
          <w:bCs/>
          <w:color w:val="auto"/>
          <w:sz w:val="24"/>
          <w:szCs w:val="24"/>
          <w:highlight w:val="none"/>
          <w:lang w:val="en-US" w:eastAsia="zh-CN"/>
        </w:rPr>
        <w:t>7</w:t>
      </w:r>
      <w:r>
        <w:rPr>
          <w:rFonts w:hint="eastAsia" w:ascii="仿宋" w:hAnsi="仿宋" w:eastAsia="仿宋" w:cs="仿宋"/>
          <w:color w:val="auto"/>
          <w:sz w:val="24"/>
          <w:szCs w:val="24"/>
          <w:highlight w:val="none"/>
        </w:rPr>
        <w:t>% 。</w:t>
      </w:r>
    </w:p>
    <w:p>
      <w:pPr>
        <w:pStyle w:val="21"/>
        <w:snapToGrid w:val="0"/>
        <w:spacing w:line="440" w:lineRule="exact"/>
        <w:ind w:firstLine="48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6.3</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总价的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%作为本工程保修金，保修期满</w:t>
      </w:r>
      <w:r>
        <w:rPr>
          <w:rFonts w:hint="eastAsia" w:ascii="仿宋" w:hAnsi="仿宋" w:eastAsia="仿宋" w:cs="仿宋"/>
          <w:color w:val="auto"/>
          <w:sz w:val="24"/>
          <w:szCs w:val="24"/>
          <w:highlight w:val="none"/>
          <w:lang w:val="en-US" w:eastAsia="zh-CN"/>
        </w:rPr>
        <w:t>两年</w:t>
      </w:r>
      <w:r>
        <w:rPr>
          <w:rFonts w:hint="eastAsia" w:ascii="仿宋" w:hAnsi="仿宋" w:eastAsia="仿宋" w:cs="仿宋"/>
          <w:color w:val="auto"/>
          <w:sz w:val="24"/>
          <w:szCs w:val="24"/>
          <w:highlight w:val="none"/>
          <w:u w:val="none"/>
        </w:rPr>
        <w:t>且乙方取得“保修</w:t>
      </w:r>
      <w:r>
        <w:rPr>
          <w:rFonts w:hint="eastAsia" w:ascii="仿宋" w:hAnsi="仿宋" w:eastAsia="仿宋" w:cs="仿宋"/>
          <w:color w:val="auto"/>
          <w:sz w:val="24"/>
          <w:szCs w:val="24"/>
          <w:highlight w:val="none"/>
        </w:rPr>
        <w:t>合格证明”后，双方无息结清保修金。</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6.4.2申请保修金时还需附“保修合格证明”。</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6.4.3申请结算款时需附“结算确认书”。</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1"/>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1"/>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如双方对付款金额产生争议，甲方有权暂缓支付款项且不视为违约，甲方无需向乙方支付违约金或利息。</w:t>
      </w:r>
    </w:p>
    <w:p>
      <w:pPr>
        <w:pStyle w:val="21"/>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w:t>
      </w:r>
      <w:r>
        <w:rPr>
          <w:rFonts w:hint="eastAsia" w:ascii="仿宋" w:hAnsi="仿宋" w:eastAsia="仿宋" w:cs="仿宋"/>
          <w:color w:val="auto"/>
          <w:kern w:val="0"/>
          <w:sz w:val="24"/>
          <w:szCs w:val="24"/>
          <w:highlight w:val="none"/>
          <w:lang w:eastAsia="zh-CN"/>
        </w:rPr>
        <w:t>保证金、</w:t>
      </w:r>
      <w:r>
        <w:rPr>
          <w:rFonts w:hint="eastAsia" w:ascii="仿宋" w:hAnsi="仿宋" w:eastAsia="仿宋" w:cs="仿宋"/>
          <w:color w:val="auto"/>
          <w:kern w:val="0"/>
          <w:sz w:val="24"/>
          <w:szCs w:val="24"/>
          <w:highlight w:val="none"/>
        </w:rPr>
        <w:t>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r>
        <w:rPr>
          <w:rFonts w:hint="eastAsia" w:ascii="仿宋" w:hAnsi="仿宋" w:eastAsia="仿宋" w:cs="仿宋"/>
          <w:color w:val="auto"/>
          <w:kern w:val="0"/>
          <w:sz w:val="24"/>
          <w:szCs w:val="24"/>
          <w:highlight w:val="none"/>
          <w:lang w:val="en-US" w:eastAsia="zh-CN"/>
        </w:rPr>
        <w:t>甲方收款账户如下：</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甲方收款账户：</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甲方开户名称：</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甲方开户银行：</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甲方银行开户帐号：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6.9甲方将合同款汇至以下账户即完成付款：  </w:t>
      </w:r>
    </w:p>
    <w:p>
      <w:pPr>
        <w:pStyle w:val="21"/>
        <w:snapToGrid w:val="0"/>
        <w:spacing w:line="440" w:lineRule="exact"/>
        <w:ind w:firstLine="48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乙方开户名称：</w:t>
      </w:r>
      <w:r>
        <w:rPr>
          <w:rFonts w:hint="eastAsia" w:ascii="仿宋" w:hAnsi="仿宋" w:eastAsia="仿宋" w:cs="仿宋"/>
          <w:color w:val="auto"/>
          <w:kern w:val="0"/>
          <w:sz w:val="24"/>
          <w:szCs w:val="24"/>
          <w:highlight w:val="none"/>
          <w:u w:val="singl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乙方开户银行：</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乙方银行开户账号：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p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7.2乙方保证本工程使用的材料均为环保</w:t>
      </w:r>
      <w:r>
        <w:rPr>
          <w:rFonts w:hint="eastAsia" w:ascii="仿宋" w:hAnsi="仿宋" w:eastAsia="仿宋" w:cs="仿宋"/>
          <w:color w:val="auto"/>
          <w:sz w:val="24"/>
          <w:szCs w:val="24"/>
          <w:highlight w:val="none"/>
        </w:rPr>
        <w:t>、无异味，否则，由此导致的一切责任和后果由乙方承担。</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乙方须按照甲方确认的样品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z w:val="24"/>
          <w:szCs w:val="24"/>
          <w:highlight w:val="none"/>
          <w:lang w:eastAsia="zh-CN"/>
        </w:rPr>
        <w:t>及施工</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w:t>
      </w:r>
      <w:r>
        <w:rPr>
          <w:rFonts w:hint="eastAsia" w:ascii="仿宋" w:hAnsi="仿宋" w:eastAsia="仿宋" w:cs="仿宋"/>
          <w:color w:val="auto"/>
          <w:sz w:val="24"/>
          <w:szCs w:val="24"/>
          <w:highlight w:val="none"/>
          <w:lang w:eastAsia="zh-CN"/>
        </w:rPr>
        <w:t>合同总价</w:t>
      </w:r>
      <w:r>
        <w:rPr>
          <w:rFonts w:hint="eastAsia" w:ascii="仿宋" w:hAnsi="仿宋" w:eastAsia="仿宋" w:cs="仿宋"/>
          <w:color w:val="auto"/>
          <w:sz w:val="24"/>
          <w:szCs w:val="24"/>
          <w:highlight w:val="none"/>
        </w:rPr>
        <w:t>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w:t>
      </w:r>
      <w:r>
        <w:rPr>
          <w:rFonts w:hint="eastAsia" w:ascii="仿宋" w:hAnsi="仿宋" w:eastAsia="仿宋" w:cs="仿宋"/>
          <w:color w:val="auto"/>
          <w:sz w:val="24"/>
          <w:szCs w:val="24"/>
          <w:highlight w:val="none"/>
          <w:lang w:eastAsia="zh-CN"/>
        </w:rPr>
        <w:t>合同价</w:t>
      </w:r>
      <w:r>
        <w:rPr>
          <w:rFonts w:hint="eastAsia" w:ascii="仿宋" w:hAnsi="仿宋" w:eastAsia="仿宋" w:cs="仿宋"/>
          <w:color w:val="auto"/>
          <w:sz w:val="24"/>
          <w:szCs w:val="24"/>
          <w:highlight w:val="none"/>
        </w:rPr>
        <w:t>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所供材料质量如不符本合同要求，甲方的合同执行联系人、签约代表等无权同意用于本工程（无论是否折价交易），此种情况下，无论甲方任何人员签字同意均无效且视为乙方未履行提供合格材料的义务，甲方亦不结算及支付款项。乙方须按合同约定承担未提供合格材料的违约责任。</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none"/>
          <w:u w:val="single"/>
          <w:lang w:val="en-US" w:eastAsia="zh-CN"/>
        </w:rPr>
        <w:t xml:space="preserve"> 雷旭东 </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13712668340</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（身份证号码：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价内，乙方不得就上述原因要求甲方对施工报酬再作相应调整；且乙方无论在任何时候进退场，均不计进退场费，其费用已包含在合同价内。</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9.2本工程保修期为</w:t>
      </w:r>
      <w:r>
        <w:rPr>
          <w:rFonts w:hint="eastAsia" w:ascii="仿宋" w:hAnsi="仿宋" w:eastAsia="仿宋" w:cs="仿宋"/>
          <w:b w:val="0"/>
          <w:bCs w:val="0"/>
          <w:color w:val="auto"/>
          <w:sz w:val="24"/>
          <w:szCs w:val="24"/>
          <w:highlight w:val="none"/>
          <w:u w:val="single"/>
          <w:lang w:val="en-US" w:eastAsia="zh-CN"/>
        </w:rPr>
        <w:t xml:space="preserve"> 2 </w:t>
      </w:r>
      <w:r>
        <w:rPr>
          <w:rFonts w:hint="eastAsia" w:ascii="仿宋" w:hAnsi="仿宋" w:eastAsia="仿宋" w:cs="仿宋"/>
          <w:b w:val="0"/>
          <w:bCs w:val="0"/>
          <w:color w:val="auto"/>
          <w:sz w:val="24"/>
          <w:szCs w:val="24"/>
          <w:highlight w:val="none"/>
          <w:u w:val="none"/>
        </w:rPr>
        <w:t>年</w:t>
      </w:r>
      <w:r>
        <w:rPr>
          <w:rFonts w:hint="eastAsia" w:ascii="仿宋" w:hAnsi="仿宋" w:eastAsia="仿宋" w:cs="仿宋"/>
          <w:b w:val="0"/>
          <w:bCs w:val="0"/>
          <w:color w:val="auto"/>
          <w:sz w:val="24"/>
          <w:szCs w:val="24"/>
          <w:highlight w:val="none"/>
        </w:rPr>
        <w:t>，政府另有更长保修期限规定的，从其规定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val="en-US" w:eastAsia="zh-CN"/>
        </w:rPr>
        <w:t>自甲方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none"/>
          <w:lang w:val="en-US" w:eastAsia="zh-CN"/>
        </w:rPr>
        <w:t>2个日历天</w:t>
      </w:r>
      <w:r>
        <w:rPr>
          <w:rFonts w:hint="eastAsia" w:ascii="仿宋" w:hAnsi="仿宋" w:eastAsia="仿宋" w:cs="仿宋"/>
          <w:color w:val="auto"/>
          <w:sz w:val="24"/>
          <w:szCs w:val="24"/>
          <w:highlight w:val="none"/>
          <w:u w:val="none"/>
        </w:rPr>
        <w:t>内</w:t>
      </w:r>
      <w:r>
        <w:rPr>
          <w:rFonts w:hint="eastAsia" w:ascii="仿宋" w:hAnsi="仿宋" w:eastAsia="仿宋" w:cs="仿宋"/>
          <w:color w:val="auto"/>
          <w:sz w:val="24"/>
          <w:szCs w:val="24"/>
          <w:highlight w:val="none"/>
          <w:lang w:eastAsia="zh-CN"/>
        </w:rPr>
        <w:t>（刮风、下雨或因被疫情封控则顺延，具体视天气情况而定）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9.3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款项中直接扣款用于抵扣上述修复费用和损失。甲乙双方特别约定本条款不因本合同的终止而失效。</w:t>
      </w:r>
    </w:p>
    <w:p>
      <w:pP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10.2乙方须对本工程涉及的乙方人员购买人身意外伤害险等保险，相关费用已含于合同价中甲方无需另行支付给乙方。</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南峰中心</w:t>
      </w:r>
      <w:r>
        <w:rPr>
          <w:rFonts w:hint="eastAsia" w:ascii="仿宋" w:hAnsi="仿宋" w:eastAsia="仿宋" w:cs="仿宋"/>
          <w:color w:val="auto"/>
          <w:sz w:val="24"/>
          <w:szCs w:val="24"/>
          <w:highlight w:val="none"/>
        </w:rPr>
        <w:t>范围内发生的伤亡事故，均由乙方承担责任和费用。</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500元的违约金，延迟三天以上的，甲方有权单方解除合同且不支付合同款。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w:t>
      </w:r>
      <w:r>
        <w:rPr>
          <w:rFonts w:hint="eastAsia" w:ascii="仿宋" w:hAnsi="仿宋" w:eastAsia="仿宋" w:cs="仿宋"/>
          <w:color w:val="auto"/>
          <w:kern w:val="0"/>
          <w:sz w:val="24"/>
          <w:szCs w:val="24"/>
          <w:highlight w:val="none"/>
          <w:lang w:eastAsia="zh-CN"/>
        </w:rPr>
        <w:t>合同总价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计收合同总价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keepNext w:val="0"/>
        <w:keepLines w:val="0"/>
        <w:pageBreakBefore w:val="0"/>
        <w:widowControl w:val="0"/>
        <w:kinsoku/>
        <w:wordWrap/>
        <w:overflowPunct/>
        <w:topLinePunct w:val="0"/>
        <w:autoSpaceDE/>
        <w:autoSpaceDN/>
        <w:bidi w:val="0"/>
        <w:spacing w:line="45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11.9基于本项目的特殊性，乙方已充分了解其义务、责任并自愿承担相应风险，合同所约定的违约金标准经双方友好协商确定，乙方同意不对违约金标准提出任何主张或抗辩。</w:t>
      </w:r>
    </w:p>
    <w:p>
      <w:pPr>
        <w:keepNext w:val="0"/>
        <w:keepLines w:val="0"/>
        <w:pageBreakBefore w:val="0"/>
        <w:widowControl w:val="0"/>
        <w:kinsoku/>
        <w:wordWrap/>
        <w:overflowPunct/>
        <w:topLinePunct w:val="0"/>
        <w:autoSpaceDE/>
        <w:autoSpaceDN/>
        <w:bidi w:val="0"/>
        <w:spacing w:line="45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11.10乙方需承担的赔偿金或违约金，甲方有权从应付未付款中直接扣除。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spacing w:line="45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11.11在本合同履行过程中，非乙方原因造成施工质量、安全文明等无法满足甲方及规范要求的，乙方须提供不属于其责任的证明并得到甲方的书面认可，否则视为乙方违约，责任及相关的全部费用和损失由乙方承担。</w:t>
      </w:r>
    </w:p>
    <w:p>
      <w:pP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lang w:val="en-US" w:eastAsia="zh-CN"/>
        </w:rPr>
        <w:t>11.12乙方原因造成本工程质量达不到本合同约定的质量标准或出现影响使用功能和工程结构安全，即使通过技术整改措施仍然无法达到设计要求等永久质量问题的，无论是否在保修期内，乙方须无条件返工至合格为止，并须赔偿甲方因此造成的一切损失，所有费用甲方均可在乙方任一笔工程款中扣除，乙方工程款不足以赔偿甲方损失的，由乙方在甲方通知5个日历天内自行筹备资金向甲方缴纳，乙方公司资产不足以抵扣由该质量问题导致甲方损失的，乙方法定代表人及实际控制人自愿负无限连带清偿责任。若该永久质量问题无法满足设计及合同约定质量标准，而甲方也接受现状质量，乙方仍需承担违约责任，自愿接受不合格部位造价20%以上的违约金，同时处以5000元以上的罚款。</w:t>
      </w:r>
    </w:p>
    <w:p>
      <w:pP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.1乙方在与甲方合作期间（包括本合同招标、签订、履行期间），不得向甲方职员提供请吃、送礼、旅游、色情服务、行贿、回扣或其他好处，如有违反，乙方每次向甲方支付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4"/>
          <w:szCs w:val="24"/>
          <w:highlight w:val="none"/>
        </w:rPr>
        <w:t>合同暂定总价/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4"/>
          <w:szCs w:val="24"/>
          <w:highlight w:val="none"/>
        </w:rPr>
        <w:t>合同总价的10％作为违约金（甲方可从任意一笔合同款中扣款），造成甲方经济或其他损失的，乙方全额赔偿甲方。</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 如甲方发现乙方可能存在违反廉洁条款的行为时，甲方有权暂扣违约金/争议工程款/处罚款等对应等额的工程款，直至调查完毕后根据调查结果再作处理，甲方暂不付款的行为不视为甲方违约。</w:t>
      </w:r>
    </w:p>
    <w:p>
      <w:pP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13.5本合同壹式叁份，甲方执贰份，乙方执壹份，均具同等法律效力。本合同自甲乙双方签字、加盖公章（或合同章）之日起生效，在竣工结算价款支付完毕、乙方向甲方交付竣工工程之日，本合同除保修条款外的其余条款自动终止。</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13.6本合同正文为清洁打印文本，如双方对此合同有任何修改及补充均应另行签订补充协议。合同正文中任何非打印的文字或者图形，除非经双方确认同意，否则不产生约束力。</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13.7甲乙双方均确认已经审阅并理解本合同的条款，且已经就条款相关的任何疑问得到满意的解释，并确认本合同的条款为双方本着诚信互利的原则友好协商一致的结果，不属于任何一方的格式条款。</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13.8以下文件均为合同有效组成部分，各文件互相解释，互为说明。当合同文件中出现不一致时，除合同另有约定外，以下排列顺序就是各合同文件的优先解释顺序：</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13.8.1合同履行过程中，双方法人代表或授权人签字并加盖公章的补充协议；</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13.8.2本合同书（含附件）；</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13.8.3经甲方确认的方案及相关设计变更；</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13.8.4本项目招标文件（含相关答疑、补充通知等）；</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13.8.5乙方发出的、经甲方确认的本项目投标文件及相关澄清文件；</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13.8.6项目所在地现行的法律、法规、标准、规范。</w:t>
      </w:r>
    </w:p>
    <w:p>
      <w:pP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keepNext w:val="0"/>
        <w:keepLines w:val="0"/>
        <w:widowControl/>
        <w:suppressLineNumbers w:val="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合同随附附件：</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附件一：《</w:t>
      </w:r>
      <w:r>
        <w:rPr>
          <w:rFonts w:hint="eastAsia" w:ascii="仿宋" w:hAnsi="仿宋" w:eastAsia="仿宋" w:cs="仿宋"/>
          <w:color w:val="auto"/>
          <w:kern w:val="0"/>
          <w:sz w:val="24"/>
          <w:szCs w:val="24"/>
          <w:highlight w:val="none"/>
          <w:lang w:val="en-US" w:eastAsia="zh-CN"/>
        </w:rPr>
        <w:t>报价清单</w:t>
      </w:r>
      <w:r>
        <w:rPr>
          <w:rFonts w:hint="eastAsia" w:ascii="仿宋" w:hAnsi="仿宋" w:eastAsia="仿宋" w:cs="仿宋"/>
          <w:color w:val="auto"/>
          <w:kern w:val="0"/>
          <w:sz w:val="24"/>
          <w:szCs w:val="24"/>
          <w:highlight w:val="none"/>
          <w:lang w:eastAsia="zh-CN"/>
        </w:rPr>
        <w:t>》；</w:t>
      </w:r>
    </w:p>
    <w:p>
      <w:pPr>
        <w:spacing w:line="44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附件二：《改造方案》；</w:t>
      </w:r>
    </w:p>
    <w:p>
      <w:pPr>
        <w:spacing w:line="44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附件三：《碧水天源停车系统功能要求》</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 xml:space="preserve">    </w:t>
      </w:r>
    </w:p>
    <w:p>
      <w:pPr>
        <w:keepNext w:val="0"/>
        <w:keepLines w:val="0"/>
        <w:widowControl/>
        <w:suppressLineNumbers w:val="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甲  方：东莞市南峰物业管理有限公司    乙  方：</w:t>
      </w:r>
      <w:r>
        <w:rPr>
          <w:rFonts w:hint="eastAsia" w:ascii="仿宋" w:hAnsi="仿宋" w:eastAsia="仿宋" w:cs="仿宋"/>
          <w:b/>
          <w:color w:val="auto"/>
          <w:sz w:val="24"/>
          <w:szCs w:val="24"/>
          <w:highlight w:val="none"/>
          <w:lang w:val="en-US" w:eastAsia="zh-CN"/>
        </w:rPr>
        <w:t xml:space="preserve">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bCs/>
          <w:i w:val="0"/>
          <w:iCs w:val="0"/>
          <w:color w:val="auto"/>
          <w:sz w:val="24"/>
          <w:szCs w:val="24"/>
          <w:highlight w:val="none"/>
          <w:shd w:val="clear" w:color="auto" w:fill="auto"/>
          <w:lang w:eastAsia="zh-CN"/>
        </w:rPr>
        <w:t>【甲方人员如有营私舞弊、吃拿卡要等损害乙方合法权益的行为，乙方可拨打投诉专线 4000968086或发邮件至投诉邮箱:zhglzx@nanfeng.cn，也可至广东省东莞市南城街道鸿福路 106号南峰中心12楼内控中心办公室面诉。】</w:t>
      </w:r>
    </w:p>
    <w:sectPr>
      <w:footerReference r:id="rId3" w:type="default"/>
      <w:pgSz w:w="11906" w:h="16838"/>
      <w:pgMar w:top="-964" w:right="1596" w:bottom="781" w:left="1690" w:header="624" w:footer="567" w:gutter="0"/>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5"/>
                  </w:rPr>
                </w:pPr>
                <w:r>
                  <w:fldChar w:fldCharType="begin"/>
                </w:r>
                <w:r>
                  <w:rPr>
                    <w:rStyle w:val="15"/>
                  </w:rPr>
                  <w:instrText xml:space="preserve">PAGE  </w:instrText>
                </w:r>
                <w:r>
                  <w:fldChar w:fldCharType="separate"/>
                </w:r>
                <w:r>
                  <w:rPr>
                    <w:rStyle w:val="15"/>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ZWQxYjNiOGQwOWQ3ZDcwYzI4ZTE0M2ZhZmIzYTg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C2AD8"/>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B52F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50536"/>
    <w:rsid w:val="03F82FC0"/>
    <w:rsid w:val="04114082"/>
    <w:rsid w:val="04167848"/>
    <w:rsid w:val="04185410"/>
    <w:rsid w:val="041B280B"/>
    <w:rsid w:val="043438CC"/>
    <w:rsid w:val="04387860"/>
    <w:rsid w:val="04402271"/>
    <w:rsid w:val="044A30F0"/>
    <w:rsid w:val="04545D1C"/>
    <w:rsid w:val="04673DFD"/>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986"/>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660EC"/>
    <w:rsid w:val="0958005D"/>
    <w:rsid w:val="0962350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6E622D"/>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7730F"/>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2A7154"/>
    <w:rsid w:val="11472E91"/>
    <w:rsid w:val="11480329"/>
    <w:rsid w:val="114C04A7"/>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0E7121"/>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5F36DD"/>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B7DF5"/>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235DB4"/>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CE5BC8"/>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436C2B"/>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394D97"/>
    <w:rsid w:val="2949671D"/>
    <w:rsid w:val="294C499F"/>
    <w:rsid w:val="295C2DFA"/>
    <w:rsid w:val="29641E6F"/>
    <w:rsid w:val="29736AC1"/>
    <w:rsid w:val="29791CF2"/>
    <w:rsid w:val="297D16EE"/>
    <w:rsid w:val="298505A2"/>
    <w:rsid w:val="29B50E88"/>
    <w:rsid w:val="29C9048F"/>
    <w:rsid w:val="29D90D2A"/>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6A5CA2"/>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3764"/>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48377E"/>
    <w:rsid w:val="2E5A3DAC"/>
    <w:rsid w:val="2E6A7D67"/>
    <w:rsid w:val="2E7577A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CD0C3F"/>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930DF"/>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40C92"/>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8E35BA"/>
    <w:rsid w:val="379F4F25"/>
    <w:rsid w:val="37AF33BA"/>
    <w:rsid w:val="37B22EAA"/>
    <w:rsid w:val="37B7401D"/>
    <w:rsid w:val="37BF7375"/>
    <w:rsid w:val="37C30C14"/>
    <w:rsid w:val="37CC3B28"/>
    <w:rsid w:val="37CD0DFA"/>
    <w:rsid w:val="37D90437"/>
    <w:rsid w:val="37E7650B"/>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20563C"/>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27433"/>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71552"/>
    <w:rsid w:val="3CAD1E92"/>
    <w:rsid w:val="3CAD59EE"/>
    <w:rsid w:val="3CBA0E32"/>
    <w:rsid w:val="3CBD0327"/>
    <w:rsid w:val="3CCA034E"/>
    <w:rsid w:val="3CCB40C7"/>
    <w:rsid w:val="3CEA6C43"/>
    <w:rsid w:val="3CF03B2D"/>
    <w:rsid w:val="3CF278A5"/>
    <w:rsid w:val="3D031AB2"/>
    <w:rsid w:val="3D0432D8"/>
    <w:rsid w:val="3D106262"/>
    <w:rsid w:val="3D145A6E"/>
    <w:rsid w:val="3D202664"/>
    <w:rsid w:val="3D232155"/>
    <w:rsid w:val="3D673DEF"/>
    <w:rsid w:val="3D7A6218"/>
    <w:rsid w:val="3D7B5AED"/>
    <w:rsid w:val="3D804EB1"/>
    <w:rsid w:val="3DA07301"/>
    <w:rsid w:val="3DA212CB"/>
    <w:rsid w:val="3DA35066"/>
    <w:rsid w:val="3DBF1E7D"/>
    <w:rsid w:val="3DC15BF5"/>
    <w:rsid w:val="3DCB0822"/>
    <w:rsid w:val="3DD2628A"/>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C02F6"/>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B9406E"/>
    <w:rsid w:val="42C57F36"/>
    <w:rsid w:val="42EF3074"/>
    <w:rsid w:val="42F425C9"/>
    <w:rsid w:val="42FA1DCA"/>
    <w:rsid w:val="42FE6FA4"/>
    <w:rsid w:val="430345BA"/>
    <w:rsid w:val="43056584"/>
    <w:rsid w:val="430B7913"/>
    <w:rsid w:val="43151776"/>
    <w:rsid w:val="431542ED"/>
    <w:rsid w:val="432E28D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A6050"/>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551EC7"/>
    <w:rsid w:val="456C1406"/>
    <w:rsid w:val="4585575A"/>
    <w:rsid w:val="45A57BAB"/>
    <w:rsid w:val="45C06792"/>
    <w:rsid w:val="45EC3A2B"/>
    <w:rsid w:val="460F14C8"/>
    <w:rsid w:val="460F6A71"/>
    <w:rsid w:val="46164604"/>
    <w:rsid w:val="4618037D"/>
    <w:rsid w:val="461D1E37"/>
    <w:rsid w:val="462C3E28"/>
    <w:rsid w:val="46334A99"/>
    <w:rsid w:val="463351B6"/>
    <w:rsid w:val="463F61A4"/>
    <w:rsid w:val="464473C4"/>
    <w:rsid w:val="4654512D"/>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66EAD"/>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DA5EF9"/>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44DA5"/>
    <w:rsid w:val="56150435"/>
    <w:rsid w:val="561F5757"/>
    <w:rsid w:val="56246DA9"/>
    <w:rsid w:val="56262642"/>
    <w:rsid w:val="5627460C"/>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C494A"/>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2335F4"/>
    <w:rsid w:val="5B286E5C"/>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773EB"/>
    <w:rsid w:val="5E8C75FF"/>
    <w:rsid w:val="5E9B16F3"/>
    <w:rsid w:val="5EA031AD"/>
    <w:rsid w:val="5EC155FD"/>
    <w:rsid w:val="5EE4309A"/>
    <w:rsid w:val="5EE72B8A"/>
    <w:rsid w:val="5EF05EE3"/>
    <w:rsid w:val="5F061262"/>
    <w:rsid w:val="5F0C439F"/>
    <w:rsid w:val="5F100333"/>
    <w:rsid w:val="5F2931A3"/>
    <w:rsid w:val="5F2D4A41"/>
    <w:rsid w:val="5F3C41E6"/>
    <w:rsid w:val="5F465AEA"/>
    <w:rsid w:val="5F4F0E5B"/>
    <w:rsid w:val="5F5A18F2"/>
    <w:rsid w:val="5F7406A0"/>
    <w:rsid w:val="5F8E3006"/>
    <w:rsid w:val="5F9745B0"/>
    <w:rsid w:val="5FA40A7B"/>
    <w:rsid w:val="5FB83B1F"/>
    <w:rsid w:val="5FCD3B2E"/>
    <w:rsid w:val="5FD21144"/>
    <w:rsid w:val="5FD70E51"/>
    <w:rsid w:val="5FDA449D"/>
    <w:rsid w:val="5FDD0B35"/>
    <w:rsid w:val="5FE175D9"/>
    <w:rsid w:val="5FF7796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E1894"/>
    <w:rsid w:val="611F03B9"/>
    <w:rsid w:val="61343994"/>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9E018F"/>
    <w:rsid w:val="64A37553"/>
    <w:rsid w:val="64A62BA0"/>
    <w:rsid w:val="64B74DAD"/>
    <w:rsid w:val="64CC2606"/>
    <w:rsid w:val="64CD637E"/>
    <w:rsid w:val="64D433D4"/>
    <w:rsid w:val="64E2007C"/>
    <w:rsid w:val="64E536C8"/>
    <w:rsid w:val="64EA5664"/>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0E0AA1"/>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60619E"/>
    <w:rsid w:val="6B741C4A"/>
    <w:rsid w:val="6B7632CC"/>
    <w:rsid w:val="6B79100E"/>
    <w:rsid w:val="6B8974A3"/>
    <w:rsid w:val="6B9E2F8E"/>
    <w:rsid w:val="6B9F5C8F"/>
    <w:rsid w:val="6BCE4EB6"/>
    <w:rsid w:val="6BD6020E"/>
    <w:rsid w:val="6BF6440D"/>
    <w:rsid w:val="6BFD7D08"/>
    <w:rsid w:val="6C054650"/>
    <w:rsid w:val="6C0E1756"/>
    <w:rsid w:val="6C111246"/>
    <w:rsid w:val="6C16565A"/>
    <w:rsid w:val="6C1825D5"/>
    <w:rsid w:val="6C1A634D"/>
    <w:rsid w:val="6C1F3963"/>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16EE9"/>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33A67"/>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B73DD8"/>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82783"/>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5F84C0B"/>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421CFE"/>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3D3121"/>
    <w:rsid w:val="78482494"/>
    <w:rsid w:val="785247C8"/>
    <w:rsid w:val="785E00D6"/>
    <w:rsid w:val="787F58A1"/>
    <w:rsid w:val="78801C2E"/>
    <w:rsid w:val="78874D6A"/>
    <w:rsid w:val="789217B4"/>
    <w:rsid w:val="78B2790D"/>
    <w:rsid w:val="78E33F6B"/>
    <w:rsid w:val="78F85C68"/>
    <w:rsid w:val="78FD327E"/>
    <w:rsid w:val="79312F28"/>
    <w:rsid w:val="79490272"/>
    <w:rsid w:val="796D0A44"/>
    <w:rsid w:val="796E7CD8"/>
    <w:rsid w:val="79793016"/>
    <w:rsid w:val="798968C0"/>
    <w:rsid w:val="79A23599"/>
    <w:rsid w:val="79A8143C"/>
    <w:rsid w:val="79B06543"/>
    <w:rsid w:val="79B24069"/>
    <w:rsid w:val="79B72E08"/>
    <w:rsid w:val="79C45B4A"/>
    <w:rsid w:val="79C97604"/>
    <w:rsid w:val="79D00993"/>
    <w:rsid w:val="79E1494E"/>
    <w:rsid w:val="79E15B86"/>
    <w:rsid w:val="79EB1329"/>
    <w:rsid w:val="79EB30D7"/>
    <w:rsid w:val="7A03546E"/>
    <w:rsid w:val="7A1940E8"/>
    <w:rsid w:val="7A1C75D3"/>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8027A"/>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C1F60"/>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24"/>
    <w:autoRedefine/>
    <w:qFormat/>
    <w:uiPriority w:val="0"/>
    <w:pPr>
      <w:jc w:val="left"/>
    </w:pPr>
  </w:style>
  <w:style w:type="paragraph" w:styleId="3">
    <w:name w:val="Body Text"/>
    <w:basedOn w:val="1"/>
    <w:link w:val="20"/>
    <w:autoRedefine/>
    <w:qFormat/>
    <w:uiPriority w:val="0"/>
    <w:pPr>
      <w:spacing w:after="120"/>
    </w:pPr>
  </w:style>
  <w:style w:type="paragraph" w:styleId="4">
    <w:name w:val="Body Text Indent"/>
    <w:basedOn w:val="1"/>
    <w:autoRedefine/>
    <w:qFormat/>
    <w:uiPriority w:val="0"/>
    <w:pPr>
      <w:tabs>
        <w:tab w:val="left" w:pos="840"/>
      </w:tabs>
      <w:snapToGrid w:val="0"/>
      <w:spacing w:line="300" w:lineRule="exact"/>
      <w:ind w:left="630" w:leftChars="300"/>
    </w:pPr>
  </w:style>
  <w:style w:type="paragraph" w:styleId="5">
    <w:name w:val="Balloon Text"/>
    <w:basedOn w:val="1"/>
    <w:link w:val="26"/>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3"/>
    <w:autoRedefine/>
    <w:qFormat/>
    <w:uiPriority w:val="0"/>
    <w:pPr>
      <w:snapToGrid w:val="0"/>
      <w:jc w:val="left"/>
    </w:pPr>
    <w:rPr>
      <w:sz w:val="18"/>
      <w:szCs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annotation subject"/>
    <w:basedOn w:val="2"/>
    <w:next w:val="2"/>
    <w:link w:val="25"/>
    <w:autoRedefine/>
    <w:qFormat/>
    <w:uiPriority w:val="0"/>
    <w:rPr>
      <w:b/>
      <w:bCs/>
    </w:rPr>
  </w:style>
  <w:style w:type="paragraph" w:styleId="11">
    <w:name w:val="Body Text First Indent 2"/>
    <w:basedOn w:val="4"/>
    <w:autoRedefine/>
    <w:qFormat/>
    <w:uiPriority w:val="0"/>
    <w:pPr>
      <w:ind w:firstLine="420" w:firstLineChars="200"/>
    </w:pPr>
    <w:rPr>
      <w:rFonts w:ascii="Calibri" w:hAnsi="Calibri"/>
      <w:szCs w:val="22"/>
    </w:rPr>
  </w:style>
  <w:style w:type="table" w:styleId="13">
    <w:name w:val="Table Grid"/>
    <w:basedOn w:val="12"/>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autoRedefine/>
    <w:qFormat/>
    <w:uiPriority w:val="0"/>
  </w:style>
  <w:style w:type="character" w:styleId="16">
    <w:name w:val="annotation reference"/>
    <w:basedOn w:val="14"/>
    <w:autoRedefine/>
    <w:qFormat/>
    <w:uiPriority w:val="0"/>
    <w:rPr>
      <w:sz w:val="21"/>
      <w:szCs w:val="21"/>
    </w:rPr>
  </w:style>
  <w:style w:type="character" w:styleId="17">
    <w:name w:val="footnote reference"/>
    <w:basedOn w:val="14"/>
    <w:autoRedefine/>
    <w:qFormat/>
    <w:uiPriority w:val="0"/>
    <w:rPr>
      <w:vertAlign w:val="superscript"/>
    </w:rPr>
  </w:style>
  <w:style w:type="paragraph" w:customStyle="1" w:styleId="18">
    <w:name w:val="批注框文本 Char Char"/>
    <w:basedOn w:val="1"/>
    <w:autoRedefine/>
    <w:qFormat/>
    <w:uiPriority w:val="0"/>
    <w:rPr>
      <w:sz w:val="18"/>
    </w:rPr>
  </w:style>
  <w:style w:type="character" w:customStyle="1" w:styleId="19">
    <w:name w:val="页眉 Char"/>
    <w:basedOn w:val="14"/>
    <w:link w:val="7"/>
    <w:autoRedefine/>
    <w:qFormat/>
    <w:uiPriority w:val="0"/>
    <w:rPr>
      <w:kern w:val="2"/>
      <w:sz w:val="18"/>
      <w:szCs w:val="18"/>
    </w:rPr>
  </w:style>
  <w:style w:type="character" w:customStyle="1" w:styleId="20">
    <w:name w:val="正文文本 Char"/>
    <w:basedOn w:val="14"/>
    <w:link w:val="3"/>
    <w:autoRedefine/>
    <w:qFormat/>
    <w:uiPriority w:val="0"/>
    <w:rPr>
      <w:kern w:val="2"/>
      <w:sz w:val="21"/>
    </w:rPr>
  </w:style>
  <w:style w:type="paragraph" w:styleId="21">
    <w:name w:val="List Paragraph"/>
    <w:basedOn w:val="1"/>
    <w:autoRedefine/>
    <w:unhideWhenUsed/>
    <w:qFormat/>
    <w:uiPriority w:val="99"/>
    <w:pPr>
      <w:ind w:firstLine="420" w:firstLineChars="200"/>
    </w:pPr>
  </w:style>
  <w:style w:type="character" w:customStyle="1" w:styleId="22">
    <w:name w:val="memo"/>
    <w:basedOn w:val="14"/>
    <w:autoRedefine/>
    <w:qFormat/>
    <w:uiPriority w:val="0"/>
  </w:style>
  <w:style w:type="character" w:customStyle="1" w:styleId="23">
    <w:name w:val="脚注文本 Char"/>
    <w:basedOn w:val="14"/>
    <w:link w:val="8"/>
    <w:autoRedefine/>
    <w:qFormat/>
    <w:uiPriority w:val="0"/>
    <w:rPr>
      <w:rFonts w:ascii="Times New Roman" w:hAnsi="Times New Roman"/>
      <w:kern w:val="2"/>
      <w:sz w:val="18"/>
      <w:szCs w:val="18"/>
    </w:rPr>
  </w:style>
  <w:style w:type="character" w:customStyle="1" w:styleId="24">
    <w:name w:val="批注文字 Char"/>
    <w:basedOn w:val="14"/>
    <w:link w:val="2"/>
    <w:autoRedefine/>
    <w:qFormat/>
    <w:uiPriority w:val="0"/>
    <w:rPr>
      <w:rFonts w:ascii="Times New Roman" w:hAnsi="Times New Roman"/>
      <w:kern w:val="2"/>
      <w:sz w:val="21"/>
    </w:rPr>
  </w:style>
  <w:style w:type="character" w:customStyle="1" w:styleId="25">
    <w:name w:val="批注主题 Char"/>
    <w:basedOn w:val="24"/>
    <w:link w:val="10"/>
    <w:autoRedefine/>
    <w:qFormat/>
    <w:uiPriority w:val="0"/>
    <w:rPr>
      <w:rFonts w:ascii="Times New Roman" w:hAnsi="Times New Roman"/>
      <w:kern w:val="2"/>
      <w:sz w:val="21"/>
    </w:rPr>
  </w:style>
  <w:style w:type="character" w:customStyle="1" w:styleId="26">
    <w:name w:val="批注框文本 Char"/>
    <w:basedOn w:val="14"/>
    <w:link w:val="5"/>
    <w:autoRedefine/>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8462</Words>
  <Characters>8895</Characters>
  <Lines>60</Lines>
  <Paragraphs>17</Paragraphs>
  <TotalTime>7</TotalTime>
  <ScaleCrop>false</ScaleCrop>
  <LinksUpToDate>false</LinksUpToDate>
  <CharactersWithSpaces>9661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2023-05-19T02:20:00Z</cp:lastPrinted>
  <dcterms:modified xsi:type="dcterms:W3CDTF">2024-06-03T09:59:15Z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28828070C0634D43B2C3977096A9BAAF</vt:lpwstr>
  </property>
</Properties>
</file>