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229BA">
      <w:pPr>
        <w:pageBreakBefore w:val="0"/>
        <w:wordWrap/>
        <w:topLinePunct w:val="0"/>
        <w:bidi w:val="0"/>
        <w:spacing w:line="360" w:lineRule="auto"/>
        <w:jc w:val="both"/>
        <w:rPr>
          <w:rFonts w:hint="default" w:eastAsia="宋体"/>
          <w:color w:val="auto"/>
          <w:highlight w:val="none"/>
          <w:lang w:val="en-US" w:eastAsia="zh-CN"/>
        </w:rPr>
      </w:pPr>
    </w:p>
    <w:p w14:paraId="238595B3">
      <w:pPr>
        <w:pageBreakBefore w:val="0"/>
        <w:wordWrap/>
        <w:topLinePunct w:val="0"/>
        <w:bidi w:val="0"/>
        <w:spacing w:line="360" w:lineRule="auto"/>
        <w:jc w:val="both"/>
        <w:rPr>
          <w:rFonts w:hint="default" w:eastAsia="宋体"/>
          <w:color w:val="auto"/>
          <w:highlight w:val="none"/>
          <w:lang w:val="en-US" w:eastAsia="zh-CN"/>
        </w:rPr>
      </w:pPr>
    </w:p>
    <w:p w14:paraId="476F2DEC">
      <w:pPr>
        <w:pageBreakBefore w:val="0"/>
        <w:wordWrap/>
        <w:topLinePunct w:val="0"/>
        <w:bidi w:val="0"/>
        <w:spacing w:line="360" w:lineRule="auto"/>
        <w:jc w:val="both"/>
        <w:rPr>
          <w:rFonts w:hint="default" w:eastAsia="宋体"/>
          <w:color w:val="auto"/>
          <w:highlight w:val="none"/>
          <w:lang w:val="en-US" w:eastAsia="zh-CN"/>
        </w:rPr>
      </w:pPr>
    </w:p>
    <w:p w14:paraId="33750CAA">
      <w:pPr>
        <w:pageBreakBefore w:val="0"/>
        <w:wordWrap/>
        <w:topLinePunct w:val="0"/>
        <w:bidi w:val="0"/>
        <w:spacing w:line="360" w:lineRule="auto"/>
        <w:jc w:val="both"/>
        <w:rPr>
          <w:rFonts w:hint="default" w:eastAsia="宋体"/>
          <w:color w:val="auto"/>
          <w:highlight w:val="none"/>
          <w:lang w:val="en-US" w:eastAsia="zh-CN"/>
        </w:rPr>
      </w:pPr>
    </w:p>
    <w:p w14:paraId="604A364F">
      <w:pPr>
        <w:pageBreakBefore w:val="0"/>
        <w:wordWrap/>
        <w:topLinePunct w:val="0"/>
        <w:bidi w:val="0"/>
        <w:spacing w:line="360" w:lineRule="auto"/>
        <w:jc w:val="both"/>
        <w:rPr>
          <w:rFonts w:hint="default" w:eastAsia="宋体"/>
          <w:color w:val="auto"/>
          <w:highlight w:val="none"/>
          <w:lang w:val="en-US" w:eastAsia="zh-CN"/>
        </w:rPr>
      </w:pPr>
      <w:r>
        <w:rPr>
          <w:rFonts w:ascii="宋体" w:hAnsi="宋体" w:eastAsia="宋体" w:cs="宋体"/>
          <w:color w:val="auto"/>
          <w:kern w:val="0"/>
          <w:sz w:val="24"/>
          <w:szCs w:val="24"/>
          <w:highlight w:val="none"/>
        </w:rPr>
        <w:drawing>
          <wp:anchor distT="0" distB="0" distL="114300" distR="114300" simplePos="0" relativeHeight="251659264" behindDoc="0" locked="0" layoutInCell="1" allowOverlap="1">
            <wp:simplePos x="0" y="0"/>
            <wp:positionH relativeFrom="column">
              <wp:posOffset>1161415</wp:posOffset>
            </wp:positionH>
            <wp:positionV relativeFrom="paragraph">
              <wp:posOffset>19685</wp:posOffset>
            </wp:positionV>
            <wp:extent cx="4288790" cy="690245"/>
            <wp:effectExtent l="0" t="0" r="16510" b="14605"/>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7"/>
                    <a:stretch>
                      <a:fillRect/>
                    </a:stretch>
                  </pic:blipFill>
                  <pic:spPr>
                    <a:xfrm>
                      <a:off x="0" y="0"/>
                      <a:ext cx="4288790" cy="690245"/>
                    </a:xfrm>
                    <a:prstGeom prst="rect">
                      <a:avLst/>
                    </a:prstGeom>
                    <a:noFill/>
                    <a:ln>
                      <a:noFill/>
                    </a:ln>
                  </pic:spPr>
                </pic:pic>
              </a:graphicData>
            </a:graphic>
          </wp:anchor>
        </w:drawing>
      </w:r>
    </w:p>
    <w:p w14:paraId="02E09C52">
      <w:pPr>
        <w:pageBreakBefore w:val="0"/>
        <w:wordWrap/>
        <w:topLinePunct w:val="0"/>
        <w:bidi w:val="0"/>
        <w:spacing w:line="360" w:lineRule="auto"/>
        <w:jc w:val="center"/>
        <w:rPr>
          <w:rFonts w:hint="default" w:eastAsia="宋体"/>
          <w:b/>
          <w:color w:val="auto"/>
          <w:sz w:val="72"/>
          <w:highlight w:val="none"/>
          <w:lang w:val="en-US" w:eastAsia="zh-CN"/>
        </w:rPr>
      </w:pPr>
    </w:p>
    <w:p w14:paraId="57D2B9C1">
      <w:pPr>
        <w:pageBreakBefore w:val="0"/>
        <w:wordWrap/>
        <w:topLinePunct w:val="0"/>
        <w:bidi w:val="0"/>
        <w:spacing w:line="360" w:lineRule="auto"/>
        <w:jc w:val="both"/>
        <w:rPr>
          <w:b/>
          <w:color w:val="auto"/>
          <w:sz w:val="72"/>
          <w:highlight w:val="none"/>
        </w:rPr>
      </w:pPr>
    </w:p>
    <w:p w14:paraId="325C90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single"/>
          <w:lang w:val="en-US" w:eastAsia="zh-CN"/>
        </w:rPr>
      </w:pPr>
      <w:r>
        <w:rPr>
          <w:rFonts w:hint="eastAsia" w:ascii="仿宋" w:hAnsi="仿宋" w:eastAsia="仿宋" w:cs="仿宋"/>
          <w:b/>
          <w:color w:val="auto"/>
          <w:sz w:val="52"/>
          <w:szCs w:val="52"/>
          <w:highlight w:val="none"/>
          <w:u w:val="single"/>
          <w:lang w:val="en-US" w:eastAsia="zh-CN"/>
        </w:rPr>
        <w:t>南京现代表面处理科技产业中心项目</w:t>
      </w:r>
    </w:p>
    <w:p w14:paraId="5ED9CC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color w:val="auto"/>
          <w:sz w:val="52"/>
          <w:szCs w:val="52"/>
          <w:highlight w:val="none"/>
          <w:u w:val="single"/>
          <w:lang w:val="en-US" w:eastAsia="zh-CN"/>
        </w:rPr>
      </w:pPr>
      <w:r>
        <w:rPr>
          <w:rFonts w:hint="eastAsia" w:ascii="仿宋" w:hAnsi="仿宋" w:eastAsia="仿宋" w:cs="仿宋"/>
          <w:b/>
          <w:color w:val="auto"/>
          <w:sz w:val="52"/>
          <w:szCs w:val="52"/>
          <w:highlight w:val="none"/>
          <w:u w:val="single"/>
          <w:lang w:val="en-US" w:eastAsia="zh-CN"/>
        </w:rPr>
        <w:t>A地块临建工程电线电缆</w:t>
      </w:r>
    </w:p>
    <w:p w14:paraId="07A590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single"/>
          <w:lang w:val="en-US" w:eastAsia="zh-CN"/>
        </w:rPr>
      </w:pPr>
      <w:r>
        <w:rPr>
          <w:rFonts w:hint="eastAsia" w:ascii="仿宋" w:hAnsi="仿宋" w:eastAsia="仿宋" w:cs="仿宋"/>
          <w:b/>
          <w:color w:val="auto"/>
          <w:sz w:val="52"/>
          <w:szCs w:val="52"/>
          <w:highlight w:val="none"/>
          <w:u w:val="single"/>
          <w:lang w:val="en-US" w:eastAsia="zh-CN"/>
        </w:rPr>
        <w:t>购</w:t>
      </w:r>
    </w:p>
    <w:p w14:paraId="1B6C75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single"/>
          <w:lang w:val="en-US" w:eastAsia="zh-CN"/>
        </w:rPr>
      </w:pPr>
      <w:r>
        <w:rPr>
          <w:rFonts w:hint="eastAsia" w:ascii="仿宋" w:hAnsi="仿宋" w:eastAsia="仿宋" w:cs="仿宋"/>
          <w:b/>
          <w:color w:val="auto"/>
          <w:sz w:val="52"/>
          <w:szCs w:val="52"/>
          <w:highlight w:val="none"/>
          <w:u w:val="single"/>
          <w:lang w:val="en-US" w:eastAsia="zh-CN"/>
        </w:rPr>
        <w:t>销</w:t>
      </w:r>
    </w:p>
    <w:p w14:paraId="2AAC0F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合</w:t>
      </w:r>
    </w:p>
    <w:p w14:paraId="4375F6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highlight w:val="none"/>
          <w:lang w:val="en-US" w:eastAsia="zh-CN"/>
        </w:rPr>
      </w:pPr>
      <w:r>
        <w:rPr>
          <w:rFonts w:hint="eastAsia" w:ascii="仿宋" w:hAnsi="仿宋" w:eastAsia="仿宋" w:cs="仿宋"/>
          <w:b/>
          <w:color w:val="auto"/>
          <w:sz w:val="52"/>
          <w:szCs w:val="52"/>
          <w:highlight w:val="none"/>
          <w:lang w:val="en-US" w:eastAsia="zh-CN"/>
        </w:rPr>
        <w:t>同</w:t>
      </w:r>
    </w:p>
    <w:p w14:paraId="30E76ECA">
      <w:pPr>
        <w:pageBreakBefore w:val="0"/>
        <w:wordWrap/>
        <w:topLinePunct w:val="0"/>
        <w:bidi w:val="0"/>
        <w:spacing w:line="360" w:lineRule="auto"/>
        <w:jc w:val="both"/>
        <w:rPr>
          <w:rFonts w:hint="default" w:eastAsia="宋体"/>
          <w:color w:val="auto"/>
          <w:highlight w:val="none"/>
          <w:lang w:val="en-US" w:eastAsia="zh-CN"/>
        </w:rPr>
      </w:pPr>
    </w:p>
    <w:p w14:paraId="1901CABA">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合同编号：</w:t>
      </w:r>
    </w:p>
    <w:p w14:paraId="56BBD230">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甲方（需方）：</w:t>
      </w:r>
    </w:p>
    <w:p w14:paraId="02990657">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乙方（供方）：</w:t>
      </w:r>
    </w:p>
    <w:p w14:paraId="2122835E">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default"/>
          <w:b w:val="0"/>
          <w:bCs w:val="0"/>
          <w:color w:val="auto"/>
          <w:sz w:val="28"/>
          <w:szCs w:val="28"/>
          <w:highlight w:val="none"/>
          <w:u w:val="none"/>
          <w:lang w:val="en-US" w:eastAsia="zh-CN"/>
        </w:rPr>
      </w:pPr>
      <w:r>
        <w:rPr>
          <w:rFonts w:hint="eastAsia"/>
          <w:b w:val="0"/>
          <w:bCs w:val="0"/>
          <w:color w:val="auto"/>
          <w:sz w:val="28"/>
          <w:szCs w:val="28"/>
          <w:highlight w:val="none"/>
          <w:u w:val="none"/>
          <w:lang w:val="en-US" w:eastAsia="zh-CN"/>
        </w:rPr>
        <w:t>签订日期：</w:t>
      </w:r>
      <w:r>
        <w:rPr>
          <w:rFonts w:hint="eastAsia" w:ascii="宋体" w:hAnsi="宋体" w:eastAsia="宋体" w:cs="宋体"/>
          <w:b w:val="0"/>
          <w:bCs w:val="0"/>
          <w:color w:val="auto"/>
          <w:sz w:val="28"/>
          <w:szCs w:val="28"/>
          <w:highlight w:val="none"/>
          <w:u w:val="none"/>
          <w:lang w:val="en-US" w:eastAsia="zh-CN"/>
        </w:rPr>
        <w:t>202</w:t>
      </w:r>
      <w:r>
        <w:rPr>
          <w:rFonts w:hint="eastAsia" w:ascii="宋体" w:hAnsi="宋体" w:eastAsia="宋体" w:cs="宋体"/>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年</w:t>
      </w:r>
      <w:r>
        <w:rPr>
          <w:rFonts w:hint="eastAsia"/>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月</w:t>
      </w:r>
      <w:r>
        <w:rPr>
          <w:rFonts w:hint="eastAsia"/>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日</w:t>
      </w:r>
    </w:p>
    <w:p w14:paraId="0E5BDDB5">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default"/>
          <w:b w:val="0"/>
          <w:bCs w:val="0"/>
          <w:color w:val="auto"/>
          <w:sz w:val="28"/>
          <w:szCs w:val="28"/>
          <w:highlight w:val="none"/>
          <w:u w:val="none"/>
          <w:lang w:val="en-US" w:eastAsia="zh-CN"/>
        </w:rPr>
      </w:pPr>
      <w:r>
        <w:rPr>
          <w:rFonts w:hint="eastAsia"/>
          <w:b w:val="0"/>
          <w:bCs w:val="0"/>
          <w:color w:val="auto"/>
          <w:sz w:val="28"/>
          <w:szCs w:val="28"/>
          <w:highlight w:val="none"/>
          <w:u w:val="none"/>
          <w:lang w:val="en-US" w:eastAsia="zh-CN"/>
        </w:rPr>
        <w:t>签订地点：广东东莞南城。</w:t>
      </w:r>
    </w:p>
    <w:p w14:paraId="1C73FC26">
      <w:pPr>
        <w:pageBreakBefore w:val="0"/>
        <w:wordWrap/>
        <w:topLinePunct w:val="0"/>
        <w:bidi w:val="0"/>
        <w:spacing w:line="360" w:lineRule="auto"/>
        <w:jc w:val="both"/>
        <w:rPr>
          <w:rFonts w:hint="default" w:eastAsia="宋体"/>
          <w:color w:val="auto"/>
          <w:highlight w:val="none"/>
          <w:lang w:val="en-US" w:eastAsia="zh-CN"/>
        </w:rPr>
      </w:pPr>
    </w:p>
    <w:p w14:paraId="42AF2F8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2"/>
          <w:sz w:val="32"/>
          <w:szCs w:val="32"/>
          <w:highlight w:val="none"/>
          <w:u w:val="none"/>
          <w:lang w:val="en-US" w:eastAsia="zh-CN" w:bidi="ar-SA"/>
        </w:rPr>
        <w:sectPr>
          <w:headerReference r:id="rId3" w:type="default"/>
          <w:footerReference r:id="rId4" w:type="default"/>
          <w:pgSz w:w="11906" w:h="16838"/>
          <w:pgMar w:top="1440" w:right="846" w:bottom="898" w:left="102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p>
    <w:p w14:paraId="42E0C4D7">
      <w:pPr>
        <w:pageBreakBefore w:val="0"/>
        <w:wordWrap/>
        <w:topLinePunct w:val="0"/>
        <w:bidi w:val="0"/>
        <w:spacing w:before="0" w:beforeLines="0" w:after="0" w:afterLines="0" w:line="360" w:lineRule="auto"/>
        <w:ind w:left="0" w:leftChars="0" w:right="0" w:rightChars="0" w:firstLine="0" w:firstLineChars="0"/>
        <w:jc w:val="center"/>
        <w:rPr>
          <w:b/>
          <w:bCs/>
          <w:color w:val="auto"/>
          <w:sz w:val="28"/>
          <w:szCs w:val="28"/>
          <w:highlight w:val="none"/>
        </w:rPr>
      </w:pPr>
      <w:r>
        <w:rPr>
          <w:rFonts w:ascii="宋体" w:hAnsi="宋体" w:eastAsia="宋体"/>
          <w:b/>
          <w:bCs/>
          <w:color w:val="auto"/>
          <w:sz w:val="28"/>
          <w:szCs w:val="28"/>
          <w:highlight w:val="none"/>
        </w:rPr>
        <w:t>目录</w:t>
      </w:r>
    </w:p>
    <w:p w14:paraId="7D23E914">
      <w:pPr>
        <w:pStyle w:val="7"/>
        <w:tabs>
          <w:tab w:val="right" w:leader="dot" w:pos="10206"/>
        </w:tabs>
        <w:rPr>
          <w:color w:val="auto"/>
          <w:highlight w:val="none"/>
        </w:rPr>
      </w:pPr>
      <w:bookmarkStart w:id="0" w:name="_Toc14412"/>
      <w:bookmarkStart w:id="1" w:name="_Toc17662"/>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TOC \o "1-1" \h \u </w:instrText>
      </w:r>
      <w:r>
        <w:rPr>
          <w:rFonts w:hint="eastAsia" w:cs="仿宋"/>
          <w:bCs/>
          <w:color w:val="auto"/>
          <w:kern w:val="2"/>
          <w:szCs w:val="28"/>
          <w:highlight w:val="none"/>
          <w:lang w:val="en-US" w:eastAsia="zh-CN" w:bidi="ar-SA"/>
        </w:rPr>
        <w:fldChar w:fldCharType="separate"/>
      </w: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_Toc17474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kern w:val="2"/>
          <w:szCs w:val="28"/>
          <w:highlight w:val="none"/>
          <w:lang w:val="en-US" w:eastAsia="zh-CN" w:bidi="ar-SA"/>
        </w:rPr>
        <w:t>第一章、</w:t>
      </w:r>
      <w:r>
        <w:rPr>
          <w:rFonts w:hint="eastAsia" w:ascii="仿宋" w:hAnsi="仿宋" w:eastAsia="仿宋" w:cs="仿宋"/>
          <w:bCs/>
          <w:color w:val="auto"/>
          <w:szCs w:val="28"/>
          <w:highlight w:val="none"/>
        </w:rPr>
        <w:t>产品内容</w:t>
      </w:r>
      <w:r>
        <w:rPr>
          <w:rFonts w:hint="eastAsia" w:ascii="仿宋" w:hAnsi="仿宋" w:eastAsia="仿宋" w:cs="仿宋"/>
          <w:bCs/>
          <w:color w:val="auto"/>
          <w:szCs w:val="28"/>
          <w:highlight w:val="none"/>
          <w:lang w:val="en-US" w:eastAsia="zh-CN"/>
        </w:rPr>
        <w:t>及合同价款</w:t>
      </w:r>
      <w:r>
        <w:rPr>
          <w:color w:val="auto"/>
          <w:highlight w:val="none"/>
        </w:rPr>
        <w:tab/>
      </w:r>
      <w:r>
        <w:rPr>
          <w:color w:val="auto"/>
          <w:highlight w:val="none"/>
        </w:rPr>
        <w:fldChar w:fldCharType="begin"/>
      </w:r>
      <w:r>
        <w:rPr>
          <w:color w:val="auto"/>
          <w:highlight w:val="none"/>
        </w:rPr>
        <w:instrText xml:space="preserve"> PAGEREF _Toc17474 \h </w:instrText>
      </w:r>
      <w:r>
        <w:rPr>
          <w:color w:val="auto"/>
          <w:highlight w:val="none"/>
        </w:rPr>
        <w:fldChar w:fldCharType="separate"/>
      </w:r>
      <w:r>
        <w:rPr>
          <w:color w:val="auto"/>
          <w:highlight w:val="none"/>
        </w:rPr>
        <w:t>3</w:t>
      </w:r>
      <w:r>
        <w:rPr>
          <w:color w:val="auto"/>
          <w:highlight w:val="none"/>
        </w:rPr>
        <w:fldChar w:fldCharType="end"/>
      </w:r>
      <w:r>
        <w:rPr>
          <w:rFonts w:hint="eastAsia" w:cs="仿宋"/>
          <w:bCs/>
          <w:color w:val="auto"/>
          <w:kern w:val="2"/>
          <w:szCs w:val="28"/>
          <w:highlight w:val="none"/>
          <w:lang w:val="en-US" w:eastAsia="zh-CN" w:bidi="ar-SA"/>
        </w:rPr>
        <w:fldChar w:fldCharType="end"/>
      </w:r>
    </w:p>
    <w:p w14:paraId="2F79A255">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_Toc32399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第二章、</w:t>
      </w:r>
      <w:r>
        <w:rPr>
          <w:rFonts w:hint="eastAsia" w:ascii="仿宋" w:hAnsi="仿宋" w:eastAsia="仿宋" w:cs="仿宋"/>
          <w:bCs/>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_Toc32399 \h </w:instrText>
      </w:r>
      <w:r>
        <w:rPr>
          <w:color w:val="auto"/>
          <w:highlight w:val="none"/>
        </w:rPr>
        <w:fldChar w:fldCharType="separate"/>
      </w:r>
      <w:r>
        <w:rPr>
          <w:color w:val="auto"/>
          <w:highlight w:val="none"/>
        </w:rPr>
        <w:t>4</w:t>
      </w:r>
      <w:r>
        <w:rPr>
          <w:color w:val="auto"/>
          <w:highlight w:val="none"/>
        </w:rPr>
        <w:fldChar w:fldCharType="end"/>
      </w:r>
      <w:r>
        <w:rPr>
          <w:rFonts w:hint="eastAsia" w:cs="仿宋"/>
          <w:bCs/>
          <w:color w:val="auto"/>
          <w:kern w:val="2"/>
          <w:szCs w:val="28"/>
          <w:highlight w:val="none"/>
          <w:lang w:val="en-US" w:eastAsia="zh-CN" w:bidi="ar-SA"/>
        </w:rPr>
        <w:fldChar w:fldCharType="end"/>
      </w:r>
    </w:p>
    <w:p w14:paraId="51E31751">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_Toc20399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第三章、产品</w:t>
      </w:r>
      <w:r>
        <w:rPr>
          <w:rFonts w:hint="eastAsia" w:ascii="仿宋" w:hAnsi="仿宋" w:eastAsia="仿宋" w:cs="仿宋"/>
          <w:bCs/>
          <w:color w:val="auto"/>
          <w:highlight w:val="none"/>
        </w:rPr>
        <w:t>质量</w:t>
      </w:r>
      <w:r>
        <w:rPr>
          <w:rFonts w:hint="eastAsia" w:ascii="仿宋" w:hAnsi="仿宋" w:eastAsia="仿宋" w:cs="仿宋"/>
          <w:bCs/>
          <w:color w:val="auto"/>
          <w:highlight w:val="none"/>
          <w:lang w:val="en-US" w:eastAsia="zh-CN"/>
        </w:rPr>
        <w:t>及包装要求</w:t>
      </w:r>
      <w:r>
        <w:rPr>
          <w:color w:val="auto"/>
          <w:highlight w:val="none"/>
        </w:rPr>
        <w:tab/>
      </w:r>
      <w:r>
        <w:rPr>
          <w:color w:val="auto"/>
          <w:highlight w:val="none"/>
        </w:rPr>
        <w:fldChar w:fldCharType="begin"/>
      </w:r>
      <w:r>
        <w:rPr>
          <w:color w:val="auto"/>
          <w:highlight w:val="none"/>
        </w:rPr>
        <w:instrText xml:space="preserve"> PAGEREF _Toc20399 \h </w:instrText>
      </w:r>
      <w:r>
        <w:rPr>
          <w:color w:val="auto"/>
          <w:highlight w:val="none"/>
        </w:rPr>
        <w:fldChar w:fldCharType="separate"/>
      </w:r>
      <w:r>
        <w:rPr>
          <w:color w:val="auto"/>
          <w:highlight w:val="none"/>
        </w:rPr>
        <w:t>8</w:t>
      </w:r>
      <w:r>
        <w:rPr>
          <w:color w:val="auto"/>
          <w:highlight w:val="none"/>
        </w:rPr>
        <w:fldChar w:fldCharType="end"/>
      </w:r>
      <w:r>
        <w:rPr>
          <w:rFonts w:hint="eastAsia" w:cs="仿宋"/>
          <w:bCs/>
          <w:color w:val="auto"/>
          <w:kern w:val="2"/>
          <w:szCs w:val="28"/>
          <w:highlight w:val="none"/>
          <w:lang w:val="en-US" w:eastAsia="zh-CN" w:bidi="ar-SA"/>
        </w:rPr>
        <w:fldChar w:fldCharType="end"/>
      </w:r>
    </w:p>
    <w:p w14:paraId="61341B44">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_Toc19751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第四章、</w:t>
      </w:r>
      <w:r>
        <w:rPr>
          <w:rFonts w:hint="eastAsia" w:ascii="仿宋" w:hAnsi="仿宋" w:eastAsia="仿宋" w:cs="仿宋"/>
          <w:bCs/>
          <w:color w:val="auto"/>
          <w:highlight w:val="none"/>
          <w:lang w:eastAsia="zh-CN"/>
        </w:rPr>
        <w:t>订货、</w:t>
      </w:r>
      <w:r>
        <w:rPr>
          <w:rFonts w:hint="eastAsia" w:ascii="仿宋" w:hAnsi="仿宋" w:eastAsia="仿宋" w:cs="仿宋"/>
          <w:bCs/>
          <w:color w:val="auto"/>
          <w:highlight w:val="none"/>
        </w:rPr>
        <w:t>交货</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验收</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包装物</w:t>
      </w:r>
      <w:r>
        <w:rPr>
          <w:rFonts w:hint="eastAsia" w:ascii="仿宋" w:hAnsi="仿宋" w:eastAsia="仿宋" w:cs="仿宋"/>
          <w:bCs/>
          <w:color w:val="auto"/>
          <w:highlight w:val="none"/>
          <w:lang w:eastAsia="zh-CN"/>
        </w:rPr>
        <w:t>及保修</w:t>
      </w:r>
      <w:r>
        <w:rPr>
          <w:color w:val="auto"/>
          <w:highlight w:val="none"/>
        </w:rPr>
        <w:tab/>
      </w:r>
      <w:r>
        <w:rPr>
          <w:color w:val="auto"/>
          <w:highlight w:val="none"/>
        </w:rPr>
        <w:fldChar w:fldCharType="begin"/>
      </w:r>
      <w:r>
        <w:rPr>
          <w:color w:val="auto"/>
          <w:highlight w:val="none"/>
        </w:rPr>
        <w:instrText xml:space="preserve"> PAGEREF _Toc19751 \h </w:instrText>
      </w:r>
      <w:r>
        <w:rPr>
          <w:color w:val="auto"/>
          <w:highlight w:val="none"/>
        </w:rPr>
        <w:fldChar w:fldCharType="separate"/>
      </w:r>
      <w:r>
        <w:rPr>
          <w:color w:val="auto"/>
          <w:highlight w:val="none"/>
        </w:rPr>
        <w:t>8</w:t>
      </w:r>
      <w:r>
        <w:rPr>
          <w:color w:val="auto"/>
          <w:highlight w:val="none"/>
        </w:rPr>
        <w:fldChar w:fldCharType="end"/>
      </w:r>
      <w:r>
        <w:rPr>
          <w:rFonts w:hint="eastAsia" w:cs="仿宋"/>
          <w:bCs/>
          <w:color w:val="auto"/>
          <w:kern w:val="2"/>
          <w:szCs w:val="28"/>
          <w:highlight w:val="none"/>
          <w:lang w:val="en-US" w:eastAsia="zh-CN" w:bidi="ar-SA"/>
        </w:rPr>
        <w:fldChar w:fldCharType="end"/>
      </w:r>
    </w:p>
    <w:p w14:paraId="71F66765">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_Toc28514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第五章</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违约责任</w:t>
      </w:r>
      <w:r>
        <w:rPr>
          <w:color w:val="auto"/>
          <w:highlight w:val="none"/>
        </w:rPr>
        <w:tab/>
      </w:r>
      <w:r>
        <w:rPr>
          <w:color w:val="auto"/>
          <w:highlight w:val="none"/>
        </w:rPr>
        <w:fldChar w:fldCharType="begin"/>
      </w:r>
      <w:r>
        <w:rPr>
          <w:color w:val="auto"/>
          <w:highlight w:val="none"/>
        </w:rPr>
        <w:instrText xml:space="preserve"> PAGEREF _Toc28514 \h </w:instrText>
      </w:r>
      <w:r>
        <w:rPr>
          <w:color w:val="auto"/>
          <w:highlight w:val="none"/>
        </w:rPr>
        <w:fldChar w:fldCharType="separate"/>
      </w:r>
      <w:r>
        <w:rPr>
          <w:color w:val="auto"/>
          <w:highlight w:val="none"/>
        </w:rPr>
        <w:t>13</w:t>
      </w:r>
      <w:r>
        <w:rPr>
          <w:color w:val="auto"/>
          <w:highlight w:val="none"/>
        </w:rPr>
        <w:fldChar w:fldCharType="end"/>
      </w:r>
      <w:r>
        <w:rPr>
          <w:rFonts w:hint="eastAsia" w:cs="仿宋"/>
          <w:bCs/>
          <w:color w:val="auto"/>
          <w:kern w:val="2"/>
          <w:szCs w:val="28"/>
          <w:highlight w:val="none"/>
          <w:lang w:val="en-US" w:eastAsia="zh-CN" w:bidi="ar-SA"/>
        </w:rPr>
        <w:fldChar w:fldCharType="end"/>
      </w:r>
    </w:p>
    <w:p w14:paraId="03905240">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_Toc12600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第六章</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廉洁条款</w:t>
      </w:r>
      <w:r>
        <w:rPr>
          <w:color w:val="auto"/>
          <w:highlight w:val="none"/>
        </w:rPr>
        <w:tab/>
      </w:r>
      <w:r>
        <w:rPr>
          <w:color w:val="auto"/>
          <w:highlight w:val="none"/>
        </w:rPr>
        <w:fldChar w:fldCharType="begin"/>
      </w:r>
      <w:r>
        <w:rPr>
          <w:color w:val="auto"/>
          <w:highlight w:val="none"/>
        </w:rPr>
        <w:instrText xml:space="preserve"> PAGEREF _Toc12600 \h </w:instrText>
      </w:r>
      <w:r>
        <w:rPr>
          <w:color w:val="auto"/>
          <w:highlight w:val="none"/>
        </w:rPr>
        <w:fldChar w:fldCharType="separate"/>
      </w:r>
      <w:r>
        <w:rPr>
          <w:color w:val="auto"/>
          <w:highlight w:val="none"/>
        </w:rPr>
        <w:t>15</w:t>
      </w:r>
      <w:r>
        <w:rPr>
          <w:color w:val="auto"/>
          <w:highlight w:val="none"/>
        </w:rPr>
        <w:fldChar w:fldCharType="end"/>
      </w:r>
      <w:r>
        <w:rPr>
          <w:rFonts w:hint="eastAsia" w:cs="仿宋"/>
          <w:bCs/>
          <w:color w:val="auto"/>
          <w:kern w:val="2"/>
          <w:szCs w:val="28"/>
          <w:highlight w:val="none"/>
          <w:lang w:val="en-US" w:eastAsia="zh-CN" w:bidi="ar-SA"/>
        </w:rPr>
        <w:fldChar w:fldCharType="end"/>
      </w:r>
    </w:p>
    <w:p w14:paraId="57E8819A">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_Toc18645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第七章</w:t>
      </w:r>
      <w:r>
        <w:rPr>
          <w:rFonts w:hint="eastAsia" w:ascii="仿宋" w:hAnsi="仿宋" w:eastAsia="仿宋" w:cs="仿宋"/>
          <w:bCs/>
          <w:color w:val="auto"/>
          <w:highlight w:val="none"/>
          <w:lang w:eastAsia="zh-CN"/>
        </w:rPr>
        <w:t>、其他</w:t>
      </w:r>
      <w:r>
        <w:rPr>
          <w:color w:val="auto"/>
          <w:highlight w:val="none"/>
        </w:rPr>
        <w:tab/>
      </w:r>
      <w:r>
        <w:rPr>
          <w:color w:val="auto"/>
          <w:highlight w:val="none"/>
        </w:rPr>
        <w:fldChar w:fldCharType="begin"/>
      </w:r>
      <w:r>
        <w:rPr>
          <w:color w:val="auto"/>
          <w:highlight w:val="none"/>
        </w:rPr>
        <w:instrText xml:space="preserve"> PAGEREF _Toc18645 \h </w:instrText>
      </w:r>
      <w:r>
        <w:rPr>
          <w:color w:val="auto"/>
          <w:highlight w:val="none"/>
        </w:rPr>
        <w:fldChar w:fldCharType="separate"/>
      </w:r>
      <w:r>
        <w:rPr>
          <w:color w:val="auto"/>
          <w:highlight w:val="none"/>
        </w:rPr>
        <w:t>15</w:t>
      </w:r>
      <w:r>
        <w:rPr>
          <w:color w:val="auto"/>
          <w:highlight w:val="none"/>
        </w:rPr>
        <w:fldChar w:fldCharType="end"/>
      </w:r>
      <w:r>
        <w:rPr>
          <w:rFonts w:hint="eastAsia" w:cs="仿宋"/>
          <w:bCs/>
          <w:color w:val="auto"/>
          <w:kern w:val="2"/>
          <w:szCs w:val="28"/>
          <w:highlight w:val="none"/>
          <w:lang w:val="en-US" w:eastAsia="zh-CN" w:bidi="ar-SA"/>
        </w:rPr>
        <w:fldChar w:fldCharType="end"/>
      </w:r>
    </w:p>
    <w:p w14:paraId="1A1A1EF9">
      <w:pPr>
        <w:pStyle w:val="7"/>
        <w:pageBreakBefore w:val="0"/>
        <w:tabs>
          <w:tab w:val="right" w:leader="dot" w:pos="10206"/>
        </w:tabs>
        <w:wordWrap/>
        <w:topLinePunct w:val="0"/>
        <w:bidi w:val="0"/>
        <w:spacing w:line="360" w:lineRule="auto"/>
        <w:jc w:val="center"/>
        <w:rPr>
          <w:rFonts w:hint="eastAsia" w:cs="仿宋"/>
          <w:bCs/>
          <w:color w:val="auto"/>
          <w:kern w:val="2"/>
          <w:szCs w:val="28"/>
          <w:highlight w:val="none"/>
          <w:lang w:val="en-US" w:eastAsia="zh-CN" w:bidi="ar-SA"/>
        </w:rPr>
      </w:pPr>
      <w:r>
        <w:rPr>
          <w:rFonts w:hint="eastAsia" w:cs="仿宋"/>
          <w:bCs/>
          <w:color w:val="auto"/>
          <w:kern w:val="2"/>
          <w:szCs w:val="28"/>
          <w:highlight w:val="none"/>
          <w:lang w:val="en-US" w:eastAsia="zh-CN" w:bidi="ar-SA"/>
        </w:rPr>
        <w:fldChar w:fldCharType="end"/>
      </w:r>
      <w:bookmarkEnd w:id="0"/>
      <w:bookmarkEnd w:id="1"/>
    </w:p>
    <w:p w14:paraId="7646471A">
      <w:pPr>
        <w:rPr>
          <w:rFonts w:hint="eastAsia"/>
          <w:lang w:eastAsia="zh-CN"/>
        </w:rPr>
      </w:pPr>
    </w:p>
    <w:p w14:paraId="19B7ECC4">
      <w:pPr>
        <w:rPr>
          <w:rFonts w:hint="eastAsia"/>
          <w:lang w:eastAsia="zh-CN"/>
        </w:rPr>
      </w:pPr>
    </w:p>
    <w:p w14:paraId="249A48E1">
      <w:pPr>
        <w:rPr>
          <w:rFonts w:hint="eastAsia"/>
          <w:lang w:eastAsia="zh-CN"/>
        </w:rPr>
      </w:pPr>
    </w:p>
    <w:p w14:paraId="5F276DA5">
      <w:pPr>
        <w:rPr>
          <w:rFonts w:hint="eastAsia"/>
          <w:lang w:eastAsia="zh-CN"/>
        </w:rPr>
      </w:pPr>
    </w:p>
    <w:p w14:paraId="4016ECD4">
      <w:pPr>
        <w:rPr>
          <w:rFonts w:hint="eastAsia"/>
          <w:lang w:eastAsia="zh-CN"/>
        </w:rPr>
      </w:pPr>
    </w:p>
    <w:p w14:paraId="44D68B67">
      <w:pPr>
        <w:rPr>
          <w:rFonts w:hint="eastAsia"/>
          <w:lang w:eastAsia="zh-CN"/>
        </w:rPr>
      </w:pPr>
    </w:p>
    <w:p w14:paraId="6EAA4533">
      <w:pPr>
        <w:rPr>
          <w:rFonts w:hint="eastAsia"/>
          <w:lang w:eastAsia="zh-CN"/>
        </w:rPr>
      </w:pPr>
    </w:p>
    <w:p w14:paraId="5DF0E639">
      <w:pPr>
        <w:rPr>
          <w:rFonts w:hint="eastAsia"/>
          <w:lang w:eastAsia="zh-CN"/>
        </w:rPr>
      </w:pPr>
    </w:p>
    <w:p w14:paraId="3CE40952">
      <w:pPr>
        <w:rPr>
          <w:rFonts w:hint="eastAsia"/>
          <w:lang w:eastAsia="zh-CN"/>
        </w:rPr>
      </w:pPr>
    </w:p>
    <w:p w14:paraId="03E2432A">
      <w:pPr>
        <w:rPr>
          <w:rFonts w:hint="eastAsia"/>
          <w:lang w:eastAsia="zh-CN"/>
        </w:rPr>
      </w:pPr>
    </w:p>
    <w:p w14:paraId="675142DF">
      <w:pPr>
        <w:rPr>
          <w:rFonts w:hint="eastAsia"/>
          <w:lang w:eastAsia="zh-CN"/>
        </w:rPr>
      </w:pPr>
    </w:p>
    <w:p w14:paraId="55ACB191">
      <w:pPr>
        <w:rPr>
          <w:rFonts w:hint="eastAsia"/>
          <w:lang w:eastAsia="zh-CN"/>
        </w:rPr>
      </w:pPr>
    </w:p>
    <w:p w14:paraId="5ED48A6D">
      <w:pPr>
        <w:rPr>
          <w:rFonts w:hint="eastAsia"/>
          <w:lang w:eastAsia="zh-CN"/>
        </w:rPr>
      </w:pPr>
    </w:p>
    <w:p w14:paraId="7C8889D8">
      <w:pPr>
        <w:rPr>
          <w:rFonts w:hint="eastAsia"/>
          <w:lang w:eastAsia="zh-CN"/>
        </w:rPr>
      </w:pPr>
    </w:p>
    <w:p w14:paraId="208C9C08">
      <w:pPr>
        <w:rPr>
          <w:rFonts w:hint="eastAsia"/>
          <w:lang w:eastAsia="zh-CN"/>
        </w:rPr>
      </w:pPr>
    </w:p>
    <w:p w14:paraId="24B27850">
      <w:pPr>
        <w:rPr>
          <w:rFonts w:hint="eastAsia"/>
          <w:lang w:eastAsia="zh-CN"/>
        </w:rPr>
      </w:pPr>
    </w:p>
    <w:p w14:paraId="013FF976">
      <w:pPr>
        <w:rPr>
          <w:rFonts w:hint="eastAsia"/>
          <w:lang w:eastAsia="zh-CN"/>
        </w:rPr>
      </w:pPr>
    </w:p>
    <w:p w14:paraId="63A63197">
      <w:pPr>
        <w:rPr>
          <w:rFonts w:hint="eastAsia"/>
          <w:lang w:eastAsia="zh-CN"/>
        </w:rPr>
      </w:pPr>
    </w:p>
    <w:p w14:paraId="04C1E7BF">
      <w:pPr>
        <w:rPr>
          <w:rFonts w:hint="eastAsia"/>
          <w:lang w:eastAsia="zh-CN"/>
        </w:rPr>
      </w:pPr>
    </w:p>
    <w:p w14:paraId="5B13B779">
      <w:pPr>
        <w:rPr>
          <w:rFonts w:hint="eastAsia"/>
          <w:lang w:eastAsia="zh-CN"/>
        </w:rPr>
      </w:pPr>
    </w:p>
    <w:p w14:paraId="386E6D9A">
      <w:pPr>
        <w:rPr>
          <w:rFonts w:hint="eastAsia"/>
          <w:lang w:eastAsia="zh-CN"/>
        </w:rPr>
      </w:pPr>
    </w:p>
    <w:p w14:paraId="589A2A5B">
      <w:pPr>
        <w:rPr>
          <w:rFonts w:hint="eastAsia"/>
          <w:lang w:eastAsia="zh-CN"/>
        </w:rPr>
      </w:pPr>
    </w:p>
    <w:p w14:paraId="7AFB94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甲、乙双方在平等、自愿、公平和诚实守信的原则上，依据《中华人民共和国民法典》《中华人民共和国产品质量法》及其他有关法律法规，就拟用于“</w:t>
      </w:r>
      <w:r>
        <w:rPr>
          <w:rFonts w:hint="eastAsia" w:ascii="仿宋" w:hAnsi="仿宋" w:eastAsia="仿宋" w:cs="仿宋"/>
          <w:b w:val="0"/>
          <w:bCs w:val="0"/>
          <w:color w:val="auto"/>
          <w:kern w:val="2"/>
          <w:sz w:val="28"/>
          <w:szCs w:val="28"/>
          <w:highlight w:val="none"/>
          <w:u w:val="single"/>
          <w:lang w:val="en-US" w:eastAsia="zh-CN" w:bidi="ar-SA"/>
        </w:rPr>
        <w:t>南京现代表面处理科技产业中心项目A地块”（以下简称“本项目”）临建工程</w:t>
      </w:r>
      <w:r>
        <w:rPr>
          <w:rFonts w:hint="eastAsia" w:ascii="仿宋" w:hAnsi="仿宋" w:eastAsia="仿宋" w:cs="仿宋"/>
          <w:b w:val="0"/>
          <w:bCs w:val="0"/>
          <w:color w:val="auto"/>
          <w:kern w:val="2"/>
          <w:sz w:val="28"/>
          <w:szCs w:val="28"/>
          <w:highlight w:val="none"/>
          <w:u w:val="none"/>
          <w:lang w:val="en-US" w:eastAsia="zh-CN" w:bidi="ar-SA"/>
        </w:rPr>
        <w:t>的</w:t>
      </w:r>
      <w:r>
        <w:rPr>
          <w:rFonts w:hint="eastAsia" w:ascii="仿宋" w:hAnsi="仿宋" w:eastAsia="仿宋" w:cs="仿宋"/>
          <w:b w:val="0"/>
          <w:bCs w:val="0"/>
          <w:color w:val="auto"/>
          <w:kern w:val="2"/>
          <w:sz w:val="28"/>
          <w:szCs w:val="28"/>
          <w:highlight w:val="none"/>
          <w:u w:val="single"/>
          <w:lang w:val="en-US" w:eastAsia="zh-CN" w:bidi="ar-SA"/>
        </w:rPr>
        <w:t>电线电缆</w:t>
      </w:r>
      <w:r>
        <w:rPr>
          <w:rFonts w:hint="eastAsia" w:ascii="仿宋" w:hAnsi="仿宋" w:eastAsia="仿宋" w:cs="仿宋"/>
          <w:b w:val="0"/>
          <w:bCs w:val="0"/>
          <w:color w:val="auto"/>
          <w:kern w:val="2"/>
          <w:sz w:val="28"/>
          <w:szCs w:val="28"/>
          <w:highlight w:val="none"/>
          <w:u w:val="none"/>
          <w:lang w:val="en-US" w:eastAsia="zh-CN" w:bidi="ar-SA"/>
        </w:rPr>
        <w:t>（以下简称“产品”）</w:t>
      </w:r>
      <w:r>
        <w:rPr>
          <w:rFonts w:hint="eastAsia" w:ascii="仿宋" w:hAnsi="仿宋" w:eastAsia="仿宋" w:cs="仿宋"/>
          <w:b w:val="0"/>
          <w:bCs w:val="0"/>
          <w:color w:val="auto"/>
          <w:kern w:val="2"/>
          <w:sz w:val="28"/>
          <w:szCs w:val="28"/>
          <w:highlight w:val="none"/>
          <w:u w:val="single"/>
          <w:lang w:val="en-US" w:eastAsia="zh-CN" w:bidi="ar-SA"/>
        </w:rPr>
        <w:t xml:space="preserve"> 购销 </w:t>
      </w:r>
      <w:r>
        <w:rPr>
          <w:rFonts w:hint="eastAsia" w:ascii="仿宋" w:hAnsi="仿宋" w:eastAsia="仿宋" w:cs="仿宋"/>
          <w:b w:val="0"/>
          <w:bCs w:val="0"/>
          <w:color w:val="auto"/>
          <w:kern w:val="2"/>
          <w:sz w:val="28"/>
          <w:szCs w:val="28"/>
          <w:highlight w:val="none"/>
          <w:u w:val="none"/>
          <w:lang w:val="en-US" w:eastAsia="zh-CN" w:bidi="ar-SA"/>
        </w:rPr>
        <w:t>事宜协商一致，特签订本合同。（本合同范围内，对以</w:t>
      </w:r>
      <w:r>
        <w:rPr>
          <w:rFonts w:hint="eastAsia" w:ascii="仿宋" w:hAnsi="仿宋" w:eastAsia="仿宋" w:cs="仿宋"/>
          <w:b w:val="0"/>
          <w:bCs w:val="0"/>
          <w:color w:val="auto"/>
          <w:kern w:val="2"/>
          <w:sz w:val="28"/>
          <w:szCs w:val="28"/>
          <w:highlight w:val="none"/>
          <w:u w:val="none"/>
          <w:lang w:val="en-US" w:eastAsia="zh-CN" w:bidi="ar-SA"/>
        </w:rPr>
        <w:sym w:font="Wingdings 2" w:char="00A3"/>
      </w:r>
      <w:r>
        <w:rPr>
          <w:rFonts w:hint="eastAsia" w:ascii="仿宋" w:hAnsi="仿宋" w:eastAsia="仿宋" w:cs="仿宋"/>
          <w:b w:val="0"/>
          <w:bCs w:val="0"/>
          <w:color w:val="auto"/>
          <w:kern w:val="2"/>
          <w:sz w:val="28"/>
          <w:szCs w:val="28"/>
          <w:highlight w:val="none"/>
          <w:u w:val="none"/>
          <w:lang w:val="en-US" w:eastAsia="zh-CN" w:bidi="ar-SA"/>
        </w:rPr>
        <w:t>或</w:t>
      </w:r>
      <w:r>
        <w:rPr>
          <w:rFonts w:hint="eastAsia" w:ascii="仿宋" w:hAnsi="仿宋" w:eastAsia="仿宋" w:cs="仿宋"/>
          <w:b w:val="0"/>
          <w:bCs w:val="0"/>
          <w:color w:val="auto"/>
          <w:kern w:val="2"/>
          <w:sz w:val="28"/>
          <w:szCs w:val="28"/>
          <w:highlight w:val="none"/>
          <w:u w:val="none"/>
          <w:lang w:val="en-US" w:eastAsia="zh-CN" w:bidi="ar-SA"/>
        </w:rPr>
        <w:sym w:font="Wingdings 2" w:char="0052"/>
      </w:r>
      <w:r>
        <w:rPr>
          <w:rFonts w:hint="eastAsia" w:ascii="仿宋" w:hAnsi="仿宋" w:eastAsia="仿宋" w:cs="仿宋"/>
          <w:b w:val="0"/>
          <w:bCs w:val="0"/>
          <w:color w:val="auto"/>
          <w:kern w:val="2"/>
          <w:sz w:val="28"/>
          <w:szCs w:val="28"/>
          <w:highlight w:val="none"/>
          <w:u w:val="none"/>
          <w:lang w:val="en-US" w:eastAsia="zh-CN" w:bidi="ar-SA"/>
        </w:rPr>
        <w:t>开头的内容，以</w:t>
      </w:r>
      <w:r>
        <w:rPr>
          <w:rFonts w:hint="eastAsia" w:ascii="仿宋" w:hAnsi="仿宋" w:eastAsia="仿宋" w:cs="仿宋"/>
          <w:b w:val="0"/>
          <w:bCs w:val="0"/>
          <w:color w:val="auto"/>
          <w:kern w:val="2"/>
          <w:sz w:val="28"/>
          <w:szCs w:val="28"/>
          <w:highlight w:val="none"/>
          <w:u w:val="none"/>
          <w:lang w:val="en-US" w:eastAsia="zh-CN" w:bidi="ar-SA"/>
        </w:rPr>
        <w:sym w:font="Wingdings 2" w:char="0052"/>
      </w:r>
      <w:r>
        <w:rPr>
          <w:rFonts w:hint="eastAsia" w:ascii="仿宋" w:hAnsi="仿宋" w:eastAsia="仿宋" w:cs="仿宋"/>
          <w:b w:val="0"/>
          <w:bCs w:val="0"/>
          <w:color w:val="auto"/>
          <w:kern w:val="2"/>
          <w:sz w:val="28"/>
          <w:szCs w:val="28"/>
          <w:highlight w:val="none"/>
          <w:u w:val="none"/>
          <w:lang w:val="en-US" w:eastAsia="zh-CN" w:bidi="ar-SA"/>
        </w:rPr>
        <w:t>开头的内容为准。）</w:t>
      </w:r>
      <w:r>
        <w:rPr>
          <w:rFonts w:hint="eastAsia" w:ascii="仿宋" w:hAnsi="仿宋" w:eastAsia="仿宋" w:cs="仿宋"/>
          <w:b w:val="0"/>
          <w:bCs w:val="0"/>
          <w:color w:val="auto"/>
          <w:kern w:val="2"/>
          <w:sz w:val="28"/>
          <w:szCs w:val="28"/>
          <w:highlight w:val="none"/>
          <w:u w:val="none"/>
          <w:lang w:val="en-US" w:eastAsia="zh-CN" w:bidi="ar-SA"/>
        </w:rPr>
        <w:tab/>
      </w:r>
    </w:p>
    <w:p w14:paraId="5E75578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szCs w:val="28"/>
          <w:highlight w:val="none"/>
        </w:rPr>
      </w:pPr>
      <w:bookmarkStart w:id="2" w:name="_Toc17291"/>
      <w:bookmarkStart w:id="3" w:name="_Toc30517"/>
      <w:bookmarkStart w:id="4" w:name="_Toc26009"/>
      <w:bookmarkStart w:id="5" w:name="_Toc17474"/>
      <w:r>
        <w:rPr>
          <w:rFonts w:hint="eastAsia" w:ascii="仿宋" w:hAnsi="仿宋" w:eastAsia="仿宋" w:cs="仿宋"/>
          <w:b/>
          <w:bCs/>
          <w:color w:val="auto"/>
          <w:kern w:val="2"/>
          <w:sz w:val="28"/>
          <w:szCs w:val="28"/>
          <w:highlight w:val="none"/>
          <w:u w:val="none"/>
          <w:lang w:val="en-US" w:eastAsia="zh-CN" w:bidi="ar-SA"/>
        </w:rPr>
        <w:t>第一章、</w:t>
      </w:r>
      <w:r>
        <w:rPr>
          <w:rFonts w:hint="eastAsia" w:ascii="仿宋" w:hAnsi="仿宋" w:eastAsia="仿宋" w:cs="仿宋"/>
          <w:b/>
          <w:bCs/>
          <w:color w:val="auto"/>
          <w:sz w:val="28"/>
          <w:szCs w:val="28"/>
          <w:highlight w:val="none"/>
        </w:rPr>
        <w:t>产品内容</w:t>
      </w:r>
      <w:bookmarkEnd w:id="2"/>
      <w:bookmarkEnd w:id="3"/>
      <w:bookmarkEnd w:id="4"/>
      <w:r>
        <w:rPr>
          <w:rFonts w:hint="eastAsia" w:ascii="仿宋" w:hAnsi="仿宋" w:eastAsia="仿宋" w:cs="仿宋"/>
          <w:b/>
          <w:bCs/>
          <w:color w:val="auto"/>
          <w:sz w:val="28"/>
          <w:szCs w:val="28"/>
          <w:highlight w:val="none"/>
          <w:lang w:val="en-US" w:eastAsia="zh-CN"/>
        </w:rPr>
        <w:t>及合同价款</w:t>
      </w:r>
      <w:bookmarkEnd w:id="5"/>
    </w:p>
    <w:tbl>
      <w:tblPr>
        <w:tblStyle w:val="10"/>
        <w:tblW w:w="50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880"/>
        <w:gridCol w:w="1211"/>
        <w:gridCol w:w="1032"/>
        <w:gridCol w:w="2987"/>
        <w:gridCol w:w="450"/>
        <w:gridCol w:w="869"/>
        <w:gridCol w:w="1037"/>
        <w:gridCol w:w="983"/>
        <w:gridCol w:w="678"/>
      </w:tblGrid>
      <w:tr w14:paraId="1DD1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10" w:type="pct"/>
            <w:noWrap w:val="0"/>
            <w:vAlign w:val="center"/>
          </w:tcPr>
          <w:p w14:paraId="2E08B5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序号</w:t>
            </w:r>
          </w:p>
        </w:tc>
        <w:tc>
          <w:tcPr>
            <w:tcW w:w="416" w:type="pct"/>
            <w:noWrap w:val="0"/>
            <w:vAlign w:val="center"/>
          </w:tcPr>
          <w:p w14:paraId="756B547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产品名称</w:t>
            </w:r>
          </w:p>
        </w:tc>
        <w:tc>
          <w:tcPr>
            <w:tcW w:w="572" w:type="pct"/>
            <w:noWrap w:val="0"/>
            <w:vAlign w:val="center"/>
          </w:tcPr>
          <w:p w14:paraId="66B7D3F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eastAsia="zh-CN"/>
              </w:rPr>
              <w:t>品牌、</w:t>
            </w:r>
            <w:r>
              <w:rPr>
                <w:rFonts w:hint="eastAsia" w:ascii="仿宋" w:hAnsi="仿宋" w:eastAsia="仿宋" w:cs="仿宋"/>
                <w:color w:val="auto"/>
                <w:sz w:val="28"/>
                <w:szCs w:val="28"/>
                <w:highlight w:val="none"/>
                <w:vertAlign w:val="baseline"/>
                <w:lang w:val="en-US" w:eastAsia="zh-CN"/>
              </w:rPr>
              <w:t>制造商、产地</w:t>
            </w:r>
          </w:p>
        </w:tc>
        <w:tc>
          <w:tcPr>
            <w:tcW w:w="1900" w:type="pct"/>
            <w:gridSpan w:val="2"/>
            <w:noWrap w:val="0"/>
            <w:vAlign w:val="center"/>
          </w:tcPr>
          <w:p w14:paraId="04773D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rPr>
            </w:pPr>
            <w:r>
              <w:rPr>
                <w:rFonts w:hint="eastAsia" w:ascii="仿宋" w:hAnsi="仿宋" w:eastAsia="仿宋" w:cs="仿宋"/>
                <w:color w:val="auto"/>
                <w:sz w:val="28"/>
                <w:szCs w:val="28"/>
                <w:highlight w:val="none"/>
                <w:vertAlign w:val="baseline"/>
                <w:lang w:eastAsia="zh-CN"/>
              </w:rPr>
              <w:t>型号、规格、</w:t>
            </w:r>
            <w:r>
              <w:rPr>
                <w:rFonts w:hint="eastAsia" w:ascii="仿宋" w:hAnsi="仿宋" w:eastAsia="仿宋" w:cs="仿宋"/>
                <w:color w:val="auto"/>
                <w:sz w:val="28"/>
                <w:szCs w:val="28"/>
                <w:highlight w:val="none"/>
                <w:vertAlign w:val="baseline"/>
                <w:lang w:val="en-US" w:eastAsia="zh-CN"/>
              </w:rPr>
              <w:t>尺寸、材质、颜色、质量等级、等技术</w:t>
            </w:r>
            <w:r>
              <w:rPr>
                <w:rFonts w:hint="eastAsia" w:ascii="仿宋" w:hAnsi="仿宋" w:eastAsia="仿宋" w:cs="仿宋"/>
                <w:color w:val="auto"/>
                <w:sz w:val="28"/>
                <w:szCs w:val="28"/>
                <w:highlight w:val="none"/>
                <w:vertAlign w:val="baseline"/>
                <w:lang w:eastAsia="zh-CN"/>
              </w:rPr>
              <w:t>参数（</w:t>
            </w:r>
            <w:r>
              <w:rPr>
                <w:rFonts w:hint="eastAsia" w:ascii="仿宋" w:hAnsi="仿宋" w:eastAsia="仿宋" w:cs="仿宋"/>
                <w:color w:val="auto"/>
                <w:sz w:val="28"/>
                <w:szCs w:val="28"/>
                <w:highlight w:val="none"/>
                <w:vertAlign w:val="baseline"/>
                <w:lang w:val="en-US" w:eastAsia="zh-CN"/>
              </w:rPr>
              <w:t>如有图纸，详见附件</w:t>
            </w:r>
            <w:r>
              <w:rPr>
                <w:rFonts w:hint="eastAsia" w:ascii="仿宋" w:hAnsi="仿宋" w:eastAsia="仿宋" w:cs="仿宋"/>
                <w:color w:val="auto"/>
                <w:sz w:val="28"/>
                <w:szCs w:val="28"/>
                <w:highlight w:val="none"/>
                <w:vertAlign w:val="baseline"/>
                <w:lang w:eastAsia="zh-CN"/>
              </w:rPr>
              <w:t>）</w:t>
            </w:r>
          </w:p>
        </w:tc>
        <w:tc>
          <w:tcPr>
            <w:tcW w:w="212" w:type="pct"/>
            <w:noWrap w:val="0"/>
            <w:vAlign w:val="center"/>
          </w:tcPr>
          <w:p w14:paraId="562207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单位</w:t>
            </w:r>
          </w:p>
        </w:tc>
        <w:tc>
          <w:tcPr>
            <w:tcW w:w="411" w:type="pct"/>
            <w:noWrap w:val="0"/>
            <w:vAlign w:val="center"/>
          </w:tcPr>
          <w:p w14:paraId="3A17DF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暂定数量</w:t>
            </w:r>
          </w:p>
        </w:tc>
        <w:tc>
          <w:tcPr>
            <w:tcW w:w="490" w:type="pct"/>
            <w:noWrap w:val="0"/>
            <w:vAlign w:val="center"/>
          </w:tcPr>
          <w:p w14:paraId="6FBA92D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eastAsia="zh-CN"/>
              </w:rPr>
              <w:t>合同单价（元</w:t>
            </w:r>
            <w:r>
              <w:rPr>
                <w:rFonts w:hint="eastAsia" w:ascii="仿宋" w:hAnsi="仿宋" w:eastAsia="仿宋" w:cs="仿宋"/>
                <w:color w:val="auto"/>
                <w:sz w:val="28"/>
                <w:szCs w:val="28"/>
                <w:highlight w:val="none"/>
                <w:vertAlign w:val="baseline"/>
                <w:lang w:val="en-US" w:eastAsia="zh-CN"/>
              </w:rPr>
              <w:t>）</w:t>
            </w:r>
          </w:p>
        </w:tc>
        <w:tc>
          <w:tcPr>
            <w:tcW w:w="464" w:type="pct"/>
            <w:noWrap w:val="0"/>
            <w:vAlign w:val="center"/>
          </w:tcPr>
          <w:p w14:paraId="338A47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暂定</w:t>
            </w:r>
            <w:r>
              <w:rPr>
                <w:rFonts w:hint="eastAsia" w:ascii="仿宋" w:hAnsi="仿宋" w:eastAsia="仿宋" w:cs="仿宋"/>
                <w:color w:val="auto"/>
                <w:sz w:val="28"/>
                <w:szCs w:val="28"/>
                <w:highlight w:val="none"/>
                <w:vertAlign w:val="baseline"/>
                <w:lang w:val="en-US" w:eastAsia="zh-CN"/>
              </w:rPr>
              <w:t>合</w:t>
            </w:r>
            <w:r>
              <w:rPr>
                <w:rFonts w:hint="eastAsia" w:ascii="仿宋" w:hAnsi="仿宋" w:eastAsia="仿宋" w:cs="仿宋"/>
                <w:color w:val="auto"/>
                <w:sz w:val="28"/>
                <w:szCs w:val="28"/>
                <w:highlight w:val="none"/>
                <w:vertAlign w:val="baseline"/>
                <w:lang w:eastAsia="zh-CN"/>
              </w:rPr>
              <w:t>价（元）</w:t>
            </w:r>
          </w:p>
        </w:tc>
        <w:tc>
          <w:tcPr>
            <w:tcW w:w="320" w:type="pct"/>
            <w:noWrap w:val="0"/>
            <w:vAlign w:val="center"/>
          </w:tcPr>
          <w:p w14:paraId="653D9FC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备注</w:t>
            </w:r>
          </w:p>
        </w:tc>
      </w:tr>
      <w:tr w14:paraId="1D02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0" w:type="pct"/>
            <w:noWrap w:val="0"/>
            <w:vAlign w:val="center"/>
          </w:tcPr>
          <w:p w14:paraId="767558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416" w:type="pct"/>
            <w:noWrap w:val="0"/>
            <w:vAlign w:val="center"/>
          </w:tcPr>
          <w:p w14:paraId="5514ECA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p>
        </w:tc>
        <w:tc>
          <w:tcPr>
            <w:tcW w:w="572" w:type="pct"/>
            <w:noWrap w:val="0"/>
            <w:vAlign w:val="center"/>
          </w:tcPr>
          <w:p w14:paraId="2ECBEB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8"/>
                <w:szCs w:val="28"/>
                <w:highlight w:val="none"/>
                <w:vertAlign w:val="baseline"/>
                <w:lang w:val="en-US" w:eastAsia="zh-CN" w:bidi="ar-SA"/>
              </w:rPr>
            </w:pPr>
          </w:p>
        </w:tc>
        <w:tc>
          <w:tcPr>
            <w:tcW w:w="1900" w:type="pct"/>
            <w:gridSpan w:val="2"/>
            <w:noWrap w:val="0"/>
            <w:vAlign w:val="center"/>
          </w:tcPr>
          <w:p w14:paraId="1E89781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（详见附件清单）</w:t>
            </w:r>
          </w:p>
        </w:tc>
        <w:tc>
          <w:tcPr>
            <w:tcW w:w="212" w:type="pct"/>
            <w:noWrap w:val="0"/>
            <w:vAlign w:val="center"/>
          </w:tcPr>
          <w:p w14:paraId="7AD220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p>
        </w:tc>
        <w:tc>
          <w:tcPr>
            <w:tcW w:w="411" w:type="pct"/>
            <w:noWrap w:val="0"/>
            <w:vAlign w:val="center"/>
          </w:tcPr>
          <w:p w14:paraId="4427D1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90" w:type="pct"/>
            <w:noWrap w:val="0"/>
            <w:vAlign w:val="center"/>
          </w:tcPr>
          <w:p w14:paraId="18A3EA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64" w:type="pct"/>
            <w:noWrap w:val="0"/>
            <w:vAlign w:val="center"/>
          </w:tcPr>
          <w:p w14:paraId="1CCAAE2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20" w:type="pct"/>
            <w:noWrap w:val="0"/>
            <w:vAlign w:val="center"/>
          </w:tcPr>
          <w:p w14:paraId="7A8D85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14:paraId="3BDA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10" w:type="pct"/>
            <w:noWrap w:val="0"/>
            <w:vAlign w:val="center"/>
          </w:tcPr>
          <w:p w14:paraId="27BBE5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2</w:t>
            </w:r>
          </w:p>
        </w:tc>
        <w:tc>
          <w:tcPr>
            <w:tcW w:w="416" w:type="pct"/>
            <w:noWrap w:val="0"/>
            <w:vAlign w:val="center"/>
          </w:tcPr>
          <w:p w14:paraId="7C5C3B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p>
        </w:tc>
        <w:tc>
          <w:tcPr>
            <w:tcW w:w="572" w:type="pct"/>
            <w:noWrap w:val="0"/>
            <w:vAlign w:val="center"/>
          </w:tcPr>
          <w:p w14:paraId="2BFD462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1900" w:type="pct"/>
            <w:gridSpan w:val="2"/>
            <w:noWrap w:val="0"/>
            <w:vAlign w:val="center"/>
          </w:tcPr>
          <w:p w14:paraId="6D54AE6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212" w:type="pct"/>
            <w:noWrap w:val="0"/>
            <w:vAlign w:val="center"/>
          </w:tcPr>
          <w:p w14:paraId="792B33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11" w:type="pct"/>
            <w:noWrap w:val="0"/>
            <w:vAlign w:val="center"/>
          </w:tcPr>
          <w:p w14:paraId="65EA1A8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90" w:type="pct"/>
            <w:noWrap w:val="0"/>
            <w:vAlign w:val="center"/>
          </w:tcPr>
          <w:p w14:paraId="2661BD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64" w:type="pct"/>
            <w:noWrap w:val="0"/>
            <w:vAlign w:val="center"/>
          </w:tcPr>
          <w:p w14:paraId="4D6FE54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20" w:type="pct"/>
            <w:noWrap w:val="0"/>
            <w:vAlign w:val="center"/>
          </w:tcPr>
          <w:p w14:paraId="52455E7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14:paraId="4721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10" w:type="pct"/>
            <w:noWrap w:val="0"/>
            <w:vAlign w:val="center"/>
          </w:tcPr>
          <w:p w14:paraId="45A5EB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w:t>
            </w:r>
          </w:p>
        </w:tc>
        <w:tc>
          <w:tcPr>
            <w:tcW w:w="416" w:type="pct"/>
            <w:noWrap w:val="0"/>
            <w:vAlign w:val="center"/>
          </w:tcPr>
          <w:p w14:paraId="21F0DB2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p>
        </w:tc>
        <w:tc>
          <w:tcPr>
            <w:tcW w:w="572" w:type="pct"/>
            <w:noWrap w:val="0"/>
            <w:vAlign w:val="center"/>
          </w:tcPr>
          <w:p w14:paraId="0A13F6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1900" w:type="pct"/>
            <w:gridSpan w:val="2"/>
            <w:noWrap w:val="0"/>
            <w:vAlign w:val="center"/>
          </w:tcPr>
          <w:p w14:paraId="7AED80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212" w:type="pct"/>
            <w:noWrap w:val="0"/>
            <w:vAlign w:val="center"/>
          </w:tcPr>
          <w:p w14:paraId="595A360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11" w:type="pct"/>
            <w:noWrap w:val="0"/>
            <w:vAlign w:val="center"/>
          </w:tcPr>
          <w:p w14:paraId="37EAA8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90" w:type="pct"/>
            <w:noWrap w:val="0"/>
            <w:vAlign w:val="center"/>
          </w:tcPr>
          <w:p w14:paraId="127E5C7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64" w:type="pct"/>
            <w:noWrap w:val="0"/>
            <w:vAlign w:val="center"/>
          </w:tcPr>
          <w:p w14:paraId="7FADECC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20" w:type="pct"/>
            <w:noWrap w:val="0"/>
            <w:vAlign w:val="center"/>
          </w:tcPr>
          <w:p w14:paraId="4BA9233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14:paraId="4BE1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10" w:type="pct"/>
            <w:noWrap w:val="0"/>
            <w:vAlign w:val="center"/>
          </w:tcPr>
          <w:p w14:paraId="24CB29F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N</w:t>
            </w:r>
          </w:p>
        </w:tc>
        <w:tc>
          <w:tcPr>
            <w:tcW w:w="416" w:type="pct"/>
            <w:noWrap w:val="0"/>
            <w:vAlign w:val="center"/>
          </w:tcPr>
          <w:p w14:paraId="68691BC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p>
        </w:tc>
        <w:tc>
          <w:tcPr>
            <w:tcW w:w="572" w:type="pct"/>
            <w:noWrap w:val="0"/>
            <w:vAlign w:val="center"/>
          </w:tcPr>
          <w:p w14:paraId="57D0088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1900" w:type="pct"/>
            <w:gridSpan w:val="2"/>
            <w:noWrap w:val="0"/>
            <w:vAlign w:val="center"/>
          </w:tcPr>
          <w:p w14:paraId="265F9FC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212" w:type="pct"/>
            <w:noWrap w:val="0"/>
            <w:vAlign w:val="center"/>
          </w:tcPr>
          <w:p w14:paraId="12C6400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11" w:type="pct"/>
            <w:noWrap w:val="0"/>
            <w:vAlign w:val="center"/>
          </w:tcPr>
          <w:p w14:paraId="628C77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90" w:type="pct"/>
            <w:noWrap w:val="0"/>
            <w:vAlign w:val="center"/>
          </w:tcPr>
          <w:p w14:paraId="05ECF3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64" w:type="pct"/>
            <w:noWrap w:val="0"/>
            <w:vAlign w:val="center"/>
          </w:tcPr>
          <w:p w14:paraId="04A2FFB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20" w:type="pct"/>
            <w:noWrap w:val="0"/>
            <w:vAlign w:val="center"/>
          </w:tcPr>
          <w:p w14:paraId="02E853A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14:paraId="6749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1687" w:type="pct"/>
            <w:gridSpan w:val="4"/>
            <w:noWrap w:val="0"/>
            <w:vAlign w:val="center"/>
          </w:tcPr>
          <w:p w14:paraId="3102867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lang w:val="en-US" w:eastAsia="zh-CN"/>
              </w:rPr>
              <w:t>合同暂定总价（1+2+…+N）</w:t>
            </w:r>
          </w:p>
        </w:tc>
        <w:tc>
          <w:tcPr>
            <w:tcW w:w="3312" w:type="pct"/>
            <w:gridSpan w:val="6"/>
            <w:noWrap w:val="0"/>
            <w:vAlign w:val="center"/>
          </w:tcPr>
          <w:p w14:paraId="78B6CE7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u w:val="single"/>
                <w:vertAlign w:val="baseline"/>
                <w:lang w:val="en-US" w:eastAsia="zh-CN"/>
              </w:rPr>
              <w:t xml:space="preserve">          </w:t>
            </w:r>
            <w:r>
              <w:rPr>
                <w:rFonts w:hint="eastAsia" w:ascii="仿宋" w:hAnsi="仿宋" w:eastAsia="仿宋" w:cs="仿宋"/>
                <w:b/>
                <w:bCs/>
                <w:color w:val="auto"/>
                <w:sz w:val="28"/>
                <w:szCs w:val="28"/>
                <w:highlight w:val="none"/>
                <w:vertAlign w:val="baseline"/>
                <w:lang w:val="en-US" w:eastAsia="zh-CN"/>
              </w:rPr>
              <w:t xml:space="preserve">元 </w:t>
            </w:r>
          </w:p>
        </w:tc>
      </w:tr>
    </w:tbl>
    <w:p w14:paraId="1B4CAD16">
      <w:pPr>
        <w:keepNext w:val="0"/>
        <w:keepLines w:val="0"/>
        <w:pageBreakBefore w:val="0"/>
        <w:widowControl w:val="0"/>
        <w:numPr>
          <w:ilvl w:val="1"/>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vertAlign w:val="baseline"/>
          <w:lang w:val="en-US" w:eastAsia="zh-CN"/>
        </w:rPr>
        <w:t>本合同为固定单价合同，</w:t>
      </w:r>
      <w:r>
        <w:rPr>
          <w:rFonts w:hint="eastAsia" w:ascii="仿宋" w:hAnsi="仿宋" w:eastAsia="仿宋" w:cs="仿宋"/>
          <w:color w:val="auto"/>
          <w:sz w:val="28"/>
          <w:szCs w:val="28"/>
          <w:highlight w:val="none"/>
          <w:vertAlign w:val="baseline"/>
        </w:rPr>
        <w:t>合同单价含</w:t>
      </w:r>
      <w:r>
        <w:rPr>
          <w:rFonts w:hint="eastAsia" w:ascii="仿宋" w:hAnsi="仿宋" w:eastAsia="仿宋" w:cs="仿宋"/>
          <w:color w:val="auto"/>
          <w:sz w:val="28"/>
          <w:szCs w:val="28"/>
          <w:highlight w:val="none"/>
          <w:vertAlign w:val="baseline"/>
          <w:lang w:eastAsia="zh-CN"/>
        </w:rPr>
        <w:t>产品费、</w:t>
      </w:r>
      <w:r>
        <w:rPr>
          <w:rFonts w:hint="eastAsia" w:ascii="仿宋" w:hAnsi="仿宋" w:eastAsia="仿宋" w:cs="仿宋"/>
          <w:color w:val="auto"/>
          <w:sz w:val="28"/>
          <w:szCs w:val="28"/>
          <w:highlight w:val="none"/>
          <w:vertAlign w:val="baseline"/>
        </w:rPr>
        <w:t>材料费、人工费（指</w:t>
      </w:r>
      <w:r>
        <w:rPr>
          <w:rFonts w:hint="eastAsia" w:ascii="仿宋" w:hAnsi="仿宋" w:eastAsia="仿宋" w:cs="仿宋"/>
          <w:color w:val="auto"/>
          <w:sz w:val="28"/>
          <w:szCs w:val="28"/>
          <w:highlight w:val="none"/>
          <w:vertAlign w:val="baseline"/>
          <w:lang w:val="en-US" w:eastAsia="zh-CN"/>
        </w:rPr>
        <w:t>产品移交给甲方所需</w:t>
      </w:r>
      <w:r>
        <w:rPr>
          <w:rFonts w:hint="eastAsia" w:ascii="仿宋" w:hAnsi="仿宋" w:eastAsia="仿宋" w:cs="仿宋"/>
          <w:color w:val="auto"/>
          <w:sz w:val="28"/>
          <w:szCs w:val="28"/>
          <w:highlight w:val="none"/>
          <w:vertAlign w:val="baseline"/>
        </w:rPr>
        <w:t>的所有人工费）、包装费、运输费、</w:t>
      </w:r>
      <w:r>
        <w:rPr>
          <w:rFonts w:hint="eastAsia" w:ascii="仿宋" w:hAnsi="仿宋" w:eastAsia="仿宋" w:cs="仿宋"/>
          <w:color w:val="auto"/>
          <w:sz w:val="28"/>
          <w:szCs w:val="28"/>
          <w:highlight w:val="none"/>
          <w:vertAlign w:val="baseline"/>
          <w:lang w:eastAsia="zh-CN"/>
        </w:rPr>
        <w:t>装卸费（</w:t>
      </w:r>
      <w:r>
        <w:rPr>
          <w:rFonts w:hint="eastAsia" w:ascii="仿宋" w:hAnsi="仿宋" w:eastAsia="仿宋" w:cs="仿宋"/>
          <w:color w:val="auto"/>
          <w:sz w:val="28"/>
          <w:szCs w:val="28"/>
          <w:highlight w:val="none"/>
          <w:vertAlign w:val="baseline"/>
          <w:lang w:val="en-US" w:eastAsia="zh-CN"/>
        </w:rPr>
        <w:t>产品由乙方负责装车，卸车由：</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b w:val="0"/>
          <w:bCs w:val="0"/>
          <w:color w:val="auto"/>
          <w:sz w:val="28"/>
          <w:szCs w:val="28"/>
          <w:highlight w:val="none"/>
          <w:u w:val="none"/>
          <w:vertAlign w:val="baseline"/>
          <w:lang w:val="en-US" w:eastAsia="zh-CN"/>
        </w:rPr>
        <w:t>免费提供</w:t>
      </w:r>
      <w:r>
        <w:rPr>
          <w:rFonts w:hint="eastAsia" w:ascii="仿宋" w:hAnsi="仿宋" w:eastAsia="仿宋" w:cs="仿宋"/>
          <w:color w:val="auto"/>
          <w:sz w:val="28"/>
          <w:szCs w:val="28"/>
          <w:highlight w:val="none"/>
          <w:u w:val="none"/>
          <w:vertAlign w:val="baseline"/>
          <w:lang w:val="en-US" w:eastAsia="zh-CN"/>
        </w:rPr>
        <w:t>检验检测所需产品（数量按当地送检取样要求）及检验检测费（产品移交甲方前的所有检验检测费用，检验检测须符合产品使用地点政府主管部门要求）、</w:t>
      </w:r>
      <w:r>
        <w:rPr>
          <w:rFonts w:hint="eastAsia" w:ascii="仿宋" w:hAnsi="仿宋" w:eastAsia="仿宋" w:cs="仿宋"/>
          <w:color w:val="auto"/>
          <w:sz w:val="28"/>
          <w:szCs w:val="28"/>
          <w:highlight w:val="none"/>
          <w:u w:val="none"/>
          <w:vertAlign w:val="baseline"/>
        </w:rPr>
        <w:t>保险费、利</w:t>
      </w:r>
      <w:r>
        <w:rPr>
          <w:rFonts w:hint="eastAsia" w:ascii="仿宋" w:hAnsi="仿宋" w:eastAsia="仿宋" w:cs="仿宋"/>
          <w:color w:val="auto"/>
          <w:sz w:val="28"/>
          <w:szCs w:val="28"/>
          <w:highlight w:val="none"/>
          <w:vertAlign w:val="baseline"/>
        </w:rPr>
        <w:t>润、管理费、税金（</w:t>
      </w:r>
      <w:r>
        <w:rPr>
          <w:rFonts w:hint="eastAsia" w:ascii="仿宋" w:hAnsi="仿宋" w:eastAsia="仿宋" w:cs="仿宋"/>
          <w:color w:val="auto"/>
          <w:sz w:val="28"/>
          <w:szCs w:val="28"/>
          <w:highlight w:val="none"/>
          <w:vertAlign w:val="baseline"/>
          <w:lang w:val="en-US" w:eastAsia="zh-CN"/>
        </w:rPr>
        <w:t>乙方</w:t>
      </w:r>
      <w:r>
        <w:rPr>
          <w:rFonts w:hint="eastAsia" w:ascii="仿宋" w:hAnsi="仿宋" w:eastAsia="仿宋" w:cs="仿宋"/>
          <w:color w:val="auto"/>
          <w:sz w:val="28"/>
          <w:szCs w:val="28"/>
          <w:highlight w:val="none"/>
          <w:vertAlign w:val="baseline"/>
        </w:rPr>
        <w:t>开具税率</w:t>
      </w:r>
      <w:r>
        <w:rPr>
          <w:rFonts w:hint="eastAsia" w:ascii="仿宋" w:hAnsi="仿宋" w:eastAsia="仿宋" w:cs="仿宋"/>
          <w:color w:val="auto"/>
          <w:sz w:val="28"/>
          <w:szCs w:val="28"/>
          <w:highlight w:val="none"/>
          <w:u w:val="single"/>
          <w:vertAlign w:val="baseline"/>
          <w:lang w:val="en-US" w:eastAsia="zh-CN"/>
        </w:rPr>
        <w:t xml:space="preserve">    </w:t>
      </w:r>
      <w:r>
        <w:rPr>
          <w:rFonts w:hint="eastAsia" w:ascii="仿宋" w:hAnsi="仿宋" w:eastAsia="仿宋" w:cs="仿宋"/>
          <w:color w:val="auto"/>
          <w:sz w:val="28"/>
          <w:szCs w:val="28"/>
          <w:highlight w:val="none"/>
          <w:vertAlign w:val="baseline"/>
        </w:rPr>
        <w:t>%的增值税</w:t>
      </w:r>
      <w:r>
        <w:rPr>
          <w:rFonts w:hint="eastAsia" w:ascii="仿宋" w:hAnsi="仿宋" w:eastAsia="仿宋" w:cs="仿宋"/>
          <w:color w:val="auto"/>
          <w:sz w:val="28"/>
          <w:szCs w:val="28"/>
          <w:highlight w:val="none"/>
          <w:vertAlign w:val="baseline"/>
        </w:rPr>
        <w:sym w:font="Wingdings 2" w:char="0052"/>
      </w:r>
      <w:r>
        <w:rPr>
          <w:rFonts w:hint="eastAsia" w:ascii="仿宋" w:hAnsi="仿宋" w:eastAsia="仿宋" w:cs="仿宋"/>
          <w:color w:val="auto"/>
          <w:sz w:val="28"/>
          <w:szCs w:val="28"/>
          <w:highlight w:val="none"/>
          <w:vertAlign w:val="baseline"/>
        </w:rPr>
        <w:t>专用</w:t>
      </w:r>
      <w:r>
        <w:rPr>
          <w:rFonts w:hint="eastAsia" w:ascii="仿宋" w:hAnsi="仿宋" w:eastAsia="仿宋" w:cs="仿宋"/>
          <w:color w:val="auto"/>
          <w:sz w:val="28"/>
          <w:szCs w:val="28"/>
          <w:highlight w:val="none"/>
          <w:vertAlign w:val="baseline"/>
          <w:lang w:val="en-US" w:eastAsia="zh-CN"/>
        </w:rPr>
        <w:t>发票/</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普通</w:t>
      </w:r>
      <w:r>
        <w:rPr>
          <w:rFonts w:hint="eastAsia" w:ascii="仿宋" w:hAnsi="仿宋" w:eastAsia="仿宋" w:cs="仿宋"/>
          <w:color w:val="auto"/>
          <w:sz w:val="28"/>
          <w:szCs w:val="28"/>
          <w:highlight w:val="none"/>
          <w:vertAlign w:val="baseline"/>
        </w:rPr>
        <w:t>发票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税率按国家政策执行，</w:t>
      </w:r>
      <w:r>
        <w:rPr>
          <w:rFonts w:hint="eastAsia" w:ascii="仿宋" w:hAnsi="仿宋" w:eastAsia="仿宋" w:cs="仿宋"/>
          <w:color w:val="auto"/>
          <w:sz w:val="28"/>
          <w:szCs w:val="28"/>
          <w:highlight w:val="none"/>
          <w:vertAlign w:val="baseline"/>
          <w:lang w:eastAsia="zh-CN"/>
        </w:rPr>
        <w:t>如</w:t>
      </w:r>
      <w:r>
        <w:rPr>
          <w:rFonts w:hint="eastAsia" w:ascii="仿宋" w:hAnsi="仿宋" w:eastAsia="仿宋" w:cs="仿宋"/>
          <w:color w:val="auto"/>
          <w:sz w:val="28"/>
          <w:szCs w:val="28"/>
          <w:highlight w:val="none"/>
          <w:vertAlign w:val="baseline"/>
          <w:lang w:val="en-US" w:eastAsia="zh-CN"/>
        </w:rPr>
        <w:t>税率</w:t>
      </w:r>
      <w:r>
        <w:rPr>
          <w:rFonts w:hint="eastAsia" w:ascii="仿宋" w:hAnsi="仿宋" w:eastAsia="仿宋" w:cs="仿宋"/>
          <w:color w:val="auto"/>
          <w:sz w:val="28"/>
          <w:szCs w:val="28"/>
          <w:highlight w:val="none"/>
          <w:vertAlign w:val="baseline"/>
          <w:lang w:eastAsia="zh-CN"/>
        </w:rPr>
        <w:t>调整，</w:t>
      </w:r>
      <w:r>
        <w:rPr>
          <w:rFonts w:hint="eastAsia" w:ascii="仿宋" w:hAnsi="仿宋" w:eastAsia="仿宋" w:cs="仿宋"/>
          <w:color w:val="auto"/>
          <w:sz w:val="28"/>
          <w:szCs w:val="28"/>
          <w:highlight w:val="none"/>
          <w:vertAlign w:val="baseline"/>
          <w:lang w:val="en-US" w:eastAsia="zh-CN"/>
        </w:rPr>
        <w:t>合同</w:t>
      </w:r>
      <w:r>
        <w:rPr>
          <w:rFonts w:hint="eastAsia" w:ascii="仿宋" w:hAnsi="仿宋" w:eastAsia="仿宋" w:cs="仿宋"/>
          <w:color w:val="auto"/>
          <w:sz w:val="28"/>
          <w:szCs w:val="28"/>
          <w:highlight w:val="none"/>
          <w:vertAlign w:val="baseline"/>
        </w:rPr>
        <w:t>单价随之调整）等，含乙方承担合同义务、责任、风险的费用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除合同另有约</w:t>
      </w:r>
      <w:r>
        <w:rPr>
          <w:rFonts w:hint="eastAsia" w:ascii="仿宋" w:hAnsi="仿宋" w:eastAsia="仿宋" w:cs="仿宋"/>
          <w:color w:val="auto"/>
          <w:sz w:val="28"/>
          <w:szCs w:val="28"/>
          <w:highlight w:val="none"/>
          <w:u w:val="none"/>
          <w:vertAlign w:val="baseline"/>
        </w:rPr>
        <w:t>定外</w:t>
      </w:r>
      <w:r>
        <w:rPr>
          <w:rFonts w:hint="eastAsia" w:ascii="仿宋" w:hAnsi="仿宋" w:eastAsia="仿宋" w:cs="仿宋"/>
          <w:color w:val="auto"/>
          <w:sz w:val="28"/>
          <w:szCs w:val="28"/>
          <w:highlight w:val="none"/>
          <w:u w:val="none"/>
          <w:vertAlign w:val="baseline"/>
          <w:lang w:eastAsia="zh-CN"/>
        </w:rPr>
        <w:t>，单价</w:t>
      </w:r>
      <w:r>
        <w:rPr>
          <w:rFonts w:hint="eastAsia" w:ascii="仿宋" w:hAnsi="仿宋" w:eastAsia="仿宋" w:cs="仿宋"/>
          <w:color w:val="auto"/>
          <w:sz w:val="28"/>
          <w:szCs w:val="28"/>
          <w:highlight w:val="none"/>
          <w:u w:val="none"/>
          <w:vertAlign w:val="baseline"/>
        </w:rPr>
        <w:t>不</w:t>
      </w:r>
      <w:r>
        <w:rPr>
          <w:rFonts w:hint="eastAsia" w:ascii="仿宋" w:hAnsi="仿宋" w:eastAsia="仿宋" w:cs="仿宋"/>
          <w:color w:val="auto"/>
          <w:sz w:val="28"/>
          <w:szCs w:val="28"/>
          <w:highlight w:val="none"/>
          <w:u w:val="none"/>
          <w:vertAlign w:val="baseline"/>
          <w:lang w:eastAsia="zh-CN"/>
        </w:rPr>
        <w:t>作</w:t>
      </w:r>
      <w:r>
        <w:rPr>
          <w:rFonts w:hint="eastAsia" w:ascii="仿宋" w:hAnsi="仿宋" w:eastAsia="仿宋" w:cs="仿宋"/>
          <w:color w:val="auto"/>
          <w:sz w:val="28"/>
          <w:szCs w:val="28"/>
          <w:highlight w:val="none"/>
          <w:u w:val="none"/>
          <w:vertAlign w:val="baseline"/>
        </w:rPr>
        <w:t>任何调整</w:t>
      </w:r>
      <w:r>
        <w:rPr>
          <w:rFonts w:hint="eastAsia" w:ascii="仿宋" w:hAnsi="仿宋" w:eastAsia="仿宋" w:cs="仿宋"/>
          <w:color w:val="auto"/>
          <w:sz w:val="28"/>
          <w:szCs w:val="28"/>
          <w:highlight w:val="none"/>
          <w:u w:val="none"/>
          <w:vertAlign w:val="baseline"/>
          <w:lang w:eastAsia="zh-CN"/>
        </w:rPr>
        <w:t>。</w:t>
      </w:r>
    </w:p>
    <w:p w14:paraId="08211A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vertAlign w:val="baseline"/>
        </w:rPr>
      </w:pPr>
      <w:r>
        <w:rPr>
          <w:rFonts w:hint="eastAsia" w:ascii="仿宋" w:hAnsi="仿宋" w:eastAsia="仿宋" w:cs="仿宋"/>
          <w:color w:val="auto"/>
          <w:kern w:val="2"/>
          <w:sz w:val="28"/>
          <w:szCs w:val="28"/>
          <w:highlight w:val="none"/>
          <w:u w:val="none"/>
          <w:lang w:val="en-US" w:eastAsia="zh-CN" w:bidi="ar-SA"/>
        </w:rPr>
        <w:t>1.2</w:t>
      </w:r>
      <w:r>
        <w:rPr>
          <w:rFonts w:hint="eastAsia" w:ascii="仿宋" w:hAnsi="仿宋" w:eastAsia="仿宋" w:cs="仿宋"/>
          <w:color w:val="auto"/>
          <w:sz w:val="28"/>
          <w:szCs w:val="28"/>
          <w:highlight w:val="none"/>
          <w:u w:val="none"/>
          <w:vertAlign w:val="baseline"/>
        </w:rPr>
        <w:t>乙方</w:t>
      </w:r>
      <w:r>
        <w:rPr>
          <w:rFonts w:hint="eastAsia" w:ascii="仿宋" w:hAnsi="仿宋" w:eastAsia="仿宋" w:cs="仿宋"/>
          <w:color w:val="auto"/>
          <w:sz w:val="28"/>
          <w:szCs w:val="28"/>
          <w:highlight w:val="none"/>
          <w:u w:val="none"/>
          <w:vertAlign w:val="baseline"/>
          <w:lang w:val="en-US" w:eastAsia="zh-CN"/>
        </w:rPr>
        <w:t>每次</w:t>
      </w:r>
      <w:r>
        <w:rPr>
          <w:rFonts w:hint="eastAsia" w:ascii="仿宋" w:hAnsi="仿宋" w:eastAsia="仿宋" w:cs="仿宋"/>
          <w:color w:val="auto"/>
          <w:sz w:val="28"/>
          <w:szCs w:val="28"/>
          <w:highlight w:val="none"/>
          <w:u w:val="none"/>
          <w:vertAlign w:val="baseline"/>
        </w:rPr>
        <w:t>送货数量由甲方决定，乙方无条件配合</w:t>
      </w:r>
      <w:r>
        <w:rPr>
          <w:rFonts w:hint="eastAsia" w:ascii="仿宋" w:hAnsi="仿宋" w:eastAsia="仿宋" w:cs="仿宋"/>
          <w:color w:val="auto"/>
          <w:sz w:val="28"/>
          <w:szCs w:val="28"/>
          <w:highlight w:val="none"/>
          <w:u w:val="none"/>
          <w:vertAlign w:val="baseline"/>
          <w:lang w:eastAsia="zh-CN"/>
        </w:rPr>
        <w:t>，</w:t>
      </w:r>
      <w:r>
        <w:rPr>
          <w:rFonts w:hint="eastAsia" w:ascii="仿宋" w:hAnsi="仿宋" w:eastAsia="仿宋" w:cs="仿宋"/>
          <w:color w:val="auto"/>
          <w:sz w:val="28"/>
          <w:szCs w:val="28"/>
          <w:highlight w:val="none"/>
          <w:u w:val="none"/>
          <w:vertAlign w:val="baseline"/>
          <w:lang w:val="en-US" w:eastAsia="zh-CN"/>
        </w:rPr>
        <w:t>所需费用已含于本合同单价内无需另计。</w:t>
      </w:r>
      <w:r>
        <w:rPr>
          <w:rFonts w:hint="eastAsia" w:ascii="仿宋" w:hAnsi="仿宋" w:eastAsia="仿宋" w:cs="仿宋"/>
          <w:color w:val="auto"/>
          <w:sz w:val="28"/>
          <w:szCs w:val="28"/>
          <w:highlight w:val="none"/>
          <w:u w:val="none"/>
          <w:vertAlign w:val="baseline"/>
          <w:lang w:eastAsia="zh-CN"/>
        </w:rPr>
        <w:t>上述数量仅作参考，不作为结算依据。</w:t>
      </w:r>
      <w:r>
        <w:rPr>
          <w:rFonts w:hint="eastAsia" w:ascii="仿宋" w:hAnsi="仿宋" w:eastAsia="仿宋" w:cs="仿宋"/>
          <w:color w:val="auto"/>
          <w:sz w:val="28"/>
          <w:szCs w:val="28"/>
          <w:highlight w:val="none"/>
          <w:vertAlign w:val="baseline"/>
        </w:rPr>
        <w:t>产品购销数量按甲方实际</w:t>
      </w:r>
      <w:r>
        <w:rPr>
          <w:rFonts w:hint="eastAsia" w:ascii="仿宋" w:hAnsi="仿宋" w:eastAsia="仿宋" w:cs="仿宋"/>
          <w:color w:val="auto"/>
          <w:sz w:val="28"/>
          <w:szCs w:val="28"/>
          <w:highlight w:val="none"/>
          <w:vertAlign w:val="baseline"/>
          <w:lang w:val="en-US" w:eastAsia="zh-CN"/>
        </w:rPr>
        <w:t>接收并</w:t>
      </w:r>
      <w:r>
        <w:rPr>
          <w:rFonts w:hint="eastAsia" w:ascii="仿宋" w:hAnsi="仿宋" w:eastAsia="仿宋" w:cs="仿宋"/>
          <w:color w:val="auto"/>
          <w:sz w:val="28"/>
          <w:szCs w:val="28"/>
          <w:highlight w:val="none"/>
          <w:vertAlign w:val="baseline"/>
        </w:rPr>
        <w:t>验收合格的数量结算</w:t>
      </w:r>
      <w:r>
        <w:rPr>
          <w:rFonts w:hint="eastAsia" w:ascii="仿宋" w:hAnsi="仿宋" w:eastAsia="仿宋" w:cs="仿宋"/>
          <w:color w:val="auto"/>
          <w:sz w:val="28"/>
          <w:szCs w:val="28"/>
          <w:highlight w:val="none"/>
          <w:vertAlign w:val="baseline"/>
          <w:lang w:eastAsia="zh-CN"/>
        </w:rPr>
        <w:t>。</w:t>
      </w:r>
    </w:p>
    <w:p w14:paraId="772C7C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1.3根据产品暂定</w:t>
      </w:r>
      <w:r>
        <w:rPr>
          <w:rFonts w:hint="eastAsia" w:ascii="仿宋" w:hAnsi="仿宋" w:eastAsia="仿宋" w:cs="仿宋"/>
          <w:color w:val="auto"/>
          <w:kern w:val="2"/>
          <w:sz w:val="28"/>
          <w:szCs w:val="28"/>
          <w:highlight w:val="none"/>
          <w:u w:val="single"/>
          <w:lang w:val="en-US" w:eastAsia="zh-CN" w:bidi="ar-SA"/>
        </w:rPr>
        <w:t>数量</w:t>
      </w:r>
      <w:r>
        <w:rPr>
          <w:rFonts w:hint="eastAsia" w:ascii="仿宋" w:hAnsi="仿宋" w:eastAsia="仿宋" w:cs="仿宋"/>
          <w:color w:val="auto"/>
          <w:kern w:val="2"/>
          <w:sz w:val="28"/>
          <w:szCs w:val="28"/>
          <w:highlight w:val="none"/>
          <w:u w:val="none"/>
          <w:lang w:val="en-US" w:eastAsia="zh-CN" w:bidi="ar-SA"/>
        </w:rPr>
        <w:t>计算，本合同暂定总价为</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元，</w:t>
      </w:r>
      <w:r>
        <w:rPr>
          <w:rFonts w:hint="eastAsia" w:ascii="仿宋" w:hAnsi="仿宋" w:eastAsia="仿宋" w:cs="仿宋"/>
          <w:color w:val="auto"/>
          <w:sz w:val="28"/>
          <w:szCs w:val="28"/>
          <w:highlight w:val="none"/>
          <w:vertAlign w:val="baseline"/>
        </w:rPr>
        <w:t>合同暂定总价仅供参考，不作结算用途。</w:t>
      </w:r>
      <w:r>
        <w:rPr>
          <w:rFonts w:hint="eastAsia" w:ascii="仿宋" w:hAnsi="仿宋" w:eastAsia="仿宋" w:cs="仿宋"/>
          <w:color w:val="auto"/>
          <w:kern w:val="2"/>
          <w:sz w:val="28"/>
          <w:szCs w:val="28"/>
          <w:highlight w:val="none"/>
          <w:u w:val="none"/>
          <w:lang w:val="en-US" w:eastAsia="zh-CN" w:bidi="ar-SA"/>
        </w:rPr>
        <w:t xml:space="preserve"> </w:t>
      </w:r>
    </w:p>
    <w:p w14:paraId="4349FB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kern w:val="2"/>
          <w:sz w:val="28"/>
          <w:szCs w:val="28"/>
          <w:highlight w:val="none"/>
          <w:u w:val="none"/>
          <w:lang w:val="en-US" w:eastAsia="zh-CN" w:bidi="ar-SA"/>
        </w:rPr>
        <w:t>1.4</w:t>
      </w:r>
      <w:r>
        <w:rPr>
          <w:rFonts w:hint="eastAsia" w:ascii="仿宋" w:hAnsi="仿宋" w:eastAsia="仿宋" w:cs="仿宋"/>
          <w:color w:val="auto"/>
          <w:sz w:val="28"/>
          <w:szCs w:val="28"/>
          <w:highlight w:val="none"/>
          <w:vertAlign w:val="baseline"/>
          <w:lang w:val="en-US" w:eastAsia="zh-CN"/>
        </w:rPr>
        <w:t>其他需要约定的与价格相关的事项</w:t>
      </w:r>
    </w:p>
    <w:p w14:paraId="034FAC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vertAlign w:val="baseline"/>
          <w:lang w:val="en-US" w:eastAsia="zh-CN"/>
        </w:rPr>
        <w:t>1.4.1合同</w:t>
      </w:r>
      <w:r>
        <w:rPr>
          <w:rFonts w:hint="eastAsia" w:ascii="仿宋" w:hAnsi="仿宋" w:eastAsia="仿宋" w:cs="仿宋"/>
          <w:color w:val="auto"/>
          <w:sz w:val="28"/>
          <w:szCs w:val="28"/>
          <w:highlight w:val="none"/>
          <w:u w:val="single"/>
          <w:vertAlign w:val="baseline"/>
          <w:lang w:val="en-US" w:eastAsia="zh-CN"/>
        </w:rPr>
        <w:t>单</w:t>
      </w:r>
      <w:r>
        <w:rPr>
          <w:rFonts w:hint="eastAsia" w:ascii="仿宋" w:hAnsi="仿宋" w:eastAsia="仿宋" w:cs="仿宋"/>
          <w:color w:val="auto"/>
          <w:sz w:val="28"/>
          <w:szCs w:val="28"/>
          <w:highlight w:val="none"/>
          <w:vertAlign w:val="baseline"/>
          <w:lang w:val="en-US" w:eastAsia="zh-CN"/>
        </w:rPr>
        <w:t>价有效期为：</w:t>
      </w:r>
      <w:r>
        <w:rPr>
          <w:rFonts w:hint="eastAsia" w:ascii="仿宋" w:hAnsi="仿宋" w:eastAsia="仿宋" w:cs="仿宋"/>
          <w:b w:val="0"/>
          <w:bCs w:val="0"/>
          <w:color w:val="auto"/>
          <w:sz w:val="28"/>
          <w:szCs w:val="28"/>
          <w:highlight w:val="none"/>
          <w:u w:val="single"/>
          <w:vertAlign w:val="baseline"/>
          <w:lang w:val="en-US" w:eastAsia="zh-CN"/>
        </w:rPr>
        <w:t>本合同生效之日起至本项目临建工程所需产品全部供应完毕为止。</w:t>
      </w:r>
    </w:p>
    <w:p w14:paraId="34CAE2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1.4.2其他要求：</w:t>
      </w:r>
      <w:r>
        <w:rPr>
          <w:rFonts w:hint="eastAsia" w:ascii="仿宋" w:hAnsi="仿宋" w:eastAsia="仿宋" w:cs="仿宋"/>
          <w:color w:val="auto"/>
          <w:sz w:val="28"/>
          <w:szCs w:val="28"/>
          <w:highlight w:val="none"/>
          <w:u w:val="single"/>
          <w:vertAlign w:val="baseline"/>
          <w:lang w:val="en-US" w:eastAsia="zh-CN"/>
        </w:rPr>
        <w:t>/。</w:t>
      </w:r>
    </w:p>
    <w:p w14:paraId="412A39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1.5合同</w:t>
      </w:r>
      <w:r>
        <w:rPr>
          <w:rFonts w:hint="eastAsia" w:ascii="仿宋" w:hAnsi="仿宋" w:eastAsia="仿宋" w:cs="仿宋"/>
          <w:color w:val="auto"/>
          <w:sz w:val="28"/>
          <w:szCs w:val="28"/>
          <w:highlight w:val="none"/>
          <w:u w:val="single"/>
          <w:vertAlign w:val="baseline"/>
          <w:lang w:val="en-US" w:eastAsia="zh-CN"/>
        </w:rPr>
        <w:t>单</w:t>
      </w:r>
      <w:r>
        <w:rPr>
          <w:rFonts w:hint="eastAsia" w:ascii="仿宋" w:hAnsi="仿宋" w:eastAsia="仿宋" w:cs="仿宋"/>
          <w:color w:val="auto"/>
          <w:sz w:val="28"/>
          <w:szCs w:val="28"/>
          <w:highlight w:val="none"/>
          <w:u w:val="none"/>
          <w:vertAlign w:val="baseline"/>
          <w:lang w:val="en-US" w:eastAsia="zh-CN"/>
        </w:rPr>
        <w:t>价已包含各种保险费用，乙方不得另计保险而向甲方索要费用。</w:t>
      </w:r>
    </w:p>
    <w:p w14:paraId="032087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1.6甲方或使用单位在产品使用过程中遇到的问题，乙方须随时提供电话答疑。凡与产品相关联的问题都属于答疑范围，所需费用已包含在合同</w:t>
      </w:r>
      <w:r>
        <w:rPr>
          <w:rFonts w:hint="eastAsia" w:ascii="仿宋" w:hAnsi="仿宋" w:eastAsia="仿宋" w:cs="仿宋"/>
          <w:color w:val="auto"/>
          <w:sz w:val="28"/>
          <w:szCs w:val="28"/>
          <w:highlight w:val="none"/>
          <w:u w:val="single"/>
          <w:vertAlign w:val="baseline"/>
          <w:lang w:val="en-US" w:eastAsia="zh-CN"/>
        </w:rPr>
        <w:t>单</w:t>
      </w:r>
      <w:r>
        <w:rPr>
          <w:rFonts w:hint="eastAsia" w:ascii="仿宋" w:hAnsi="仿宋" w:eastAsia="仿宋" w:cs="仿宋"/>
          <w:color w:val="auto"/>
          <w:sz w:val="28"/>
          <w:szCs w:val="28"/>
          <w:highlight w:val="none"/>
          <w:u w:val="none"/>
          <w:vertAlign w:val="baseline"/>
          <w:lang w:val="en-US" w:eastAsia="zh-CN"/>
        </w:rPr>
        <w:t>价中，不另计费。</w:t>
      </w:r>
    </w:p>
    <w:p w14:paraId="3EABB1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1.7</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根据</w:t>
      </w:r>
      <w:r>
        <w:rPr>
          <w:rFonts w:hint="eastAsia" w:ascii="仿宋" w:hAnsi="仿宋" w:eastAsia="仿宋" w:cs="仿宋"/>
          <w:color w:val="auto"/>
          <w:sz w:val="28"/>
          <w:highlight w:val="none"/>
          <w:u w:val="none"/>
          <w:lang w:val="en-US" w:eastAsia="zh-CN"/>
        </w:rPr>
        <w:t>甲方</w:t>
      </w:r>
      <w:r>
        <w:rPr>
          <w:rFonts w:hint="eastAsia" w:ascii="仿宋" w:hAnsi="仿宋" w:eastAsia="仿宋" w:cs="仿宋"/>
          <w:color w:val="auto"/>
          <w:sz w:val="28"/>
          <w:highlight w:val="none"/>
          <w:u w:val="none"/>
        </w:rPr>
        <w:t>需要提供现场临时指导</w:t>
      </w:r>
      <w:r>
        <w:rPr>
          <w:rFonts w:hint="eastAsia" w:ascii="仿宋" w:hAnsi="仿宋" w:eastAsia="仿宋" w:cs="仿宋"/>
          <w:color w:val="auto"/>
          <w:sz w:val="28"/>
          <w:highlight w:val="none"/>
          <w:u w:val="none"/>
          <w:lang w:eastAsia="zh-CN"/>
        </w:rPr>
        <w:t>和培训，费用已包含在</w:t>
      </w:r>
      <w:r>
        <w:rPr>
          <w:rFonts w:hint="eastAsia" w:ascii="仿宋" w:hAnsi="仿宋" w:eastAsia="仿宋" w:cs="仿宋"/>
          <w:color w:val="auto"/>
          <w:sz w:val="28"/>
          <w:highlight w:val="none"/>
          <w:u w:val="none"/>
          <w:lang w:val="en-US" w:eastAsia="zh-CN"/>
        </w:rPr>
        <w:t>合同单价</w:t>
      </w:r>
      <w:r>
        <w:rPr>
          <w:rFonts w:hint="eastAsia" w:ascii="仿宋" w:hAnsi="仿宋" w:eastAsia="仿宋" w:cs="仿宋"/>
          <w:color w:val="auto"/>
          <w:sz w:val="28"/>
          <w:highlight w:val="none"/>
          <w:u w:val="none"/>
          <w:lang w:eastAsia="zh-CN"/>
        </w:rPr>
        <w:t>中，不另计费。</w:t>
      </w:r>
    </w:p>
    <w:p w14:paraId="657C2C2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default" w:ascii="仿宋" w:hAnsi="仿宋" w:eastAsia="宋体" w:cs="仿宋"/>
          <w:b/>
          <w:bCs/>
          <w:color w:val="auto"/>
          <w:sz w:val="28"/>
          <w:highlight w:val="none"/>
          <w:lang w:val="en-US" w:eastAsia="zh-CN"/>
        </w:rPr>
      </w:pPr>
      <w:bookmarkStart w:id="6" w:name="_Toc24462"/>
      <w:bookmarkStart w:id="7" w:name="_Toc16052"/>
      <w:bookmarkStart w:id="8" w:name="_Toc32399"/>
      <w:r>
        <w:rPr>
          <w:rFonts w:hint="eastAsia" w:ascii="仿宋" w:hAnsi="仿宋" w:eastAsia="仿宋" w:cs="仿宋"/>
          <w:b/>
          <w:bCs/>
          <w:color w:val="auto"/>
          <w:sz w:val="28"/>
          <w:highlight w:val="none"/>
          <w:lang w:val="en-US" w:eastAsia="zh-CN"/>
        </w:rPr>
        <w:t>第二章、</w:t>
      </w:r>
      <w:r>
        <w:rPr>
          <w:rFonts w:hint="eastAsia" w:ascii="仿宋" w:hAnsi="仿宋" w:eastAsia="仿宋" w:cs="仿宋"/>
          <w:b/>
          <w:bCs/>
          <w:color w:val="auto"/>
          <w:sz w:val="28"/>
          <w:highlight w:val="none"/>
        </w:rPr>
        <w:t>付款方式</w:t>
      </w:r>
      <w:bookmarkEnd w:id="6"/>
      <w:bookmarkEnd w:id="7"/>
      <w:bookmarkEnd w:id="8"/>
      <w:r>
        <w:rPr>
          <w:rFonts w:hint="eastAsia" w:ascii="仿宋" w:hAnsi="仿宋" w:eastAsia="仿宋" w:cs="仿宋"/>
          <w:b/>
          <w:bCs/>
          <w:color w:val="auto"/>
          <w:sz w:val="28"/>
          <w:highlight w:val="none"/>
          <w:lang w:val="en-US" w:eastAsia="zh-CN"/>
        </w:rPr>
        <w:t>及履约保证金</w:t>
      </w:r>
    </w:p>
    <w:p w14:paraId="4D732E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2.1</w:t>
      </w:r>
      <w:r>
        <w:rPr>
          <w:rFonts w:hint="eastAsia" w:ascii="仿宋" w:hAnsi="仿宋" w:eastAsia="仿宋" w:cs="仿宋"/>
          <w:color w:val="auto"/>
          <w:sz w:val="28"/>
          <w:highlight w:val="none"/>
          <w:lang w:eastAsia="zh-CN"/>
        </w:rPr>
        <w:t>本</w:t>
      </w:r>
      <w:r>
        <w:rPr>
          <w:rFonts w:hint="eastAsia" w:ascii="仿宋" w:hAnsi="仿宋" w:eastAsia="仿宋" w:cs="仿宋"/>
          <w:color w:val="auto"/>
          <w:sz w:val="28"/>
          <w:highlight w:val="none"/>
          <w:lang w:val="en-US" w:eastAsia="zh-CN"/>
        </w:rPr>
        <w:t>合同款项按以下办法支付</w:t>
      </w:r>
    </w:p>
    <w:p w14:paraId="3C2C4B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2" w:char="0052"/>
      </w:r>
      <w:r>
        <w:rPr>
          <w:rFonts w:hint="eastAsia" w:ascii="仿宋" w:hAnsi="仿宋" w:eastAsia="仿宋" w:cs="仿宋"/>
          <w:color w:val="auto"/>
          <w:sz w:val="28"/>
          <w:highlight w:val="none"/>
          <w:u w:val="none"/>
          <w:lang w:val="en-US" w:eastAsia="zh-CN"/>
        </w:rPr>
        <w:t>办法一、有预付款</w:t>
      </w:r>
    </w:p>
    <w:p w14:paraId="2567C4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2.1.1本合同生效后，甲方向乙方支付合同暂定总价的</w:t>
      </w:r>
      <w:r>
        <w:rPr>
          <w:rFonts w:hint="eastAsia" w:ascii="仿宋" w:hAnsi="仿宋" w:eastAsia="仿宋" w:cs="仿宋"/>
          <w:color w:val="auto"/>
          <w:sz w:val="28"/>
          <w:highlight w:val="none"/>
          <w:u w:val="single"/>
          <w:lang w:val="en-US" w:eastAsia="zh-CN"/>
        </w:rPr>
        <w:t xml:space="preserve"> 0 </w:t>
      </w:r>
      <w:r>
        <w:rPr>
          <w:rFonts w:hint="eastAsia" w:ascii="仿宋" w:hAnsi="仿宋" w:eastAsia="仿宋" w:cs="仿宋"/>
          <w:color w:val="auto"/>
          <w:sz w:val="28"/>
          <w:highlight w:val="none"/>
          <w:u w:val="none"/>
          <w:lang w:val="en-US" w:eastAsia="zh-CN"/>
        </w:rPr>
        <w:t>%（其中合同暂定总价的</w:t>
      </w:r>
      <w:r>
        <w:rPr>
          <w:rFonts w:hint="eastAsia" w:ascii="仿宋" w:hAnsi="仿宋" w:eastAsia="仿宋" w:cs="仿宋"/>
          <w:color w:val="auto"/>
          <w:sz w:val="28"/>
          <w:highlight w:val="none"/>
          <w:u w:val="single"/>
          <w:lang w:val="en-US" w:eastAsia="zh-CN"/>
        </w:rPr>
        <w:t xml:space="preserve"> 0 </w:t>
      </w:r>
      <w:r>
        <w:rPr>
          <w:rFonts w:hint="eastAsia" w:ascii="仿宋" w:hAnsi="仿宋" w:eastAsia="仿宋" w:cs="仿宋"/>
          <w:color w:val="auto"/>
          <w:sz w:val="28"/>
          <w:highlight w:val="none"/>
          <w:u w:val="none"/>
          <w:lang w:val="en-US" w:eastAsia="zh-CN"/>
        </w:rPr>
        <w:t>%作为定金，其余款项为预付款）。合同履行后，定金、预付款均抵作合同款。</w:t>
      </w:r>
    </w:p>
    <w:p w14:paraId="759D94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color w:val="auto"/>
          <w:highlight w:val="none"/>
        </w:rPr>
      </w:pPr>
      <w:r>
        <w:rPr>
          <w:rFonts w:hint="eastAsia" w:ascii="仿宋" w:hAnsi="仿宋" w:eastAsia="仿宋" w:cs="仿宋"/>
          <w:color w:val="auto"/>
          <w:sz w:val="28"/>
          <w:highlight w:val="none"/>
          <w:u w:val="none"/>
          <w:lang w:val="en-US" w:eastAsia="zh-CN"/>
        </w:rPr>
        <w:t>2.1.2产品（含相关资料）到齐甲方指定交货地点，经甲乙双方验收合格并移交甲方，双方就合同总价金额达成书面一致且甲方收齐金额等于合同总价金额100%的发票等相关资料后，甲方付至合同结算总价的</w:t>
      </w:r>
      <w:r>
        <w:rPr>
          <w:rFonts w:hint="eastAsia" w:ascii="仿宋" w:hAnsi="仿宋" w:eastAsia="仿宋" w:cs="仿宋"/>
          <w:color w:val="auto"/>
          <w:sz w:val="28"/>
          <w:highlight w:val="none"/>
          <w:u w:val="single"/>
          <w:lang w:val="en-US" w:eastAsia="zh-CN"/>
        </w:rPr>
        <w:t xml:space="preserve"> 97 </w:t>
      </w:r>
      <w:r>
        <w:rPr>
          <w:rFonts w:hint="eastAsia" w:ascii="仿宋" w:hAnsi="仿宋" w:eastAsia="仿宋" w:cs="仿宋"/>
          <w:color w:val="auto"/>
          <w:sz w:val="28"/>
          <w:highlight w:val="none"/>
          <w:u w:val="none"/>
          <w:lang w:val="en-US" w:eastAsia="zh-CN"/>
        </w:rPr>
        <w:t>%。</w:t>
      </w:r>
    </w:p>
    <w:p w14:paraId="53B3D4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2.1.3合同结算总价的</w:t>
      </w:r>
      <w:r>
        <w:rPr>
          <w:rFonts w:hint="eastAsia" w:ascii="仿宋" w:hAnsi="仿宋" w:eastAsia="仿宋" w:cs="仿宋"/>
          <w:color w:val="auto"/>
          <w:sz w:val="28"/>
          <w:highlight w:val="none"/>
          <w:u w:val="single"/>
          <w:lang w:val="en-US" w:eastAsia="zh-CN"/>
        </w:rPr>
        <w:t xml:space="preserve"> 3 </w:t>
      </w:r>
      <w:r>
        <w:rPr>
          <w:rFonts w:hint="eastAsia" w:ascii="仿宋" w:hAnsi="仿宋" w:eastAsia="仿宋" w:cs="仿宋"/>
          <w:color w:val="auto"/>
          <w:sz w:val="28"/>
          <w:highlight w:val="none"/>
          <w:u w:val="none"/>
          <w:lang w:val="en-US" w:eastAsia="zh-CN"/>
        </w:rPr>
        <w:t>%作为产品保修金，保修期满且乙方取得“保修合格证明”后，双方无息结清保修金。</w:t>
      </w:r>
    </w:p>
    <w:p w14:paraId="7C1CB7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2" w:char="00A3"/>
      </w:r>
      <w:r>
        <w:rPr>
          <w:rFonts w:hint="eastAsia" w:ascii="仿宋" w:hAnsi="仿宋" w:eastAsia="仿宋" w:cs="仿宋"/>
          <w:color w:val="auto"/>
          <w:sz w:val="28"/>
          <w:highlight w:val="none"/>
          <w:u w:val="none"/>
          <w:lang w:val="en-US" w:eastAsia="zh-CN"/>
        </w:rPr>
        <w:t>办法二、其他办法</w:t>
      </w:r>
    </w:p>
    <w:p w14:paraId="6194B7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w:t>
      </w:r>
      <w:r>
        <w:rPr>
          <w:rFonts w:hint="eastAsia" w:ascii="仿宋" w:hAnsi="仿宋" w:eastAsia="仿宋" w:cs="仿宋"/>
          <w:color w:val="auto"/>
          <w:sz w:val="28"/>
          <w:highlight w:val="none"/>
          <w:u w:val="single"/>
          <w:lang w:val="en-US" w:eastAsia="zh-CN"/>
        </w:rPr>
        <w:t>（根据与乙方议定的实际情况填写）</w:t>
      </w:r>
      <w:r>
        <w:rPr>
          <w:rFonts w:hint="eastAsia" w:ascii="仿宋" w:hAnsi="仿宋" w:eastAsia="仿宋" w:cs="仿宋"/>
          <w:color w:val="auto"/>
          <w:sz w:val="28"/>
          <w:highlight w:val="none"/>
          <w:u w:val="none"/>
          <w:lang w:val="en-US" w:eastAsia="zh-CN"/>
        </w:rPr>
        <w:t xml:space="preserve"> </w:t>
      </w:r>
    </w:p>
    <w:p w14:paraId="46A662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付款</w:t>
      </w:r>
      <w:r>
        <w:rPr>
          <w:rFonts w:hint="eastAsia" w:ascii="仿宋" w:hAnsi="仿宋" w:eastAsia="仿宋" w:cs="仿宋"/>
          <w:color w:val="auto"/>
          <w:sz w:val="28"/>
          <w:highlight w:val="none"/>
          <w:u w:val="none"/>
          <w:lang w:val="en-US" w:eastAsia="zh-CN"/>
        </w:rPr>
        <w:t>形</w:t>
      </w:r>
      <w:r>
        <w:rPr>
          <w:rFonts w:hint="default" w:ascii="仿宋" w:hAnsi="仿宋" w:eastAsia="仿宋" w:cs="仿宋"/>
          <w:color w:val="auto"/>
          <w:sz w:val="28"/>
          <w:highlight w:val="none"/>
          <w:u w:val="none"/>
          <w:lang w:val="en-US" w:eastAsia="zh-CN"/>
        </w:rPr>
        <w:t>式：优先使用网银、银行承兑汇票等，支票、电汇视情况而定。甲方</w:t>
      </w:r>
      <w:r>
        <w:rPr>
          <w:rFonts w:hint="eastAsia" w:ascii="仿宋" w:hAnsi="仿宋" w:eastAsia="仿宋" w:cs="仿宋"/>
          <w:color w:val="auto"/>
          <w:sz w:val="28"/>
          <w:highlight w:val="none"/>
          <w:u w:val="none"/>
          <w:lang w:val="en-US" w:eastAsia="zh-CN"/>
        </w:rPr>
        <w:t>以</w:t>
      </w:r>
      <w:r>
        <w:rPr>
          <w:rFonts w:hint="default" w:ascii="仿宋" w:hAnsi="仿宋" w:eastAsia="仿宋" w:cs="仿宋"/>
          <w:color w:val="auto"/>
          <w:sz w:val="28"/>
          <w:highlight w:val="none"/>
          <w:u w:val="none"/>
          <w:lang w:val="en-US" w:eastAsia="zh-CN"/>
        </w:rPr>
        <w:t>其中任意一种支付</w:t>
      </w:r>
      <w:r>
        <w:rPr>
          <w:rFonts w:hint="eastAsia" w:ascii="仿宋" w:hAnsi="仿宋" w:eastAsia="仿宋" w:cs="仿宋"/>
          <w:color w:val="auto"/>
          <w:sz w:val="28"/>
          <w:highlight w:val="none"/>
          <w:u w:val="none"/>
          <w:lang w:val="en-US" w:eastAsia="zh-CN"/>
        </w:rPr>
        <w:t>形</w:t>
      </w:r>
      <w:r>
        <w:rPr>
          <w:rFonts w:hint="default" w:ascii="仿宋" w:hAnsi="仿宋" w:eastAsia="仿宋" w:cs="仿宋"/>
          <w:color w:val="auto"/>
          <w:sz w:val="28"/>
          <w:highlight w:val="none"/>
          <w:u w:val="none"/>
          <w:lang w:val="en-US" w:eastAsia="zh-CN"/>
        </w:rPr>
        <w:t>式给乙方</w:t>
      </w:r>
      <w:r>
        <w:rPr>
          <w:rFonts w:hint="eastAsia" w:ascii="仿宋" w:hAnsi="仿宋" w:eastAsia="仿宋" w:cs="仿宋"/>
          <w:color w:val="auto"/>
          <w:sz w:val="28"/>
          <w:highlight w:val="none"/>
          <w:u w:val="none"/>
          <w:lang w:val="en-US" w:eastAsia="zh-CN"/>
        </w:rPr>
        <w:t>合同</w:t>
      </w:r>
      <w:r>
        <w:rPr>
          <w:rFonts w:hint="default" w:ascii="仿宋" w:hAnsi="仿宋" w:eastAsia="仿宋" w:cs="仿宋"/>
          <w:color w:val="auto"/>
          <w:sz w:val="28"/>
          <w:highlight w:val="none"/>
          <w:u w:val="none"/>
          <w:lang w:val="en-US" w:eastAsia="zh-CN"/>
        </w:rPr>
        <w:t>款，均视为乙方收到该</w:t>
      </w:r>
      <w:r>
        <w:rPr>
          <w:rFonts w:hint="eastAsia" w:ascii="仿宋" w:hAnsi="仿宋" w:eastAsia="仿宋" w:cs="仿宋"/>
          <w:color w:val="auto"/>
          <w:sz w:val="28"/>
          <w:highlight w:val="none"/>
          <w:u w:val="none"/>
          <w:lang w:val="en-US" w:eastAsia="zh-CN"/>
        </w:rPr>
        <w:t>合同</w:t>
      </w:r>
      <w:r>
        <w:rPr>
          <w:rFonts w:hint="default" w:ascii="仿宋" w:hAnsi="仿宋" w:eastAsia="仿宋" w:cs="仿宋"/>
          <w:color w:val="auto"/>
          <w:sz w:val="28"/>
          <w:highlight w:val="none"/>
          <w:u w:val="none"/>
          <w:lang w:val="en-US" w:eastAsia="zh-CN"/>
        </w:rPr>
        <w:t>款。</w:t>
      </w:r>
    </w:p>
    <w:p w14:paraId="6D03DC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2.3发票要求：双方对账完成后，甲方项目部通知乙方开票，乙方开具的发票内容须与合同约定内容一致，并按甲方要求分项目、分地块、分楼栋分别开具，否则视为乙方逾期提供发票给甲方，属乙方违约，甲方有权不付款。乙方逾期提供合格发票的，在提供合格发票时须同时提供“同意延迟付款声明函”（格式详见附件），同时甲方按签收合格发票之日起顺延相应日历天付款，不属甲方违约。甲方付款顺延相应日历天数=甲方实际签收合格发票日-甲方约定签收合格发票日。</w:t>
      </w:r>
      <w:r>
        <w:rPr>
          <w:rFonts w:hint="eastAsia" w:ascii="仿宋" w:hAnsi="仿宋" w:eastAsia="仿宋" w:cs="仿宋"/>
          <w:color w:val="auto"/>
          <w:sz w:val="28"/>
          <w:highlight w:val="none"/>
          <w:u w:val="none"/>
        </w:rPr>
        <w:t>如甲方</w:t>
      </w:r>
      <w:r>
        <w:rPr>
          <w:rFonts w:hint="eastAsia" w:ascii="仿宋" w:hAnsi="仿宋" w:eastAsia="仿宋" w:cs="仿宋"/>
          <w:color w:val="auto"/>
          <w:sz w:val="28"/>
          <w:highlight w:val="none"/>
          <w:u w:val="none"/>
          <w:lang w:val="en-US" w:eastAsia="zh-CN"/>
        </w:rPr>
        <w:t>因特</w:t>
      </w:r>
    </w:p>
    <w:p w14:paraId="063643A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殊原因未收发票却已付</w:t>
      </w:r>
      <w:r>
        <w:rPr>
          <w:rFonts w:hint="eastAsia" w:ascii="仿宋" w:hAnsi="仿宋" w:eastAsia="仿宋" w:cs="仿宋"/>
          <w:color w:val="auto"/>
          <w:sz w:val="28"/>
          <w:highlight w:val="none"/>
          <w:u w:val="none"/>
        </w:rPr>
        <w:t>款，</w:t>
      </w:r>
      <w:r>
        <w:rPr>
          <w:rFonts w:hint="eastAsia" w:ascii="仿宋" w:hAnsi="仿宋" w:eastAsia="仿宋" w:cs="仿宋"/>
          <w:color w:val="auto"/>
          <w:sz w:val="28"/>
          <w:highlight w:val="none"/>
          <w:u w:val="none"/>
          <w:lang w:val="en-US" w:eastAsia="zh-CN"/>
        </w:rPr>
        <w:t>但</w:t>
      </w:r>
      <w:r>
        <w:rPr>
          <w:rFonts w:hint="eastAsia" w:ascii="仿宋" w:hAnsi="仿宋" w:eastAsia="仿宋" w:cs="仿宋"/>
          <w:color w:val="auto"/>
          <w:sz w:val="28"/>
          <w:highlight w:val="none"/>
          <w:u w:val="none"/>
          <w:lang w:eastAsia="zh-CN"/>
        </w:rPr>
        <w:t>乙方逾期</w:t>
      </w:r>
      <w:r>
        <w:rPr>
          <w:rFonts w:hint="eastAsia" w:ascii="仿宋" w:hAnsi="仿宋" w:eastAsia="仿宋" w:cs="仿宋"/>
          <w:color w:val="auto"/>
          <w:sz w:val="28"/>
          <w:highlight w:val="none"/>
          <w:u w:val="none"/>
        </w:rPr>
        <w:t>提供</w:t>
      </w:r>
      <w:r>
        <w:rPr>
          <w:rFonts w:hint="eastAsia" w:ascii="仿宋" w:hAnsi="仿宋" w:eastAsia="仿宋" w:cs="仿宋"/>
          <w:color w:val="auto"/>
          <w:sz w:val="28"/>
          <w:highlight w:val="none"/>
          <w:u w:val="none"/>
          <w:lang w:eastAsia="zh-CN"/>
        </w:rPr>
        <w:t>发票</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lang w:eastAsia="zh-CN"/>
        </w:rPr>
        <w:t>，每逾期1个日历天</w:t>
      </w:r>
      <w:r>
        <w:rPr>
          <w:rFonts w:hint="eastAsia" w:ascii="仿宋" w:hAnsi="仿宋" w:eastAsia="仿宋" w:cs="仿宋"/>
          <w:color w:val="auto"/>
          <w:sz w:val="28"/>
          <w:highlight w:val="none"/>
          <w:u w:val="none"/>
        </w:rPr>
        <w:t>按合同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w:t>
      </w:r>
      <w:r>
        <w:rPr>
          <w:rFonts w:hint="eastAsia"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rPr>
        <w:t>%向甲方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如乙方经甲方书面催告后、超过5</w:t>
      </w:r>
      <w:r>
        <w:rPr>
          <w:rFonts w:hint="eastAsia" w:ascii="仿宋" w:hAnsi="仿宋" w:eastAsia="仿宋" w:cs="仿宋"/>
          <w:color w:val="auto"/>
          <w:sz w:val="28"/>
          <w:highlight w:val="none"/>
          <w:u w:val="none"/>
          <w:lang w:eastAsia="zh-CN"/>
        </w:rPr>
        <w:t>个日历天</w:t>
      </w:r>
      <w:r>
        <w:rPr>
          <w:rFonts w:hint="eastAsia" w:ascii="仿宋" w:hAnsi="仿宋" w:eastAsia="仿宋" w:cs="仿宋"/>
          <w:color w:val="auto"/>
          <w:sz w:val="28"/>
          <w:highlight w:val="none"/>
          <w:u w:val="none"/>
        </w:rPr>
        <w:t>仍不提供的，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另按</w:t>
      </w:r>
      <w:r>
        <w:rPr>
          <w:rFonts w:hint="eastAsia" w:ascii="仿宋" w:hAnsi="仿宋" w:eastAsia="仿宋" w:cs="仿宋"/>
          <w:color w:val="auto"/>
          <w:sz w:val="28"/>
          <w:highlight w:val="none"/>
          <w:u w:val="none"/>
        </w:rPr>
        <w:t>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总价的30%向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val="en-US" w:eastAsia="zh-CN"/>
        </w:rPr>
        <w:tab/>
      </w:r>
    </w:p>
    <w:p w14:paraId="64C1C6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收款账户</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rPr>
        <w:t>开户名称须与本合同</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名称、收款发票开具单位名称一致，否则</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有权不付款且不违约</w:t>
      </w:r>
      <w:r>
        <w:rPr>
          <w:rFonts w:hint="eastAsia" w:ascii="仿宋" w:hAnsi="仿宋" w:eastAsia="仿宋" w:cs="仿宋"/>
          <w:color w:val="auto"/>
          <w:sz w:val="28"/>
          <w:highlight w:val="none"/>
          <w:u w:val="none"/>
          <w:lang w:eastAsia="zh-CN"/>
        </w:rPr>
        <w:t>，直到乙方提供甲方认可的发票再计付款周期。如甲方发现乙方开具假发票，属乙方违约，乙方须书面向甲方承认开具假发票行为并重新开具合法发票，乙方开具假发票视</w:t>
      </w:r>
      <w:r>
        <w:rPr>
          <w:rFonts w:hint="eastAsia" w:ascii="仿宋" w:hAnsi="仿宋" w:eastAsia="仿宋" w:cs="仿宋"/>
          <w:color w:val="auto"/>
          <w:sz w:val="28"/>
          <w:highlight w:val="none"/>
          <w:u w:val="none"/>
          <w:lang w:val="en-US" w:eastAsia="zh-CN"/>
        </w:rPr>
        <w:t>为</w:t>
      </w:r>
      <w:r>
        <w:rPr>
          <w:rFonts w:hint="eastAsia" w:ascii="仿宋" w:hAnsi="仿宋" w:eastAsia="仿宋" w:cs="仿宋"/>
          <w:color w:val="auto"/>
          <w:sz w:val="28"/>
          <w:highlight w:val="none"/>
          <w:u w:val="none"/>
          <w:lang w:eastAsia="zh-CN"/>
        </w:rPr>
        <w:t>乙方逾期提供发票，违约金</w:t>
      </w:r>
      <w:r>
        <w:rPr>
          <w:rFonts w:hint="eastAsia" w:ascii="仿宋" w:hAnsi="仿宋" w:eastAsia="仿宋" w:cs="仿宋"/>
          <w:b w:val="0"/>
          <w:bCs w:val="0"/>
          <w:color w:val="auto"/>
          <w:sz w:val="28"/>
          <w:highlight w:val="none"/>
          <w:u w:val="none"/>
          <w:lang w:eastAsia="zh-CN"/>
        </w:rPr>
        <w:t>按</w:t>
      </w:r>
      <w:r>
        <w:rPr>
          <w:rFonts w:hint="eastAsia" w:ascii="仿宋" w:hAnsi="仿宋" w:eastAsia="仿宋" w:cs="仿宋"/>
          <w:b w:val="0"/>
          <w:bCs w:val="0"/>
          <w:color w:val="auto"/>
          <w:sz w:val="28"/>
          <w:highlight w:val="none"/>
          <w:u w:val="none"/>
          <w:lang w:val="en-US" w:eastAsia="zh-CN"/>
        </w:rPr>
        <w:t>第</w:t>
      </w:r>
      <w:r>
        <w:rPr>
          <w:rFonts w:hint="eastAsia" w:ascii="仿宋" w:hAnsi="仿宋" w:eastAsia="仿宋" w:cs="仿宋"/>
          <w:b w:val="0"/>
          <w:bCs w:val="0"/>
          <w:color w:val="auto"/>
          <w:sz w:val="28"/>
          <w:highlight w:val="none"/>
          <w:u w:val="single"/>
          <w:lang w:val="en-US" w:eastAsia="zh-CN"/>
        </w:rPr>
        <w:t>2.3条款</w:t>
      </w:r>
      <w:r>
        <w:rPr>
          <w:rFonts w:hint="eastAsia" w:ascii="仿宋" w:hAnsi="仿宋" w:eastAsia="仿宋" w:cs="仿宋"/>
          <w:b w:val="0"/>
          <w:bCs w:val="0"/>
          <w:color w:val="auto"/>
          <w:sz w:val="28"/>
          <w:highlight w:val="none"/>
          <w:u w:val="none"/>
          <w:lang w:eastAsia="zh-CN"/>
        </w:rPr>
        <w:t>逾</w:t>
      </w:r>
      <w:r>
        <w:rPr>
          <w:rFonts w:hint="eastAsia" w:ascii="仿宋" w:hAnsi="仿宋" w:eastAsia="仿宋" w:cs="仿宋"/>
          <w:color w:val="auto"/>
          <w:sz w:val="28"/>
          <w:highlight w:val="none"/>
          <w:u w:val="none"/>
          <w:lang w:eastAsia="zh-CN"/>
        </w:rPr>
        <w:t>期提供发票</w:t>
      </w:r>
      <w:r>
        <w:rPr>
          <w:rFonts w:hint="eastAsia" w:ascii="仿宋" w:hAnsi="仿宋" w:eastAsia="仿宋" w:cs="仿宋"/>
          <w:color w:val="auto"/>
          <w:sz w:val="28"/>
          <w:highlight w:val="none"/>
          <w:u w:val="none"/>
          <w:lang w:val="en-US" w:eastAsia="zh-CN"/>
        </w:rPr>
        <w:t>计算</w:t>
      </w:r>
      <w:r>
        <w:rPr>
          <w:rFonts w:hint="eastAsia" w:ascii="仿宋" w:hAnsi="仿宋" w:eastAsia="仿宋" w:cs="仿宋"/>
          <w:color w:val="auto"/>
          <w:sz w:val="28"/>
          <w:highlight w:val="none"/>
          <w:u w:val="none"/>
          <w:lang w:eastAsia="zh-CN"/>
        </w:rPr>
        <w:t>。因乙方提供</w:t>
      </w:r>
      <w:r>
        <w:rPr>
          <w:rFonts w:hint="eastAsia" w:ascii="仿宋" w:hAnsi="仿宋" w:eastAsia="仿宋" w:cs="仿宋"/>
          <w:color w:val="auto"/>
          <w:sz w:val="28"/>
          <w:highlight w:val="none"/>
          <w:u w:val="none"/>
          <w:lang w:val="en-US" w:eastAsia="zh-CN"/>
        </w:rPr>
        <w:t>假发票行为导致的不良后果，包括但不限于行政处罚或使甲方遭受损失等所有费用及损失由乙方全部承担。</w:t>
      </w:r>
    </w:p>
    <w:p w14:paraId="18E4A4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2.5乙方必须按税法规定的四流合一执行合同，即合同流、货物流、发票流、资金流一致，否则视为乙方违约，且由乙方承担所有责任及损失，直至满足四流合一后甲方才予付款。</w:t>
      </w:r>
    </w:p>
    <w:p w14:paraId="6C4367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2.6乙方每次向甲方请款时，须按甲方要求注明该次请款所含的每个组团、每个地块、每栋楼具体金额，并提供符合合同约定的发票给甲方，否则甲方有权不付款且不违约。</w:t>
      </w:r>
    </w:p>
    <w:p w14:paraId="38111EE4">
      <w:pPr>
        <w:pStyle w:val="8"/>
        <w:keepNext w:val="0"/>
        <w:keepLines w:val="0"/>
        <w:pageBreakBefore w:val="0"/>
        <w:wordWrap/>
        <w:topLinePunct w:val="0"/>
        <w:bidi w:val="0"/>
        <w:snapToGrid/>
        <w:spacing w:line="360" w:lineRule="auto"/>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sz w:val="28"/>
          <w:highlight w:val="none"/>
          <w:u w:val="none"/>
          <w:lang w:val="en-US" w:eastAsia="zh-CN"/>
        </w:rPr>
        <w:t>2.7</w:t>
      </w:r>
      <w:r>
        <w:rPr>
          <w:rFonts w:hint="eastAsia" w:ascii="仿宋" w:hAnsi="仿宋" w:eastAsia="仿宋" w:cs="仿宋"/>
          <w:color w:val="auto"/>
          <w:kern w:val="2"/>
          <w:sz w:val="28"/>
          <w:szCs w:val="24"/>
          <w:highlight w:val="none"/>
          <w:u w:val="none"/>
          <w:lang w:val="en-US" w:eastAsia="zh-CN" w:bidi="ar-SA"/>
        </w:rPr>
        <w:t>乙方报送甲方的送货单、对账单等单据中，表述的各种违背本合同约定的内容均无效，乙方承诺均按本合同执行。</w:t>
      </w:r>
    </w:p>
    <w:p w14:paraId="739EAD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2.8如甲乙双方对付款金额/结算金额产生争议，甲方有权暂缓付款且不违约，甲方无需向乙方支付违约金或利息，直至双方达成一致意见后方可按甲方相应流程办理付款手续。</w:t>
      </w:r>
    </w:p>
    <w:p w14:paraId="0BBF49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bookmarkStart w:id="9" w:name="_Toc13709"/>
      <w:bookmarkStart w:id="10" w:name="_Toc9141"/>
      <w:r>
        <w:rPr>
          <w:rFonts w:hint="eastAsia" w:ascii="仿宋" w:hAnsi="仿宋" w:eastAsia="仿宋" w:cs="仿宋"/>
          <w:b w:val="0"/>
          <w:bCs w:val="0"/>
          <w:color w:val="auto"/>
          <w:sz w:val="28"/>
          <w:highlight w:val="none"/>
          <w:u w:val="none"/>
          <w:lang w:val="en-US" w:eastAsia="zh-CN"/>
        </w:rPr>
        <w:t>2.9甲方支付完任一批次货款（不含保修金）后或甲乙双方完成本合同货款结算或甲方支付完货款（不含保修金）后，视为乙方关于除保修金外的合同款支付事宜</w:t>
      </w:r>
    </w:p>
    <w:p w14:paraId="4A2F070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的全部权利消灭，乙方不得基于合同款支付事宜向甲方提出任何权利主张或追索其他任何费用。</w:t>
      </w:r>
    </w:p>
    <w:p w14:paraId="7E7107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2.10履行本合同过程中，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310404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2.11合同履约保证金为人民币</w:t>
      </w:r>
      <w:r>
        <w:rPr>
          <w:rFonts w:hint="eastAsia" w:ascii="仿宋" w:hAnsi="仿宋" w:eastAsia="仿宋" w:cs="仿宋"/>
          <w:b w:val="0"/>
          <w:bCs w:val="0"/>
          <w:color w:val="auto"/>
          <w:sz w:val="28"/>
          <w:highlight w:val="none"/>
          <w:u w:val="single"/>
          <w:lang w:val="en-US" w:eastAsia="zh-CN"/>
        </w:rPr>
        <w:t xml:space="preserve"> 伍仟 </w:t>
      </w:r>
      <w:r>
        <w:rPr>
          <w:rFonts w:hint="eastAsia" w:ascii="仿宋" w:hAnsi="仿宋" w:eastAsia="仿宋" w:cs="仿宋"/>
          <w:b w:val="0"/>
          <w:bCs w:val="0"/>
          <w:color w:val="auto"/>
          <w:sz w:val="28"/>
          <w:highlight w:val="none"/>
          <w:u w:val="none"/>
          <w:lang w:val="en-US" w:eastAsia="zh-CN"/>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产品验收合格、甲方收齐资料、移交甲方正常使用后，甲方无息原路退回履约保证金。</w:t>
      </w:r>
    </w:p>
    <w:p w14:paraId="4E628F0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color w:val="auto"/>
          <w:sz w:val="28"/>
          <w:highlight w:val="none"/>
          <w:lang w:val="en-US" w:eastAsia="zh-CN"/>
        </w:rPr>
      </w:pPr>
      <w:bookmarkStart w:id="11" w:name="_Toc20399"/>
      <w:r>
        <w:rPr>
          <w:rFonts w:hint="eastAsia" w:ascii="仿宋" w:hAnsi="仿宋" w:eastAsia="仿宋" w:cs="仿宋"/>
          <w:b/>
          <w:bCs/>
          <w:color w:val="auto"/>
          <w:sz w:val="28"/>
          <w:highlight w:val="none"/>
          <w:lang w:val="en-US" w:eastAsia="zh-CN"/>
        </w:rPr>
        <w:t>第三章、产品</w:t>
      </w:r>
      <w:r>
        <w:rPr>
          <w:rFonts w:hint="eastAsia" w:ascii="仿宋" w:hAnsi="仿宋" w:eastAsia="仿宋" w:cs="仿宋"/>
          <w:b/>
          <w:bCs/>
          <w:color w:val="auto"/>
          <w:sz w:val="28"/>
          <w:highlight w:val="none"/>
        </w:rPr>
        <w:t>质量</w:t>
      </w:r>
      <w:r>
        <w:rPr>
          <w:rFonts w:hint="eastAsia" w:ascii="仿宋" w:hAnsi="仿宋" w:eastAsia="仿宋" w:cs="仿宋"/>
          <w:b/>
          <w:bCs/>
          <w:color w:val="auto"/>
          <w:sz w:val="28"/>
          <w:highlight w:val="none"/>
          <w:lang w:val="en-US" w:eastAsia="zh-CN"/>
        </w:rPr>
        <w:t>及包装要求</w:t>
      </w:r>
      <w:bookmarkEnd w:id="9"/>
      <w:bookmarkEnd w:id="10"/>
      <w:bookmarkEnd w:id="11"/>
    </w:p>
    <w:p w14:paraId="335146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3.1质量要求</w:t>
      </w:r>
    </w:p>
    <w:p w14:paraId="415992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3.1.1</w:t>
      </w:r>
      <w:r>
        <w:rPr>
          <w:rFonts w:hint="eastAsia" w:ascii="仿宋" w:hAnsi="仿宋" w:eastAsia="仿宋" w:cs="仿宋"/>
          <w:color w:val="auto"/>
          <w:sz w:val="28"/>
          <w:highlight w:val="none"/>
        </w:rPr>
        <w:t>产品必须满足</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验收要求且符合</w:t>
      </w:r>
      <w:r>
        <w:rPr>
          <w:rFonts w:hint="eastAsia" w:ascii="仿宋" w:hAnsi="仿宋" w:eastAsia="仿宋" w:cs="仿宋"/>
          <w:color w:val="auto"/>
          <w:sz w:val="28"/>
          <w:highlight w:val="none"/>
          <w:lang w:eastAsia="zh-CN"/>
        </w:rPr>
        <w:t>产品使用地点政府主管部门的</w:t>
      </w:r>
      <w:r>
        <w:rPr>
          <w:rFonts w:hint="eastAsia" w:ascii="仿宋" w:hAnsi="仿宋" w:eastAsia="仿宋" w:cs="仿宋"/>
          <w:color w:val="auto"/>
          <w:sz w:val="28"/>
          <w:highlight w:val="none"/>
        </w:rPr>
        <w:t>相关质量</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验收规定，必须是</w:t>
      </w:r>
      <w:r>
        <w:rPr>
          <w:rFonts w:hint="eastAsia" w:ascii="仿宋" w:hAnsi="仿宋" w:eastAsia="仿宋" w:cs="仿宋"/>
          <w:color w:val="auto"/>
          <w:sz w:val="28"/>
          <w:highlight w:val="none"/>
          <w:lang w:val="en-US" w:eastAsia="zh-CN"/>
        </w:rPr>
        <w:t>符合合同约定</w:t>
      </w:r>
      <w:r>
        <w:rPr>
          <w:rFonts w:hint="eastAsia" w:ascii="仿宋" w:hAnsi="仿宋" w:eastAsia="仿宋" w:cs="仿宋"/>
          <w:color w:val="auto"/>
          <w:sz w:val="28"/>
          <w:highlight w:val="none"/>
        </w:rPr>
        <w:t>的</w:t>
      </w:r>
      <w:r>
        <w:rPr>
          <w:rFonts w:hint="eastAsia" w:ascii="仿宋" w:hAnsi="仿宋" w:eastAsia="仿宋" w:cs="仿宋"/>
          <w:color w:val="auto"/>
          <w:sz w:val="28"/>
          <w:highlight w:val="none"/>
          <w:lang w:val="en-US" w:eastAsia="zh-CN"/>
        </w:rPr>
        <w:t>产品</w:t>
      </w:r>
      <w:r>
        <w:rPr>
          <w:rFonts w:hint="eastAsia" w:ascii="仿宋" w:hAnsi="仿宋" w:eastAsia="仿宋" w:cs="仿宋"/>
          <w:color w:val="auto"/>
          <w:sz w:val="28"/>
          <w:highlight w:val="none"/>
        </w:rPr>
        <w:t>(包括</w:t>
      </w:r>
      <w:r>
        <w:rPr>
          <w:rFonts w:hint="eastAsia" w:ascii="仿宋" w:hAnsi="仿宋" w:eastAsia="仿宋" w:cs="仿宋"/>
          <w:color w:val="auto"/>
          <w:sz w:val="28"/>
          <w:highlight w:val="none"/>
          <w:lang w:val="en-US" w:eastAsia="zh-CN"/>
        </w:rPr>
        <w:t>产品包含的</w:t>
      </w:r>
      <w:r>
        <w:rPr>
          <w:rFonts w:hint="eastAsia" w:ascii="仿宋" w:hAnsi="仿宋" w:eastAsia="仿宋" w:cs="仿宋"/>
          <w:color w:val="auto"/>
          <w:sz w:val="28"/>
          <w:highlight w:val="none"/>
        </w:rPr>
        <w:t>零件</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配件</w:t>
      </w:r>
      <w:r>
        <w:rPr>
          <w:rFonts w:hint="eastAsia" w:ascii="仿宋" w:hAnsi="仿宋" w:eastAsia="仿宋" w:cs="仿宋"/>
          <w:color w:val="auto"/>
          <w:sz w:val="28"/>
          <w:highlight w:val="none"/>
        </w:rPr>
        <w:t>)，</w:t>
      </w:r>
      <w:r>
        <w:rPr>
          <w:rFonts w:hint="eastAsia" w:ascii="仿宋" w:hAnsi="仿宋" w:eastAsia="仿宋" w:cs="仿宋"/>
          <w:color w:val="auto"/>
          <w:sz w:val="28"/>
          <w:highlight w:val="none"/>
          <w:u w:val="none"/>
        </w:rPr>
        <w:t>符合</w:t>
      </w:r>
      <w:r>
        <w:rPr>
          <w:rFonts w:hint="eastAsia" w:ascii="仿宋" w:hAnsi="仿宋" w:eastAsia="仿宋" w:cs="仿宋"/>
          <w:color w:val="auto"/>
          <w:sz w:val="28"/>
          <w:highlight w:val="none"/>
          <w:u w:val="none"/>
          <w:lang w:eastAsia="zh-CN"/>
        </w:rPr>
        <w:t>本</w:t>
      </w:r>
      <w:r>
        <w:rPr>
          <w:rFonts w:hint="eastAsia" w:ascii="仿宋" w:hAnsi="仿宋" w:eastAsia="仿宋" w:cs="仿宋"/>
          <w:color w:val="auto"/>
          <w:sz w:val="28"/>
          <w:highlight w:val="none"/>
          <w:u w:val="none"/>
        </w:rPr>
        <w:t>合同要求，符合原厂质量检测标准和国家质量检测标准、行业标准，不得</w:t>
      </w:r>
      <w:r>
        <w:rPr>
          <w:rFonts w:hint="eastAsia" w:ascii="仿宋" w:hAnsi="仿宋" w:eastAsia="仿宋" w:cs="仿宋"/>
          <w:color w:val="auto"/>
          <w:sz w:val="28"/>
          <w:highlight w:val="none"/>
        </w:rPr>
        <w:t>低于合格标准。进口的产品或零部件必须符合原产地</w:t>
      </w:r>
      <w:r>
        <w:rPr>
          <w:rFonts w:hint="eastAsia" w:ascii="仿宋" w:hAnsi="仿宋" w:eastAsia="仿宋" w:cs="仿宋"/>
          <w:color w:val="auto"/>
          <w:sz w:val="28"/>
          <w:highlight w:val="none"/>
          <w:lang w:val="en-US" w:eastAsia="zh-CN"/>
        </w:rPr>
        <w:t>的合格品要求</w:t>
      </w:r>
      <w:r>
        <w:rPr>
          <w:rFonts w:hint="eastAsia" w:ascii="仿宋" w:hAnsi="仿宋" w:eastAsia="仿宋" w:cs="仿宋"/>
          <w:color w:val="auto"/>
          <w:sz w:val="28"/>
          <w:highlight w:val="none"/>
        </w:rPr>
        <w:t>，须具有合法进口手续及通过国家相关主管部门的检验</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检测</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产品交货日期距生产日期不得超过三个月，否则视为不合格产品。</w:t>
      </w:r>
    </w:p>
    <w:p w14:paraId="26E774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3.1.2</w:t>
      </w:r>
      <w:r>
        <w:rPr>
          <w:rFonts w:hint="eastAsia" w:ascii="仿宋" w:hAnsi="仿宋" w:eastAsia="仿宋" w:cs="仿宋"/>
          <w:color w:val="auto"/>
          <w:sz w:val="28"/>
          <w:highlight w:val="none"/>
          <w:u w:val="none"/>
          <w:vertAlign w:val="baseline"/>
          <w:lang w:val="en-US" w:eastAsia="zh-CN"/>
        </w:rPr>
        <w:t>进场产品必须与甲乙双方事先确认的样板相同，如不相同，乙方无条件按甲方要求更换或退货。本合同所述各种产品标准、规范的质量表述不一致时，按质量要求最高的表述执行。</w:t>
      </w:r>
    </w:p>
    <w:p w14:paraId="5C9FA8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bCs/>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3.1.3其他需要约定的与产品质量相关的事项</w:t>
      </w:r>
      <w:r>
        <w:rPr>
          <w:rFonts w:hint="eastAsia" w:ascii="仿宋" w:hAnsi="仿宋" w:eastAsia="仿宋" w:cs="仿宋"/>
          <w:color w:val="auto"/>
          <w:sz w:val="28"/>
          <w:highlight w:val="none"/>
          <w:u w:val="single"/>
          <w:vertAlign w:val="baseline"/>
          <w:lang w:val="en-US" w:eastAsia="zh-CN"/>
        </w:rPr>
        <w:t>：/。</w:t>
      </w:r>
    </w:p>
    <w:p w14:paraId="7CC716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vertAlign w:val="baseline"/>
          <w:lang w:val="en-US" w:eastAsia="zh-CN"/>
        </w:rPr>
      </w:pPr>
      <w:r>
        <w:rPr>
          <w:rFonts w:hint="eastAsia" w:ascii="仿宋" w:hAnsi="仿宋" w:eastAsia="仿宋" w:cs="仿宋"/>
          <w:color w:val="auto"/>
          <w:sz w:val="28"/>
          <w:highlight w:val="none"/>
          <w:lang w:val="en-US" w:eastAsia="zh-CN"/>
        </w:rPr>
        <w:t>3.2产品包装要求：</w:t>
      </w:r>
      <w:r>
        <w:rPr>
          <w:rFonts w:hint="eastAsia" w:ascii="仿宋" w:hAnsi="仿宋" w:eastAsia="仿宋" w:cs="仿宋"/>
          <w:b/>
          <w:bCs/>
          <w:color w:val="auto"/>
          <w:sz w:val="28"/>
          <w:highlight w:val="none"/>
          <w:u w:val="single"/>
          <w:vertAlign w:val="baseline"/>
          <w:lang w:val="en-US" w:eastAsia="zh-CN"/>
        </w:rPr>
        <w:t>/</w:t>
      </w:r>
      <w:r>
        <w:rPr>
          <w:rFonts w:hint="eastAsia" w:ascii="仿宋" w:hAnsi="仿宋" w:eastAsia="仿宋" w:cs="仿宋"/>
          <w:color w:val="auto"/>
          <w:sz w:val="28"/>
          <w:highlight w:val="none"/>
          <w:u w:val="single"/>
          <w:vertAlign w:val="baseline"/>
          <w:lang w:val="en-US" w:eastAsia="zh-CN"/>
        </w:rPr>
        <w:t>。</w:t>
      </w:r>
    </w:p>
    <w:p w14:paraId="26B831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vertAlign w:val="baseline"/>
          <w:lang w:val="en-US" w:eastAsia="zh-CN"/>
        </w:rPr>
        <w:t>3.3</w:t>
      </w:r>
      <w:r>
        <w:rPr>
          <w:rFonts w:hint="eastAsia" w:ascii="仿宋" w:hAnsi="仿宋" w:eastAsia="仿宋" w:cs="仿宋"/>
          <w:color w:val="auto"/>
          <w:sz w:val="28"/>
          <w:highlight w:val="none"/>
          <w:u w:val="none"/>
          <w:lang w:val="en-US" w:eastAsia="zh-CN"/>
        </w:rPr>
        <w:t>产品包装物归属：</w:t>
      </w: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乙方自行清运拉走，费用已含于合同单价中。</w:t>
      </w: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highlight w:val="none"/>
          <w:u w:val="none"/>
          <w:lang w:val="en-US" w:eastAsia="zh-CN"/>
        </w:rPr>
        <w:t>包装物归甲方所有，费用已含于合同单价中。</w:t>
      </w:r>
    </w:p>
    <w:p w14:paraId="7BD306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bCs/>
          <w:color w:val="auto"/>
          <w:sz w:val="28"/>
          <w:highlight w:val="none"/>
          <w:lang w:val="en-US" w:eastAsia="zh-CN"/>
        </w:rPr>
      </w:pPr>
      <w:bookmarkStart w:id="12" w:name="_Toc23033"/>
      <w:bookmarkStart w:id="13" w:name="_Toc19751"/>
      <w:bookmarkStart w:id="14" w:name="_Toc29235"/>
      <w:r>
        <w:rPr>
          <w:rFonts w:hint="eastAsia" w:ascii="仿宋" w:hAnsi="仿宋" w:eastAsia="仿宋" w:cs="仿宋"/>
          <w:b/>
          <w:bCs/>
          <w:color w:val="auto"/>
          <w:sz w:val="28"/>
          <w:highlight w:val="none"/>
          <w:u w:val="none"/>
          <w:lang w:val="en-US" w:eastAsia="zh-CN"/>
        </w:rPr>
        <w:t>第四章、</w:t>
      </w:r>
      <w:r>
        <w:rPr>
          <w:rFonts w:hint="eastAsia" w:ascii="仿宋" w:hAnsi="仿宋" w:eastAsia="仿宋" w:cs="仿宋"/>
          <w:b/>
          <w:bCs/>
          <w:color w:val="auto"/>
          <w:sz w:val="28"/>
          <w:highlight w:val="none"/>
          <w:u w:val="none"/>
          <w:lang w:eastAsia="zh-CN"/>
        </w:rPr>
        <w:t>订货、</w:t>
      </w:r>
      <w:r>
        <w:rPr>
          <w:rFonts w:hint="eastAsia" w:ascii="仿宋" w:hAnsi="仿宋" w:eastAsia="仿宋" w:cs="仿宋"/>
          <w:b/>
          <w:bCs/>
          <w:color w:val="auto"/>
          <w:sz w:val="28"/>
          <w:highlight w:val="none"/>
        </w:rPr>
        <w:t>交货</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验收</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lang w:val="en-US" w:eastAsia="zh-CN"/>
        </w:rPr>
        <w:t>包装物</w:t>
      </w:r>
      <w:r>
        <w:rPr>
          <w:rFonts w:hint="eastAsia" w:ascii="仿宋" w:hAnsi="仿宋" w:eastAsia="仿宋" w:cs="仿宋"/>
          <w:b/>
          <w:bCs/>
          <w:color w:val="auto"/>
          <w:sz w:val="28"/>
          <w:highlight w:val="none"/>
          <w:lang w:eastAsia="zh-CN"/>
        </w:rPr>
        <w:t>及</w:t>
      </w:r>
      <w:bookmarkEnd w:id="12"/>
      <w:r>
        <w:rPr>
          <w:rFonts w:hint="eastAsia" w:ascii="仿宋" w:hAnsi="仿宋" w:eastAsia="仿宋" w:cs="仿宋"/>
          <w:b/>
          <w:bCs/>
          <w:color w:val="auto"/>
          <w:sz w:val="28"/>
          <w:highlight w:val="none"/>
          <w:lang w:eastAsia="zh-CN"/>
        </w:rPr>
        <w:t>保修</w:t>
      </w:r>
      <w:bookmarkEnd w:id="13"/>
      <w:bookmarkEnd w:id="14"/>
    </w:p>
    <w:p w14:paraId="378A88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single"/>
          <w:lang w:val="en-US" w:eastAsia="zh-CN"/>
        </w:rPr>
      </w:pPr>
      <w:r>
        <w:rPr>
          <w:rFonts w:hint="eastAsia" w:ascii="仿宋" w:hAnsi="仿宋" w:eastAsia="仿宋" w:cs="仿宋"/>
          <w:b w:val="0"/>
          <w:bCs w:val="0"/>
          <w:color w:val="auto"/>
          <w:sz w:val="28"/>
          <w:highlight w:val="none"/>
          <w:lang w:val="en-US" w:eastAsia="zh-CN"/>
        </w:rPr>
        <w:t>4.1</w:t>
      </w:r>
      <w:r>
        <w:rPr>
          <w:rFonts w:hint="eastAsia" w:ascii="仿宋" w:hAnsi="仿宋" w:eastAsia="仿宋" w:cs="仿宋"/>
          <w:color w:val="auto"/>
          <w:sz w:val="28"/>
          <w:highlight w:val="none"/>
          <w:u w:val="none"/>
          <w:lang w:eastAsia="zh-CN"/>
        </w:rPr>
        <w:t>订单确认方式：</w:t>
      </w:r>
      <w:r>
        <w:rPr>
          <w:rFonts w:hint="eastAsia" w:ascii="仿宋" w:hAnsi="仿宋" w:eastAsia="仿宋" w:cs="仿宋"/>
          <w:color w:val="auto"/>
          <w:sz w:val="28"/>
          <w:highlight w:val="none"/>
          <w:u w:val="single"/>
          <w:lang w:val="en-US" w:eastAsia="zh-CN"/>
        </w:rPr>
        <w:t>以经甲方本合同执行联系人、施工员等相关岗位人员签名的</w:t>
      </w:r>
    </w:p>
    <w:p w14:paraId="16F4DD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single"/>
          <w:lang w:val="en-US" w:eastAsia="zh-CN"/>
        </w:rPr>
        <w:t>物料申购单</w:t>
      </w:r>
      <w:r>
        <w:rPr>
          <w:rFonts w:hint="eastAsia" w:ascii="仿宋" w:hAnsi="仿宋" w:eastAsia="仿宋" w:cs="仿宋"/>
          <w:color w:val="auto"/>
          <w:sz w:val="28"/>
          <w:highlight w:val="none"/>
          <w:u w:val="single"/>
          <w:lang w:eastAsia="zh-CN"/>
        </w:rPr>
        <w:t>（</w:t>
      </w:r>
      <w:r>
        <w:rPr>
          <w:rFonts w:hint="eastAsia" w:ascii="仿宋" w:hAnsi="仿宋" w:eastAsia="仿宋" w:cs="仿宋"/>
          <w:color w:val="auto"/>
          <w:sz w:val="28"/>
          <w:highlight w:val="none"/>
          <w:u w:val="single"/>
          <w:lang w:val="en-US" w:eastAsia="zh-CN"/>
        </w:rPr>
        <w:t>格式详见附件《物料申购单》</w:t>
      </w:r>
      <w:r>
        <w:rPr>
          <w:rFonts w:hint="eastAsia" w:ascii="仿宋" w:hAnsi="仿宋" w:eastAsia="仿宋" w:cs="仿宋"/>
          <w:color w:val="auto"/>
          <w:sz w:val="28"/>
          <w:highlight w:val="none"/>
          <w:u w:val="single"/>
          <w:lang w:eastAsia="zh-CN"/>
        </w:rPr>
        <w:t>）</w:t>
      </w:r>
      <w:r>
        <w:rPr>
          <w:rFonts w:hint="eastAsia" w:ascii="仿宋" w:hAnsi="仿宋" w:eastAsia="仿宋" w:cs="仿宋"/>
          <w:color w:val="auto"/>
          <w:sz w:val="28"/>
          <w:highlight w:val="none"/>
          <w:u w:val="single"/>
          <w:lang w:val="en-US" w:eastAsia="zh-CN"/>
        </w:rPr>
        <w:t>扫描件为准</w:t>
      </w:r>
      <w:r>
        <w:rPr>
          <w:rFonts w:hint="eastAsia" w:ascii="仿宋" w:hAnsi="仿宋" w:eastAsia="仿宋" w:cs="仿宋"/>
          <w:color w:val="auto"/>
          <w:sz w:val="28"/>
          <w:highlight w:val="none"/>
          <w:u w:val="single"/>
          <w:lang w:eastAsia="zh-CN"/>
        </w:rPr>
        <w:t>，</w:t>
      </w:r>
      <w:r>
        <w:rPr>
          <w:rFonts w:hint="eastAsia" w:ascii="仿宋" w:hAnsi="仿宋" w:eastAsia="仿宋" w:cs="仿宋"/>
          <w:color w:val="auto"/>
          <w:sz w:val="28"/>
          <w:highlight w:val="none"/>
          <w:u w:val="single"/>
          <w:lang w:val="en-US" w:eastAsia="zh-CN"/>
        </w:rPr>
        <w:t>详见第4.4.1条约定。</w:t>
      </w:r>
    </w:p>
    <w:p w14:paraId="4CBA08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u w:val="none"/>
          <w:lang w:val="en-US" w:eastAsia="zh-CN"/>
        </w:rPr>
        <w:t>4.2</w:t>
      </w:r>
      <w:r>
        <w:rPr>
          <w:rFonts w:hint="eastAsia" w:ascii="仿宋" w:hAnsi="仿宋" w:eastAsia="仿宋" w:cs="仿宋"/>
          <w:color w:val="auto"/>
          <w:sz w:val="28"/>
          <w:highlight w:val="none"/>
        </w:rPr>
        <w:t>交货地点</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u w:val="single"/>
          <w:lang w:val="en-US" w:eastAsia="zh-CN"/>
        </w:rPr>
        <w:t>江苏省南京市六合区南京现代表面处理科技产业中心项目A地块甲方项目部指定位置</w:t>
      </w:r>
      <w:r>
        <w:rPr>
          <w:rFonts w:hint="eastAsia" w:ascii="仿宋" w:hAnsi="仿宋" w:eastAsia="仿宋" w:cs="仿宋"/>
          <w:b/>
          <w:bCs/>
          <w:color w:val="auto"/>
          <w:sz w:val="28"/>
          <w:highlight w:val="none"/>
          <w:u w:val="single"/>
          <w:lang w:val="en-US" w:eastAsia="zh-CN"/>
        </w:rPr>
        <w:t>。</w:t>
      </w:r>
      <w:r>
        <w:rPr>
          <w:rFonts w:hint="eastAsia" w:ascii="仿宋" w:hAnsi="仿宋" w:eastAsia="仿宋" w:cs="仿宋"/>
          <w:color w:val="auto"/>
          <w:sz w:val="28"/>
          <w:highlight w:val="none"/>
        </w:rPr>
        <w:tab/>
      </w:r>
    </w:p>
    <w:p w14:paraId="0EE61C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color w:val="auto"/>
          <w:sz w:val="28"/>
          <w:highlight w:val="none"/>
          <w:lang w:val="en-US" w:eastAsia="zh-CN"/>
        </w:rPr>
        <w:t>4.3</w:t>
      </w:r>
      <w:r>
        <w:rPr>
          <w:rFonts w:hint="eastAsia" w:ascii="仿宋" w:hAnsi="仿宋" w:eastAsia="仿宋" w:cs="仿宋"/>
          <w:color w:val="auto"/>
          <w:sz w:val="28"/>
          <w:highlight w:val="none"/>
        </w:rPr>
        <w:t>交货期限</w:t>
      </w:r>
      <w:r>
        <w:rPr>
          <w:rFonts w:hint="eastAsia" w:ascii="仿宋" w:hAnsi="仿宋" w:eastAsia="仿宋" w:cs="仿宋"/>
          <w:color w:val="auto"/>
          <w:sz w:val="28"/>
          <w:highlight w:val="none"/>
          <w:lang w:eastAsia="zh-CN"/>
        </w:rPr>
        <w:t>：</w:t>
      </w:r>
      <w:r>
        <w:rPr>
          <w:rFonts w:hint="eastAsia" w:ascii="仿宋" w:hAnsi="仿宋" w:eastAsia="仿宋" w:cs="仿宋"/>
          <w:b w:val="0"/>
          <w:bCs w:val="0"/>
          <w:color w:val="auto"/>
          <w:sz w:val="28"/>
          <w:highlight w:val="none"/>
          <w:u w:val="single"/>
          <w:lang w:eastAsia="zh-CN"/>
        </w:rPr>
        <w:t>乙方自</w:t>
      </w:r>
      <w:r>
        <w:rPr>
          <w:rFonts w:hint="eastAsia" w:ascii="仿宋" w:hAnsi="仿宋" w:eastAsia="仿宋" w:cs="仿宋"/>
          <w:b w:val="0"/>
          <w:bCs w:val="0"/>
          <w:color w:val="auto"/>
          <w:sz w:val="28"/>
          <w:highlight w:val="none"/>
          <w:u w:val="single"/>
          <w:lang w:val="en-US" w:eastAsia="zh-CN"/>
        </w:rPr>
        <w:t>甲方发出订单之日起三</w:t>
      </w:r>
      <w:r>
        <w:rPr>
          <w:rFonts w:hint="eastAsia" w:ascii="仿宋" w:hAnsi="仿宋" w:eastAsia="仿宋" w:cs="仿宋"/>
          <w:b/>
          <w:bCs/>
          <w:color w:val="auto"/>
          <w:sz w:val="28"/>
          <w:highlight w:val="none"/>
          <w:u w:val="single"/>
          <w:lang w:val="en-US" w:eastAsia="zh-CN"/>
        </w:rPr>
        <w:t>个日历天</w:t>
      </w:r>
      <w:r>
        <w:rPr>
          <w:rFonts w:hint="eastAsia" w:ascii="仿宋" w:hAnsi="仿宋" w:eastAsia="仿宋" w:cs="仿宋"/>
          <w:b w:val="0"/>
          <w:bCs w:val="0"/>
          <w:color w:val="auto"/>
          <w:sz w:val="28"/>
          <w:highlight w:val="none"/>
          <w:u w:val="single"/>
        </w:rPr>
        <w:t>内</w:t>
      </w:r>
      <w:r>
        <w:rPr>
          <w:rFonts w:hint="eastAsia" w:ascii="仿宋" w:hAnsi="仿宋" w:eastAsia="仿宋" w:cs="仿宋"/>
          <w:b w:val="0"/>
          <w:bCs w:val="0"/>
          <w:color w:val="auto"/>
          <w:sz w:val="28"/>
          <w:highlight w:val="none"/>
          <w:u w:val="single"/>
          <w:lang w:eastAsia="zh-CN"/>
        </w:rPr>
        <w:t>，把</w:t>
      </w:r>
      <w:r>
        <w:rPr>
          <w:rFonts w:hint="eastAsia" w:ascii="仿宋" w:hAnsi="仿宋" w:eastAsia="仿宋" w:cs="仿宋"/>
          <w:b w:val="0"/>
          <w:bCs w:val="0"/>
          <w:color w:val="auto"/>
          <w:sz w:val="28"/>
          <w:highlight w:val="none"/>
          <w:u w:val="single"/>
          <w:lang w:val="en-US" w:eastAsia="zh-CN"/>
        </w:rPr>
        <w:t>该订单对应的</w:t>
      </w:r>
      <w:r>
        <w:rPr>
          <w:rFonts w:hint="eastAsia" w:ascii="仿宋" w:hAnsi="仿宋" w:eastAsia="仿宋" w:cs="仿宋"/>
          <w:b w:val="0"/>
          <w:bCs w:val="0"/>
          <w:color w:val="auto"/>
          <w:sz w:val="28"/>
          <w:highlight w:val="none"/>
          <w:u w:val="single"/>
          <w:lang w:eastAsia="zh-CN"/>
        </w:rPr>
        <w:t>产品送齐至交货</w:t>
      </w:r>
      <w:r>
        <w:rPr>
          <w:rFonts w:hint="eastAsia" w:ascii="仿宋" w:hAnsi="仿宋" w:eastAsia="仿宋" w:cs="仿宋"/>
          <w:b w:val="0"/>
          <w:bCs w:val="0"/>
          <w:color w:val="auto"/>
          <w:sz w:val="28"/>
          <w:highlight w:val="none"/>
          <w:u w:val="single"/>
        </w:rPr>
        <w:t>地点</w:t>
      </w:r>
      <w:r>
        <w:rPr>
          <w:rFonts w:hint="eastAsia" w:ascii="仿宋" w:hAnsi="仿宋" w:eastAsia="仿宋" w:cs="仿宋"/>
          <w:b w:val="0"/>
          <w:bCs w:val="0"/>
          <w:color w:val="auto"/>
          <w:sz w:val="28"/>
          <w:highlight w:val="none"/>
          <w:u w:val="single"/>
          <w:lang w:val="en-US" w:eastAsia="zh-CN"/>
        </w:rPr>
        <w:t>、验收合格并移交甲方正常使用。</w:t>
      </w:r>
    </w:p>
    <w:p w14:paraId="2E071D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4.4双方联系人及权限</w:t>
      </w:r>
    </w:p>
    <w:p w14:paraId="000FBB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4.4.1甲方指定</w:t>
      </w:r>
      <w:r>
        <w:rPr>
          <w:rFonts w:hint="eastAsia" w:ascii="仿宋" w:hAnsi="仿宋" w:eastAsia="仿宋" w:cs="仿宋"/>
          <w:b w:val="0"/>
          <w:bCs w:val="0"/>
          <w:color w:val="auto"/>
          <w:sz w:val="28"/>
          <w:highlight w:val="none"/>
          <w:u w:val="single"/>
          <w:lang w:val="en-US" w:eastAsia="zh-CN"/>
        </w:rPr>
        <w:t xml:space="preserve">  彭善海（手机号码：13592796498）</w:t>
      </w:r>
      <w:r>
        <w:rPr>
          <w:rFonts w:hint="eastAsia" w:ascii="仿宋" w:hAnsi="仿宋" w:eastAsia="仿宋" w:cs="仿宋"/>
          <w:b w:val="0"/>
          <w:bCs w:val="0"/>
          <w:color w:val="auto"/>
          <w:sz w:val="28"/>
          <w:highlight w:val="none"/>
          <w:lang w:val="en-US" w:eastAsia="zh-CN"/>
        </w:rPr>
        <w:t>为本合同甲方执行联系人；指定</w:t>
      </w:r>
      <w:r>
        <w:rPr>
          <w:rFonts w:hint="eastAsia" w:ascii="仿宋" w:hAnsi="仿宋" w:eastAsia="仿宋" w:cs="仿宋"/>
          <w:b w:val="0"/>
          <w:bCs w:val="0"/>
          <w:color w:val="auto"/>
          <w:sz w:val="28"/>
          <w:highlight w:val="none"/>
          <w:u w:val="single"/>
          <w:lang w:val="en-US" w:eastAsia="zh-CN"/>
        </w:rPr>
        <w:t xml:space="preserve"> 杨军 </w:t>
      </w:r>
      <w:r>
        <w:rPr>
          <w:rFonts w:hint="eastAsia" w:ascii="仿宋" w:hAnsi="仿宋" w:eastAsia="仿宋" w:cs="仿宋"/>
          <w:b w:val="0"/>
          <w:bCs w:val="0"/>
          <w:color w:val="auto"/>
          <w:sz w:val="28"/>
          <w:highlight w:val="none"/>
          <w:lang w:val="en-US" w:eastAsia="zh-CN"/>
        </w:rPr>
        <w:t>（联系电话：</w:t>
      </w:r>
      <w:r>
        <w:rPr>
          <w:rFonts w:hint="eastAsia" w:ascii="仿宋" w:hAnsi="仿宋" w:eastAsia="仿宋" w:cs="仿宋"/>
          <w:b w:val="0"/>
          <w:bCs w:val="0"/>
          <w:color w:val="auto"/>
          <w:sz w:val="28"/>
          <w:highlight w:val="none"/>
          <w:u w:val="single"/>
          <w:lang w:val="en-US" w:eastAsia="zh-CN"/>
        </w:rPr>
        <w:t xml:space="preserve">  </w:t>
      </w:r>
      <w:bookmarkStart w:id="25" w:name="_GoBack"/>
      <w:bookmarkEnd w:id="25"/>
      <w:r>
        <w:rPr>
          <w:rFonts w:hint="eastAsia" w:ascii="仿宋" w:hAnsi="仿宋" w:eastAsia="仿宋" w:cs="仿宋"/>
          <w:b w:val="0"/>
          <w:bCs w:val="0"/>
          <w:color w:val="auto"/>
          <w:sz w:val="28"/>
          <w:highlight w:val="none"/>
          <w:u w:val="single"/>
          <w:lang w:val="en-US" w:eastAsia="zh-CN"/>
        </w:rPr>
        <w:t xml:space="preserve">13652456602 </w:t>
      </w:r>
      <w:r>
        <w:rPr>
          <w:rFonts w:hint="eastAsia" w:ascii="仿宋" w:hAnsi="仿宋" w:eastAsia="仿宋" w:cs="仿宋"/>
          <w:b w:val="0"/>
          <w:bCs w:val="0"/>
          <w:color w:val="auto"/>
          <w:sz w:val="28"/>
          <w:highlight w:val="none"/>
          <w:lang w:val="en-US" w:eastAsia="zh-CN"/>
        </w:rPr>
        <w:t>）为产品签收人，负责组织产品验收、收方。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执行联系人签名并加盖甲方项目章（样式详见附件）方为有效，否则为无效文件，仅盖章或者仅签名的文件亦无效。甲方项目负责人、执行联系人变更的，甲方将以书面形式通知乙方。</w:t>
      </w:r>
    </w:p>
    <w:p w14:paraId="3EBF5085">
      <w:pPr>
        <w:keepNext w:val="0"/>
        <w:keepLines w:val="0"/>
        <w:pageBreakBefore w:val="0"/>
        <w:widowControl/>
        <w:numPr>
          <w:ilvl w:val="0"/>
          <w:numId w:val="0"/>
        </w:numPr>
        <w:kinsoku w:val="0"/>
        <w:wordWrap/>
        <w:overflowPunct w:val="0"/>
        <w:topLinePunct w:val="0"/>
        <w:autoSpaceDE w:val="0"/>
        <w:autoSpaceDN w:val="0"/>
        <w:bidi w:val="0"/>
        <w:adjustRightInd w:val="0"/>
        <w:snapToGrid/>
        <w:spacing w:line="360" w:lineRule="auto"/>
        <w:ind w:left="0" w:leftChars="0" w:firstLine="560" w:firstLineChars="200"/>
        <w:jc w:val="both"/>
        <w:textAlignment w:val="auto"/>
        <w:rPr>
          <w:rFonts w:hint="eastAsia" w:ascii="仿宋" w:hAnsi="仿宋" w:eastAsia="仿宋" w:cs="仿宋"/>
          <w:color w:val="auto"/>
          <w:sz w:val="28"/>
          <w:highlight w:val="none"/>
          <w:shd w:val="clear" w:color="auto" w:fill="auto"/>
          <w:lang w:val="en-US" w:eastAsia="zh-CN"/>
        </w:rPr>
      </w:pPr>
      <w:r>
        <w:rPr>
          <w:rFonts w:hint="eastAsia" w:ascii="仿宋" w:hAnsi="仿宋" w:eastAsia="仿宋" w:cs="仿宋"/>
          <w:color w:val="auto"/>
          <w:sz w:val="28"/>
          <w:highlight w:val="none"/>
          <w:shd w:val="clear" w:color="auto" w:fill="auto"/>
          <w:lang w:val="en-US" w:eastAsia="zh-CN"/>
        </w:rPr>
        <w:t>双方确认，甲方项目章仅供甲方项目部与乙方联系工作和确认产品技术、资料之用。乙方知悉并同意，该项目章用于以下情形时无效：</w:t>
      </w:r>
    </w:p>
    <w:p w14:paraId="52D138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4.4.1.1签订合同；</w:t>
      </w:r>
    </w:p>
    <w:p w14:paraId="7DB76F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4.4.1.2任何类型的欠条或收据；</w:t>
      </w:r>
    </w:p>
    <w:p w14:paraId="2F602E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4.4.1.3任何形式的经济结算凭证；</w:t>
      </w:r>
    </w:p>
    <w:p w14:paraId="4EC0A4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4.4.1.4为他人或他单位提供任何形式的担保；</w:t>
      </w:r>
    </w:p>
    <w:p w14:paraId="20C53B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shd w:val="clear" w:color="auto" w:fill="auto"/>
          <w:lang w:eastAsia="zh-CN"/>
        </w:rPr>
      </w:pPr>
      <w:r>
        <w:rPr>
          <w:rFonts w:hint="eastAsia" w:ascii="仿宋" w:hAnsi="仿宋" w:eastAsia="仿宋" w:cs="仿宋"/>
          <w:b w:val="0"/>
          <w:bCs w:val="0"/>
          <w:color w:val="auto"/>
          <w:sz w:val="28"/>
          <w:highlight w:val="none"/>
          <w:lang w:val="en-US" w:eastAsia="zh-CN"/>
        </w:rPr>
        <w:t>4.4.1.5确认任何形式的包含权利义</w:t>
      </w:r>
      <w:r>
        <w:rPr>
          <w:rFonts w:hint="eastAsia" w:ascii="仿宋" w:hAnsi="仿宋" w:eastAsia="仿宋" w:cs="仿宋"/>
          <w:color w:val="auto"/>
          <w:sz w:val="28"/>
          <w:highlight w:val="none"/>
          <w:shd w:val="clear" w:color="auto" w:fill="auto"/>
          <w:lang w:eastAsia="zh-CN"/>
        </w:rPr>
        <w:t>务及责任承担的文件。</w:t>
      </w:r>
    </w:p>
    <w:p w14:paraId="160A5B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4.4.2乙方指定</w:t>
      </w:r>
      <w:r>
        <w:rPr>
          <w:rFonts w:hint="eastAsia" w:ascii="仿宋" w:hAnsi="仿宋" w:eastAsia="仿宋" w:cs="仿宋"/>
          <w:b w:val="0"/>
          <w:bCs w:val="0"/>
          <w:color w:val="auto"/>
          <w:sz w:val="28"/>
          <w:highlight w:val="none"/>
          <w:u w:val="single"/>
          <w:lang w:val="en-US" w:eastAsia="zh-CN"/>
        </w:rPr>
        <w:t xml:space="preserve">         （身份证号码：            ；手机号码：         ）</w:t>
      </w:r>
      <w:r>
        <w:rPr>
          <w:rFonts w:hint="eastAsia" w:ascii="仿宋" w:hAnsi="仿宋" w:eastAsia="仿宋" w:cs="仿宋"/>
          <w:b w:val="0"/>
          <w:bCs w:val="0"/>
          <w:color w:val="auto"/>
          <w:sz w:val="28"/>
          <w:highlight w:val="none"/>
          <w:lang w:val="en-US" w:eastAsia="zh-CN"/>
        </w:rPr>
        <w:t>作为其授权代表，在本合同有效期内执行与本合同有关的事项。乙方授权代表以乙</w:t>
      </w:r>
    </w:p>
    <w:p w14:paraId="1677F86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方的名义处理与本合同相关的一切事务，乙方对其行为均认可并承担一切责任。乙方如需更换授权代表，</w:t>
      </w:r>
      <w:r>
        <w:rPr>
          <w:rFonts w:hint="eastAsia" w:ascii="仿宋" w:hAnsi="仿宋" w:eastAsia="仿宋" w:cs="仿宋"/>
          <w:color w:val="auto"/>
          <w:sz w:val="28"/>
          <w:highlight w:val="none"/>
          <w:u w:val="none"/>
          <w:shd w:val="clear" w:color="auto" w:fill="auto"/>
          <w:lang w:val="en-US" w:eastAsia="zh-CN"/>
        </w:rPr>
        <w:t>须</w:t>
      </w:r>
      <w:r>
        <w:rPr>
          <w:rFonts w:hint="eastAsia" w:ascii="仿宋" w:hAnsi="仿宋" w:eastAsia="仿宋" w:cs="仿宋"/>
          <w:color w:val="auto"/>
          <w:sz w:val="28"/>
          <w:highlight w:val="none"/>
          <w:u w:val="none"/>
          <w:shd w:val="clear" w:color="auto" w:fill="auto"/>
          <w:lang w:eastAsia="zh-CN"/>
        </w:rPr>
        <w:t>提前</w:t>
      </w:r>
      <w:r>
        <w:rPr>
          <w:rFonts w:hint="eastAsia" w:ascii="仿宋" w:hAnsi="仿宋" w:eastAsia="仿宋" w:cs="仿宋"/>
          <w:color w:val="auto"/>
          <w:sz w:val="28"/>
          <w:highlight w:val="none"/>
          <w:u w:val="none"/>
          <w:shd w:val="clear" w:color="auto" w:fill="auto"/>
          <w:lang w:val="en-US" w:eastAsia="zh-CN"/>
        </w:rPr>
        <w:t>5</w:t>
      </w:r>
      <w:r>
        <w:rPr>
          <w:rFonts w:hint="eastAsia" w:ascii="仿宋" w:hAnsi="仿宋" w:eastAsia="仿宋" w:cs="仿宋"/>
          <w:color w:val="auto"/>
          <w:sz w:val="28"/>
          <w:highlight w:val="none"/>
          <w:u w:val="none"/>
          <w:shd w:val="clear" w:color="auto" w:fill="auto"/>
          <w:lang w:eastAsia="zh-CN"/>
        </w:rPr>
        <w:t>个日历天以书面形式通知甲方</w:t>
      </w:r>
      <w:r>
        <w:rPr>
          <w:rFonts w:hint="eastAsia" w:ascii="仿宋" w:hAnsi="仿宋" w:eastAsia="仿宋" w:cs="仿宋"/>
          <w:b w:val="0"/>
          <w:bCs w:val="0"/>
          <w:color w:val="auto"/>
          <w:sz w:val="28"/>
          <w:highlight w:val="none"/>
          <w:lang w:val="en-US" w:eastAsia="zh-CN"/>
        </w:rPr>
        <w:t>。</w:t>
      </w:r>
    </w:p>
    <w:p w14:paraId="3AF96B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b w:val="0"/>
          <w:bCs w:val="0"/>
          <w:color w:val="auto"/>
          <w:sz w:val="28"/>
          <w:highlight w:val="none"/>
          <w:lang w:val="en-US" w:eastAsia="zh-CN"/>
        </w:rPr>
        <w:t>4.5除甲方本合</w:t>
      </w:r>
      <w:r>
        <w:rPr>
          <w:rFonts w:hint="eastAsia" w:ascii="仿宋" w:hAnsi="仿宋" w:eastAsia="仿宋" w:cs="仿宋"/>
          <w:color w:val="auto"/>
          <w:sz w:val="28"/>
          <w:highlight w:val="none"/>
          <w:u w:val="none"/>
          <w:shd w:val="clear" w:color="auto" w:fill="auto"/>
          <w:lang w:eastAsia="zh-CN"/>
        </w:rPr>
        <w:t>同执行联系人外，甲方项目部其他任何人对涉及费用的所有文件、资料无权进行确定、批准。甲方的本合同执行联系人在履行本合同过程中，对涉及</w:t>
      </w:r>
    </w:p>
    <w:p w14:paraId="114BE1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lang w:eastAsia="zh-CN"/>
        </w:rPr>
        <w:t>费用的所有文件、资料审批权限为不超过三千元/次（含税）。三千元/次以该联系人负责管理的项目为最小单位，不得分地块、分期、分楼栋、分部位拆分使用权限。</w:t>
      </w:r>
    </w:p>
    <w:p w14:paraId="7F764E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lang w:eastAsia="zh-CN"/>
        </w:rPr>
        <w:t>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4855F9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lang w:val="en-US" w:eastAsia="zh-CN"/>
        </w:rPr>
        <w:t>4.6乙方在选择运输产品的机具、设备时，须提前报经甲方项目部安全员同意，选择适合的路线准时抵达，避免现场拥堵，运输设备、车辆与产品总重不得超过现场道路限载，并服从甲方人员指挥，装卸时注意施工安全。</w:t>
      </w:r>
    </w:p>
    <w:p w14:paraId="11D9B5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lang w:val="en-US" w:eastAsia="zh-CN"/>
        </w:rPr>
        <w:t>4.7收货验收流程</w:t>
      </w:r>
      <w:r>
        <w:rPr>
          <w:rFonts w:hint="eastAsia" w:ascii="仿宋" w:hAnsi="仿宋" w:eastAsia="仿宋" w:cs="仿宋"/>
          <w:color w:val="auto"/>
          <w:sz w:val="28"/>
          <w:highlight w:val="none"/>
          <w:u w:val="none"/>
          <w:shd w:val="clear" w:color="auto" w:fill="auto"/>
          <w:lang w:val="en-US" w:eastAsia="zh-CN"/>
        </w:rPr>
        <w:t>及标准</w:t>
      </w:r>
    </w:p>
    <w:p w14:paraId="793466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4.7.1乙方送货前须提前向甲方项目部告知送货司机的姓名、联系电话、车辆规格、车牌号，乙方送货单须盖乙方公章。</w:t>
      </w:r>
    </w:p>
    <w:p w14:paraId="2EB35B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4.7.2产品进场时乙方须向甲方提供产品出厂合格证、出厂质量证明书、检验报告等相关资料并在当天移交甲方存档。</w:t>
      </w:r>
    </w:p>
    <w:p w14:paraId="275DAD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4.7.3甲方项目施工员在产品进场时对品牌、规格、型号、质量等进行全检并拍照留存。</w:t>
      </w:r>
    </w:p>
    <w:p w14:paraId="1D8B5C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4.7.4产品如与合同约定不符（如产品的品牌、厂地、规格、型号、质量等），甲方本合同执行联系人按合同要求直接拒收、退场并作好记录备查，甲方不折价签收不符合合同要求的产品，且乙方向甲方承担违约金（违约金额等于不符合合同约</w:t>
      </w:r>
    </w:p>
    <w:p w14:paraId="5B5EC0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定的产品金额的三倍且最少不低于一万元/次），甲方有权在任意一笔应付乙方的合同款中自行扣取违约金。</w:t>
      </w:r>
    </w:p>
    <w:p w14:paraId="2EB8A3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4.8</w:t>
      </w:r>
      <w:r>
        <w:rPr>
          <w:rFonts w:hint="eastAsia" w:ascii="仿宋" w:hAnsi="仿宋" w:eastAsia="仿宋" w:cs="仿宋"/>
          <w:b w:val="0"/>
          <w:bCs w:val="0"/>
          <w:color w:val="auto"/>
          <w:sz w:val="28"/>
          <w:highlight w:val="none"/>
          <w:u w:val="none"/>
          <w:lang w:eastAsia="zh-CN"/>
        </w:rPr>
        <w:t>乙方每批送货数量少于送货单所写数量或</w:t>
      </w:r>
      <w:r>
        <w:rPr>
          <w:rFonts w:hint="eastAsia" w:ascii="仿宋" w:hAnsi="仿宋" w:eastAsia="仿宋" w:cs="仿宋"/>
          <w:b w:val="0"/>
          <w:bCs w:val="0"/>
          <w:color w:val="auto"/>
          <w:sz w:val="28"/>
          <w:highlight w:val="none"/>
          <w:u w:val="none"/>
          <w:lang w:val="en-US" w:eastAsia="zh-CN"/>
        </w:rPr>
        <w:t>有</w:t>
      </w:r>
      <w:r>
        <w:rPr>
          <w:rFonts w:hint="eastAsia" w:ascii="仿宋" w:hAnsi="仿宋" w:eastAsia="仿宋" w:cs="仿宋"/>
          <w:b w:val="0"/>
          <w:bCs w:val="0"/>
          <w:color w:val="auto"/>
          <w:sz w:val="28"/>
          <w:highlight w:val="none"/>
          <w:u w:val="none"/>
          <w:lang w:eastAsia="zh-CN"/>
        </w:rPr>
        <w:t>破损的，</w:t>
      </w:r>
      <w:r>
        <w:rPr>
          <w:rFonts w:hint="eastAsia" w:ascii="仿宋" w:hAnsi="仿宋" w:eastAsia="仿宋" w:cs="仿宋"/>
          <w:b w:val="0"/>
          <w:bCs w:val="0"/>
          <w:color w:val="auto"/>
          <w:sz w:val="28"/>
          <w:highlight w:val="none"/>
          <w:u w:val="none"/>
          <w:lang w:val="en-US" w:eastAsia="zh-CN"/>
        </w:rPr>
        <w:t>甲方</w:t>
      </w:r>
      <w:r>
        <w:rPr>
          <w:rFonts w:hint="eastAsia" w:ascii="仿宋" w:hAnsi="仿宋" w:eastAsia="仿宋" w:cs="仿宋"/>
          <w:b w:val="0"/>
          <w:bCs w:val="0"/>
          <w:color w:val="auto"/>
          <w:sz w:val="28"/>
          <w:highlight w:val="none"/>
          <w:u w:val="none"/>
          <w:lang w:eastAsia="zh-CN"/>
        </w:rPr>
        <w:t>按缺少或破损数量的三倍扣减乙方费用，甲方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损失由乙方全部承担。产品如与合同约定不符或验收</w:t>
      </w:r>
      <w:r>
        <w:rPr>
          <w:rFonts w:hint="eastAsia" w:ascii="仿宋" w:hAnsi="仿宋" w:eastAsia="仿宋" w:cs="仿宋"/>
          <w:b w:val="0"/>
          <w:bCs w:val="0"/>
          <w:color w:val="auto"/>
          <w:sz w:val="28"/>
          <w:highlight w:val="none"/>
          <w:u w:val="none"/>
          <w:lang w:val="en-US" w:eastAsia="zh-CN"/>
        </w:rPr>
        <w:t>不</w:t>
      </w:r>
      <w:r>
        <w:rPr>
          <w:rFonts w:hint="eastAsia" w:ascii="仿宋" w:hAnsi="仿宋" w:eastAsia="仿宋" w:cs="仿宋"/>
          <w:b w:val="0"/>
          <w:bCs w:val="0"/>
          <w:color w:val="auto"/>
          <w:sz w:val="28"/>
          <w:highlight w:val="none"/>
          <w:u w:val="none"/>
          <w:lang w:eastAsia="zh-CN"/>
        </w:rPr>
        <w:t>合格，乙方自甲方要求之日起两个日历天内无条件更换</w:t>
      </w:r>
      <w:r>
        <w:rPr>
          <w:rFonts w:hint="eastAsia" w:ascii="仿宋" w:hAnsi="仿宋" w:eastAsia="仿宋" w:cs="仿宋"/>
          <w:b w:val="0"/>
          <w:bCs w:val="0"/>
          <w:color w:val="auto"/>
          <w:sz w:val="28"/>
          <w:highlight w:val="none"/>
          <w:u w:val="none"/>
          <w:lang w:val="en-US" w:eastAsia="zh-CN"/>
        </w:rPr>
        <w:t>为</w:t>
      </w:r>
      <w:r>
        <w:rPr>
          <w:rFonts w:hint="eastAsia" w:ascii="仿宋" w:hAnsi="仿宋" w:eastAsia="仿宋" w:cs="仿宋"/>
          <w:b w:val="0"/>
          <w:bCs w:val="0"/>
          <w:color w:val="auto"/>
          <w:sz w:val="28"/>
          <w:highlight w:val="none"/>
          <w:u w:val="none"/>
          <w:lang w:eastAsia="zh-CN"/>
        </w:rPr>
        <w:t>符合本合同要求的产品，乙方承担由此产生的费用及逾期责任；乙方不更换或更换一次仍不合格的，甲方有</w:t>
      </w:r>
    </w:p>
    <w:p w14:paraId="42D6D5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权单方终止合同，乙方自甲方要求之日起三个日历天内按当批送货金额（以乙方送货单金额为准）的10%支付违约金并赔偿甲方损失。甲方验收完成后，如对产品数量、质量等级等再次复查，乙方须无条件配合，且复查结果可作为结算依据，复查程序等要求按甲方规定执行。乙方指派人员配合、参与甲方验收，如乙方未指派人员配合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，视为乙方认可甲方自行验收、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的结果，乙方不得提出异议。</w:t>
      </w:r>
    </w:p>
    <w:p w14:paraId="228EF4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9</w:t>
      </w:r>
      <w:r>
        <w:rPr>
          <w:rFonts w:hint="eastAsia" w:ascii="仿宋" w:hAnsi="仿宋" w:eastAsia="仿宋" w:cs="仿宋"/>
          <w:b w:val="0"/>
          <w:bCs w:val="0"/>
          <w:color w:val="auto"/>
          <w:sz w:val="28"/>
          <w:highlight w:val="none"/>
          <w:u w:val="none"/>
          <w:lang w:eastAsia="zh-CN"/>
        </w:rPr>
        <w:t>产品进场后，如甲方要求对产品进行超出合同的检验、检测，检验、检测合格则检验、检测费用由甲方承担，不合格则由乙方承担且乙方承担由此产生的责任、费用并无条件将该批产品自甲方要求之日起两个日历天内更换为合格产品，同时甲方有权单方终止合同且不付款；如甲方单方终止合同，乙方须按该批产品总价的10%支付违约金且赔偿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w:t>
      </w:r>
    </w:p>
    <w:p w14:paraId="06BF5F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.10产品</w:t>
      </w:r>
      <w:r>
        <w:rPr>
          <w:rFonts w:hint="eastAsia" w:ascii="仿宋" w:hAnsi="仿宋" w:eastAsia="仿宋" w:cs="仿宋"/>
          <w:b w:val="0"/>
          <w:bCs w:val="0"/>
          <w:color w:val="auto"/>
          <w:sz w:val="28"/>
          <w:highlight w:val="none"/>
          <w:u w:val="none"/>
          <w:lang w:eastAsia="zh-CN"/>
        </w:rPr>
        <w:t>数量结算依据为</w:t>
      </w:r>
      <w:r>
        <w:rPr>
          <w:rFonts w:hint="eastAsia" w:ascii="仿宋" w:hAnsi="仿宋" w:eastAsia="仿宋" w:cs="仿宋"/>
          <w:b w:val="0"/>
          <w:bCs w:val="0"/>
          <w:color w:val="auto"/>
          <w:sz w:val="28"/>
          <w:highlight w:val="none"/>
          <w:u w:val="none"/>
          <w:lang w:val="en-US" w:eastAsia="zh-CN"/>
        </w:rPr>
        <w:t>甲方</w:t>
      </w:r>
      <w:r>
        <w:rPr>
          <w:rFonts w:hint="eastAsia" w:ascii="仿宋" w:hAnsi="仿宋" w:eastAsia="仿宋" w:cs="仿宋"/>
          <w:b w:val="0"/>
          <w:bCs w:val="0"/>
          <w:color w:val="auto"/>
          <w:sz w:val="28"/>
          <w:highlight w:val="none"/>
          <w:u w:val="none"/>
          <w:lang w:eastAsia="zh-CN"/>
        </w:rPr>
        <w:t>指定的本合同甲方执行联系人和验收组人员共同签名的签收单及甲方认可的相关资料。</w:t>
      </w:r>
    </w:p>
    <w:p w14:paraId="7ADAC6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4.11由甲方仓管员对进场产品组织验收，如甲方栋号施工员不能第一时间进行验收，由甲方仓管员组织保安组长共同进行验收并签名，栋号施工员在产品进场12小时内进行复验，验收完成后在材料签收单签名。</w:t>
      </w:r>
    </w:p>
    <w:p w14:paraId="5F60E0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4.12甲方仓管员按甲方规定开具材料签收单，一式三联，白联由甲方项目部留底，红联交至甲方财务部，绿联交乙方用于请款。</w:t>
      </w:r>
    </w:p>
    <w:p w14:paraId="40F7AC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4.13所有票据、资料必须经办人亲自签名，严禁他人代签名，一旦发现则乙方向甲方承担违约金（违约金额等于代签票据所列材料金额的三倍但最少不低于二千元/次），甲方有权在任意一笔应付乙方的合同款中自行扣取违约金。</w:t>
      </w:r>
    </w:p>
    <w:p w14:paraId="670D6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4.14保修</w:t>
      </w:r>
    </w:p>
    <w:p w14:paraId="4918DB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4.14</w:t>
      </w:r>
      <w:r>
        <w:rPr>
          <w:rFonts w:hint="eastAsia" w:ascii="仿宋" w:hAnsi="仿宋" w:eastAsia="仿宋" w:cs="仿宋"/>
          <w:color w:val="auto"/>
          <w:sz w:val="28"/>
          <w:highlight w:val="none"/>
        </w:rPr>
        <w:t>.1</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按法律、法规和国家有关规定对产品在</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期内承担质量保修责任</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本合同有更长期限约定或更高保修要求的，按本合同执行。</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如产品或部件不能使用需维修或更换，则该产品或部件</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期自修复或更换之日起重新计算。 </w:t>
      </w:r>
    </w:p>
    <w:p w14:paraId="650416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4.14</w:t>
      </w:r>
      <w:r>
        <w:rPr>
          <w:rFonts w:hint="eastAsia" w:ascii="仿宋" w:hAnsi="仿宋" w:eastAsia="仿宋" w:cs="仿宋"/>
          <w:color w:val="auto"/>
          <w:sz w:val="28"/>
          <w:highlight w:val="none"/>
        </w:rPr>
        <w:t>.2</w:t>
      </w:r>
      <w:r>
        <w:rPr>
          <w:rFonts w:hint="eastAsia" w:ascii="仿宋" w:hAnsi="仿宋" w:eastAsia="仿宋" w:cs="仿宋"/>
          <w:color w:val="auto"/>
          <w:sz w:val="28"/>
          <w:highlight w:val="none"/>
          <w:lang w:eastAsia="zh-CN"/>
        </w:rPr>
        <w:t>乙方对产品实行</w:t>
      </w:r>
      <w:r>
        <w:rPr>
          <w:rFonts w:hint="eastAsia" w:ascii="仿宋" w:hAnsi="仿宋" w:eastAsia="仿宋" w:cs="仿宋"/>
          <w:color w:val="auto"/>
          <w:sz w:val="28"/>
          <w:highlight w:val="none"/>
          <w:u w:val="single"/>
          <w:lang w:val="en-US" w:eastAsia="zh-CN"/>
        </w:rPr>
        <w:t xml:space="preserve"> 两 </w:t>
      </w:r>
      <w:r>
        <w:rPr>
          <w:rFonts w:hint="eastAsia" w:ascii="仿宋" w:hAnsi="仿宋" w:eastAsia="仿宋" w:cs="仿宋"/>
          <w:color w:val="auto"/>
          <w:sz w:val="28"/>
          <w:highlight w:val="none"/>
          <w:lang w:eastAsia="zh-CN"/>
        </w:rPr>
        <w:t>年免费</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lang w:eastAsia="zh-CN"/>
        </w:rPr>
        <w:t>(国家或甲方与本项目建设单位另有更长</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lang w:eastAsia="zh-CN"/>
        </w:rPr>
        <w:t>期限规定的，从其规定)</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rPr>
        <w:t>期自产品经甲</w:t>
      </w:r>
      <w:r>
        <w:rPr>
          <w:rFonts w:hint="eastAsia" w:ascii="仿宋" w:hAnsi="仿宋" w:eastAsia="仿宋" w:cs="仿宋"/>
          <w:color w:val="auto"/>
          <w:sz w:val="28"/>
          <w:highlight w:val="none"/>
          <w:lang w:val="en-US" w:eastAsia="zh-CN"/>
        </w:rPr>
        <w:t>乙双</w:t>
      </w:r>
      <w:r>
        <w:rPr>
          <w:rFonts w:hint="eastAsia" w:ascii="仿宋" w:hAnsi="仿宋" w:eastAsia="仿宋" w:cs="仿宋"/>
          <w:color w:val="auto"/>
          <w:sz w:val="28"/>
          <w:highlight w:val="none"/>
        </w:rPr>
        <w:t>方验收合格</w:t>
      </w:r>
      <w:r>
        <w:rPr>
          <w:rFonts w:hint="eastAsia" w:ascii="仿宋" w:hAnsi="仿宋" w:eastAsia="仿宋" w:cs="仿宋"/>
          <w:color w:val="auto"/>
          <w:sz w:val="28"/>
          <w:highlight w:val="none"/>
          <w:u w:val="none"/>
          <w:lang w:val="en-US" w:eastAsia="zh-CN"/>
        </w:rPr>
        <w:t>且移交甲方正常使用</w:t>
      </w:r>
      <w:r>
        <w:rPr>
          <w:rFonts w:hint="eastAsia" w:ascii="仿宋" w:hAnsi="仿宋" w:eastAsia="仿宋" w:cs="仿宋"/>
          <w:color w:val="auto"/>
          <w:sz w:val="28"/>
          <w:highlight w:val="none"/>
        </w:rPr>
        <w:t>之日起计。</w:t>
      </w:r>
      <w:r>
        <w:rPr>
          <w:rFonts w:hint="eastAsia" w:ascii="仿宋" w:hAnsi="仿宋" w:eastAsia="仿宋" w:cs="仿宋"/>
          <w:color w:val="auto"/>
          <w:sz w:val="28"/>
          <w:highlight w:val="none"/>
          <w:lang w:val="en-US" w:eastAsia="zh-CN"/>
        </w:rPr>
        <w:t>如</w:t>
      </w:r>
      <w:r>
        <w:rPr>
          <w:rFonts w:hint="eastAsia" w:ascii="仿宋" w:hAnsi="仿宋" w:eastAsia="仿宋" w:cs="仿宋"/>
          <w:color w:val="auto"/>
          <w:sz w:val="28"/>
          <w:highlight w:val="none"/>
          <w:lang w:eastAsia="zh-CN"/>
        </w:rPr>
        <w:t>产品出现质量缺陷</w:t>
      </w:r>
      <w:r>
        <w:rPr>
          <w:rFonts w:hint="eastAsia" w:ascii="仿宋" w:hAnsi="仿宋" w:eastAsia="仿宋" w:cs="仿宋"/>
          <w:color w:val="auto"/>
          <w:sz w:val="28"/>
          <w:highlight w:val="none"/>
          <w:lang w:val="en-US" w:eastAsia="zh-CN"/>
        </w:rPr>
        <w:t>或问题</w:t>
      </w:r>
      <w:r>
        <w:rPr>
          <w:rFonts w:hint="eastAsia" w:ascii="仿宋" w:hAnsi="仿宋" w:eastAsia="仿宋" w:cs="仿宋"/>
          <w:color w:val="auto"/>
          <w:sz w:val="28"/>
          <w:highlight w:val="none"/>
          <w:lang w:eastAsia="zh-CN"/>
        </w:rPr>
        <w:t>，乙方履行保修义务</w:t>
      </w:r>
      <w:r>
        <w:rPr>
          <w:rFonts w:hint="eastAsia" w:ascii="仿宋" w:hAnsi="仿宋" w:eastAsia="仿宋" w:cs="仿宋"/>
          <w:color w:val="auto"/>
          <w:sz w:val="28"/>
          <w:highlight w:val="none"/>
          <w:lang w:val="en-US" w:eastAsia="zh-CN"/>
        </w:rPr>
        <w:t>且经甲方</w:t>
      </w:r>
      <w:r>
        <w:rPr>
          <w:rFonts w:hint="eastAsia" w:ascii="仿宋" w:hAnsi="仿宋" w:eastAsia="仿宋" w:cs="仿宋"/>
          <w:color w:val="auto"/>
          <w:sz w:val="28"/>
          <w:highlight w:val="none"/>
          <w:lang w:eastAsia="zh-CN"/>
        </w:rPr>
        <w:t>验收合格后，保修期自</w:t>
      </w:r>
      <w:r>
        <w:rPr>
          <w:rFonts w:hint="eastAsia" w:ascii="仿宋" w:hAnsi="仿宋" w:eastAsia="仿宋" w:cs="仿宋"/>
          <w:color w:val="auto"/>
          <w:sz w:val="28"/>
          <w:highlight w:val="none"/>
          <w:lang w:val="en-US" w:eastAsia="zh-CN"/>
        </w:rPr>
        <w:t>甲方对保修工作验收合格之日起重新计算</w:t>
      </w:r>
      <w:r>
        <w:rPr>
          <w:rFonts w:hint="eastAsia" w:ascii="仿宋" w:hAnsi="仿宋" w:eastAsia="仿宋" w:cs="仿宋"/>
          <w:color w:val="auto"/>
          <w:sz w:val="28"/>
          <w:highlight w:val="none"/>
          <w:lang w:eastAsia="zh-CN"/>
        </w:rPr>
        <w:t>。</w:t>
      </w:r>
    </w:p>
    <w:p w14:paraId="6124B6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u w:val="none"/>
          <w:lang w:val="en-US" w:eastAsia="zh-CN"/>
        </w:rPr>
        <w:t>14</w:t>
      </w:r>
      <w:r>
        <w:rPr>
          <w:rFonts w:hint="eastAsia" w:ascii="仿宋" w:hAnsi="仿宋" w:eastAsia="仿宋" w:cs="仿宋"/>
          <w:color w:val="auto"/>
          <w:sz w:val="28"/>
          <w:highlight w:val="none"/>
          <w:u w:val="none"/>
        </w:rPr>
        <w:t>.3</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期内，若产品出现质量问题，</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在收到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或使用</w:t>
      </w:r>
      <w:r>
        <w:rPr>
          <w:rFonts w:hint="eastAsia" w:ascii="仿宋" w:hAnsi="仿宋" w:eastAsia="仿宋" w:cs="仿宋"/>
          <w:color w:val="auto"/>
          <w:sz w:val="28"/>
          <w:highlight w:val="none"/>
          <w:u w:val="none"/>
          <w:lang w:eastAsia="zh-CN"/>
        </w:rPr>
        <w:t>单位</w:t>
      </w:r>
      <w:r>
        <w:rPr>
          <w:rFonts w:hint="eastAsia" w:ascii="仿宋" w:hAnsi="仿宋" w:eastAsia="仿宋" w:cs="仿宋"/>
          <w:color w:val="auto"/>
          <w:sz w:val="28"/>
          <w:highlight w:val="none"/>
          <w:u w:val="none"/>
        </w:rPr>
        <w:t>通知后24小时内必须到达现场进行</w:t>
      </w:r>
      <w:r>
        <w:rPr>
          <w:rFonts w:hint="eastAsia" w:ascii="仿宋" w:hAnsi="仿宋" w:eastAsia="仿宋" w:cs="仿宋"/>
          <w:color w:val="auto"/>
          <w:sz w:val="28"/>
          <w:highlight w:val="none"/>
          <w:u w:val="none"/>
          <w:lang w:val="en-US" w:eastAsia="zh-CN"/>
        </w:rPr>
        <w:t>处理或</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如甲乙双方共同确认非</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原因导致问题发生，</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仍应提供</w:t>
      </w:r>
      <w:r>
        <w:rPr>
          <w:rFonts w:hint="eastAsia" w:ascii="仿宋" w:hAnsi="仿宋" w:eastAsia="仿宋" w:cs="仿宋"/>
          <w:color w:val="auto"/>
          <w:sz w:val="28"/>
          <w:highlight w:val="none"/>
          <w:u w:val="none"/>
          <w:lang w:val="en-US" w:eastAsia="zh-CN"/>
        </w:rPr>
        <w:t>售后</w:t>
      </w:r>
      <w:r>
        <w:rPr>
          <w:rFonts w:hint="eastAsia" w:ascii="仿宋" w:hAnsi="仿宋" w:eastAsia="仿宋" w:cs="仿宋"/>
          <w:color w:val="auto"/>
          <w:sz w:val="28"/>
          <w:highlight w:val="none"/>
          <w:u w:val="none"/>
        </w:rPr>
        <w:t>服务，相关费用经双方商定后由</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承担。如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未准时到达现场，</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可自行处理，</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同时承担违约责任。</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自行处理所耗费用</w:t>
      </w:r>
      <w:r>
        <w:rPr>
          <w:rFonts w:hint="eastAsia" w:ascii="仿宋" w:hAnsi="仿宋" w:eastAsia="仿宋" w:cs="仿宋"/>
          <w:color w:val="auto"/>
          <w:sz w:val="28"/>
          <w:highlight w:val="none"/>
          <w:u w:val="none"/>
          <w:lang w:eastAsia="zh-CN"/>
        </w:rPr>
        <w:t>另加</w:t>
      </w:r>
      <w:r>
        <w:rPr>
          <w:rFonts w:hint="eastAsia" w:ascii="仿宋" w:hAnsi="仿宋" w:eastAsia="仿宋" w:cs="仿宋"/>
          <w:color w:val="auto"/>
          <w:sz w:val="28"/>
          <w:highlight w:val="none"/>
          <w:u w:val="none"/>
          <w:lang w:val="en-US" w:eastAsia="zh-CN"/>
        </w:rPr>
        <w:t>50%</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通知之日起</w:t>
      </w:r>
      <w:r>
        <w:rPr>
          <w:rFonts w:hint="eastAsia" w:ascii="仿宋" w:hAnsi="仿宋" w:eastAsia="仿宋" w:cs="仿宋"/>
          <w:color w:val="auto"/>
          <w:sz w:val="28"/>
          <w:highlight w:val="none"/>
          <w:u w:val="none"/>
          <w:lang w:val="en-US" w:eastAsia="zh-CN"/>
        </w:rPr>
        <w:t>10个</w:t>
      </w:r>
      <w:r>
        <w:rPr>
          <w:rFonts w:hint="eastAsia" w:ascii="仿宋" w:hAnsi="仿宋" w:eastAsia="仿宋" w:cs="仿宋"/>
          <w:color w:val="auto"/>
          <w:sz w:val="28"/>
          <w:highlight w:val="none"/>
          <w:u w:val="none"/>
        </w:rPr>
        <w:t>日</w:t>
      </w:r>
      <w:r>
        <w:rPr>
          <w:rFonts w:hint="eastAsia" w:ascii="仿宋" w:hAnsi="仿宋" w:eastAsia="仿宋" w:cs="仿宋"/>
          <w:color w:val="auto"/>
          <w:sz w:val="28"/>
          <w:highlight w:val="none"/>
          <w:u w:val="none"/>
          <w:lang w:eastAsia="zh-CN"/>
        </w:rPr>
        <w:t>历天</w:t>
      </w:r>
      <w:r>
        <w:rPr>
          <w:rFonts w:hint="eastAsia" w:ascii="仿宋" w:hAnsi="仿宋" w:eastAsia="仿宋" w:cs="仿宋"/>
          <w:color w:val="auto"/>
          <w:sz w:val="28"/>
          <w:highlight w:val="none"/>
          <w:u w:val="none"/>
        </w:rPr>
        <w:t>内支付，因此造成的损失由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负责全额赔偿。</w:t>
      </w:r>
      <w:r>
        <w:rPr>
          <w:rFonts w:hint="eastAsia" w:ascii="仿宋" w:hAnsi="仿宋" w:eastAsia="仿宋" w:cs="仿宋"/>
          <w:color w:val="auto"/>
          <w:sz w:val="28"/>
          <w:highlight w:val="none"/>
          <w:u w:val="none"/>
          <w:lang w:eastAsia="zh-CN"/>
        </w:rPr>
        <w:t>乙方未在</w:t>
      </w:r>
      <w:r>
        <w:rPr>
          <w:rFonts w:hint="eastAsia" w:ascii="仿宋" w:hAnsi="仿宋" w:eastAsia="仿宋" w:cs="仿宋"/>
          <w:color w:val="auto"/>
          <w:sz w:val="28"/>
          <w:highlight w:val="none"/>
          <w:u w:val="none"/>
          <w:lang w:val="en-US" w:eastAsia="zh-CN"/>
        </w:rPr>
        <w:t>24小时内到达现场的，出现的质量问题一律视为乙方原因导致。</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原因造成的缺陷</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问题</w:t>
      </w:r>
      <w:r>
        <w:rPr>
          <w:rFonts w:hint="eastAsia" w:ascii="仿宋" w:hAnsi="仿宋" w:eastAsia="仿宋" w:cs="仿宋"/>
          <w:color w:val="auto"/>
          <w:sz w:val="28"/>
          <w:highlight w:val="none"/>
          <w:u w:val="none"/>
        </w:rPr>
        <w:t>和事故，</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须负责维修并承担</w:t>
      </w:r>
      <w:r>
        <w:rPr>
          <w:rFonts w:hint="eastAsia" w:ascii="仿宋" w:hAnsi="仿宋" w:eastAsia="仿宋" w:cs="仿宋"/>
          <w:color w:val="auto"/>
          <w:sz w:val="28"/>
          <w:highlight w:val="none"/>
          <w:u w:val="none"/>
          <w:lang w:eastAsia="zh-CN"/>
        </w:rPr>
        <w:t>所产生的</w:t>
      </w:r>
      <w:r>
        <w:rPr>
          <w:rFonts w:hint="eastAsia" w:ascii="仿宋" w:hAnsi="仿宋" w:eastAsia="仿宋" w:cs="仿宋"/>
          <w:color w:val="auto"/>
          <w:sz w:val="28"/>
          <w:highlight w:val="none"/>
          <w:u w:val="none"/>
        </w:rPr>
        <w:t>全部费用</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不维修也不承担费用，</w:t>
      </w:r>
      <w:r>
        <w:rPr>
          <w:rFonts w:hint="eastAsia" w:ascii="仿宋" w:hAnsi="仿宋" w:eastAsia="仿宋" w:cs="仿宋"/>
          <w:color w:val="auto"/>
          <w:sz w:val="28"/>
          <w:highlight w:val="none"/>
          <w:u w:val="none"/>
          <w:lang w:val="en-US" w:eastAsia="zh-CN"/>
        </w:rPr>
        <w:t>甲方有权追索</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承担违约责任及</w:t>
      </w:r>
      <w:r>
        <w:rPr>
          <w:rFonts w:hint="eastAsia" w:ascii="仿宋" w:hAnsi="仿宋" w:eastAsia="仿宋" w:cs="仿宋"/>
          <w:color w:val="auto"/>
          <w:sz w:val="28"/>
          <w:highlight w:val="none"/>
          <w:u w:val="none"/>
          <w:lang w:val="en-US" w:eastAsia="zh-CN"/>
        </w:rPr>
        <w:t>赔偿</w:t>
      </w:r>
      <w:r>
        <w:rPr>
          <w:rFonts w:hint="eastAsia" w:ascii="仿宋" w:hAnsi="仿宋" w:eastAsia="仿宋" w:cs="仿宋"/>
          <w:color w:val="auto"/>
          <w:sz w:val="28"/>
          <w:highlight w:val="none"/>
          <w:u w:val="none"/>
          <w:lang w:eastAsia="zh-CN"/>
        </w:rPr>
        <w:t>所有损失的</w:t>
      </w:r>
      <w:r>
        <w:rPr>
          <w:rFonts w:hint="eastAsia" w:ascii="仿宋" w:hAnsi="仿宋" w:eastAsia="仿宋" w:cs="仿宋"/>
          <w:color w:val="auto"/>
          <w:sz w:val="28"/>
          <w:highlight w:val="none"/>
          <w:u w:val="none"/>
        </w:rPr>
        <w:t>责任</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维修并承担相应费用</w:t>
      </w:r>
      <w:r>
        <w:rPr>
          <w:rFonts w:hint="eastAsia" w:ascii="仿宋" w:hAnsi="仿宋" w:eastAsia="仿宋" w:cs="仿宋"/>
          <w:color w:val="auto"/>
          <w:sz w:val="28"/>
          <w:highlight w:val="none"/>
        </w:rPr>
        <w:t>后，不免除</w:t>
      </w:r>
      <w:r>
        <w:rPr>
          <w:rFonts w:hint="eastAsia" w:ascii="仿宋" w:hAnsi="仿宋" w:eastAsia="仿宋" w:cs="仿宋"/>
          <w:color w:val="auto"/>
          <w:sz w:val="28"/>
          <w:highlight w:val="none"/>
          <w:lang w:val="en-US" w:eastAsia="zh-CN"/>
        </w:rPr>
        <w:t>乙方</w:t>
      </w:r>
      <w:r>
        <w:rPr>
          <w:rFonts w:hint="eastAsia" w:ascii="仿宋" w:hAnsi="仿宋" w:eastAsia="仿宋" w:cs="仿宋"/>
          <w:color w:val="auto"/>
          <w:sz w:val="28"/>
          <w:highlight w:val="none"/>
        </w:rPr>
        <w:t>对</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/第三方的损失赔偿责任。</w:t>
      </w:r>
    </w:p>
    <w:p w14:paraId="7DE910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4.14.4产品安装或完成施工后3个月内，如出现质量问题或缺陷的数量超过总量的20%，乙方无条件全部更换该批产品，相关费用由乙方承担，更换造成的相关损失由乙方承担；如乙方拒绝退换，甲方有权单方解除合同，乙方退还全部已收款项并按合同暂定总价的30%支付违约金且赔偿甲方损失。</w:t>
      </w:r>
    </w:p>
    <w:p w14:paraId="35A4BF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4.14.5保修期届满后第一周内，甲乙双方对产品进行全面检查。乙方自费负责对检查中发现的问题予以及时处理和解决。</w:t>
      </w:r>
    </w:p>
    <w:p w14:paraId="2C26E0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4.14.6如产品在保修期满后发现乙方原因导致的质量问题或缺陷，乙方仍须承担修复责任，必须按甲方要求修复并赔偿甲方因此遭受的损失，否则甲方有权另行</w:t>
      </w:r>
    </w:p>
    <w:p w14:paraId="304146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安排第三方修复，同时乙方同意甲方从与乙方签订的其他合同款项中直接扣款用于</w:t>
      </w:r>
    </w:p>
    <w:p w14:paraId="584309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抵扣上述修复费用和损失。甲乙双方特别约定本条款不因本合同的终止而失效。</w:t>
      </w:r>
    </w:p>
    <w:p w14:paraId="7C8E46C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rPr>
      </w:pPr>
      <w:bookmarkStart w:id="15" w:name="_Toc25201"/>
      <w:bookmarkStart w:id="16" w:name="_Toc28514"/>
      <w:bookmarkStart w:id="17" w:name="_Toc10040"/>
      <w:r>
        <w:rPr>
          <w:rFonts w:hint="eastAsia" w:ascii="仿宋" w:hAnsi="仿宋" w:eastAsia="仿宋" w:cs="仿宋"/>
          <w:b/>
          <w:bCs/>
          <w:color w:val="auto"/>
          <w:sz w:val="28"/>
          <w:highlight w:val="none"/>
          <w:lang w:val="en-US" w:eastAsia="zh-CN"/>
        </w:rPr>
        <w:t>第五章</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违约责任</w:t>
      </w:r>
      <w:bookmarkEnd w:id="15"/>
      <w:bookmarkEnd w:id="16"/>
      <w:bookmarkEnd w:id="17"/>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p>
    <w:p w14:paraId="664676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u w:val="none"/>
          <w:lang w:val="en-US" w:eastAsia="zh-CN"/>
        </w:rPr>
        <w:t>5.1</w:t>
      </w:r>
      <w:r>
        <w:rPr>
          <w:rFonts w:hint="eastAsia" w:ascii="仿宋" w:hAnsi="仿宋" w:eastAsia="仿宋" w:cs="仿宋"/>
          <w:color w:val="auto"/>
          <w:sz w:val="28"/>
          <w:highlight w:val="none"/>
          <w:u w:val="none"/>
          <w:lang w:eastAsia="zh-CN"/>
        </w:rPr>
        <w:t>乙方逾期交齐任意一批产品（含随品、配件、产品说明书、操作手册、质量证明资料等）给甲方的，每逾期1个日历天（不可抗力因素除外），乙方向甲方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lang w:eastAsia="zh-CN"/>
        </w:rPr>
        <w:t>合同暂定总价的5</w:t>
      </w:r>
      <w:r>
        <w:rPr>
          <w:rFonts w:hint="eastAsia"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eastAsia="zh-CN"/>
        </w:rPr>
        <w:t>违约金；逾期2个日历天以上的，属乙方严重违约，甲方有权</w:t>
      </w:r>
      <w:r>
        <w:rPr>
          <w:rFonts w:hint="eastAsia" w:ascii="仿宋" w:hAnsi="仿宋" w:eastAsia="仿宋" w:cs="仿宋"/>
          <w:color w:val="auto"/>
          <w:sz w:val="28"/>
          <w:highlight w:val="none"/>
          <w:u w:val="none"/>
          <w:lang w:val="en-US" w:eastAsia="zh-CN"/>
        </w:rPr>
        <w:t>单方</w:t>
      </w:r>
      <w:r>
        <w:rPr>
          <w:rFonts w:hint="eastAsia" w:ascii="仿宋" w:hAnsi="仿宋" w:eastAsia="仿宋" w:cs="仿宋"/>
          <w:color w:val="auto"/>
          <w:sz w:val="28"/>
          <w:highlight w:val="none"/>
          <w:u w:val="none"/>
          <w:lang w:eastAsia="zh-CN"/>
        </w:rPr>
        <w:t>解除合同并另行向他人采购产品，乙方返还已收款给甲方及向甲方支付合同暂定总价的20%作为违约金，同时乙方赔偿甲方因此遭受的损失。</w:t>
      </w:r>
    </w:p>
    <w:p w14:paraId="2B6C2B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5.2乙方产品出现质量或缺陷问题的，除按本合同约定进行更换、维修外，每出现一次，</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乙方须再向甲方支付金额等于</w:t>
      </w:r>
      <w:r>
        <w:rPr>
          <w:rFonts w:hint="eastAsia" w:ascii="仿宋" w:hAnsi="仿宋" w:eastAsia="仿宋" w:cs="仿宋"/>
          <w:color w:val="auto"/>
          <w:sz w:val="28"/>
          <w:highlight w:val="none"/>
          <w:u w:val="none"/>
          <w:lang w:eastAsia="zh-CN"/>
        </w:rPr>
        <w:t>合同暂定总价的</w:t>
      </w:r>
      <w:r>
        <w:rPr>
          <w:rFonts w:hint="eastAsia" w:ascii="仿宋" w:hAnsi="仿宋" w:eastAsia="仿宋" w:cs="仿宋"/>
          <w:color w:val="auto"/>
          <w:sz w:val="28"/>
          <w:highlight w:val="none"/>
          <w:u w:val="none"/>
          <w:lang w:val="en-US" w:eastAsia="zh-CN"/>
        </w:rPr>
        <w:t>10%违约金，且甲方有权退货、解除合同，产生的全部责任和经济损失由乙方承担；</w:t>
      </w:r>
      <w:r>
        <w:rPr>
          <w:rFonts w:hint="eastAsia" w:ascii="仿宋" w:hAnsi="仿宋" w:eastAsia="仿宋" w:cs="仿宋"/>
          <w:color w:val="auto"/>
          <w:sz w:val="28"/>
          <w:highlight w:val="none"/>
          <w:u w:val="none"/>
        </w:rPr>
        <w:t>因</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产品问题造成的</w:t>
      </w:r>
      <w:r>
        <w:rPr>
          <w:rFonts w:hint="eastAsia" w:ascii="仿宋" w:hAnsi="仿宋" w:eastAsia="仿宋" w:cs="仿宋"/>
          <w:color w:val="auto"/>
          <w:sz w:val="28"/>
          <w:highlight w:val="none"/>
          <w:u w:val="none"/>
          <w:lang w:eastAsia="zh-CN"/>
        </w:rPr>
        <w:t>人身、财产损害赔偿责任或刑事、行政责任等均由乙方承担。</w:t>
      </w:r>
    </w:p>
    <w:p w14:paraId="0A07B2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5.3</w:t>
      </w:r>
      <w:r>
        <w:rPr>
          <w:rFonts w:hint="eastAsia" w:ascii="仿宋" w:hAnsi="仿宋" w:eastAsia="仿宋" w:cs="仿宋"/>
          <w:color w:val="auto"/>
          <w:sz w:val="28"/>
          <w:highlight w:val="none"/>
          <w:u w:val="none"/>
        </w:rPr>
        <w:t>若</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所交产品品种、</w:t>
      </w:r>
      <w:r>
        <w:rPr>
          <w:rFonts w:hint="eastAsia" w:ascii="仿宋" w:hAnsi="仿宋" w:eastAsia="仿宋" w:cs="仿宋"/>
          <w:color w:val="auto"/>
          <w:sz w:val="28"/>
          <w:highlight w:val="none"/>
          <w:u w:val="none"/>
          <w:lang w:eastAsia="zh-CN"/>
        </w:rPr>
        <w:t>品牌、</w:t>
      </w:r>
      <w:r>
        <w:rPr>
          <w:rFonts w:hint="eastAsia" w:ascii="仿宋" w:hAnsi="仿宋" w:eastAsia="仿宋" w:cs="仿宋"/>
          <w:color w:val="auto"/>
          <w:sz w:val="28"/>
          <w:highlight w:val="none"/>
          <w:u w:val="none"/>
        </w:rPr>
        <w:t>规格、</w:t>
      </w:r>
      <w:r>
        <w:rPr>
          <w:rFonts w:hint="eastAsia" w:ascii="仿宋" w:hAnsi="仿宋" w:eastAsia="仿宋" w:cs="仿宋"/>
          <w:color w:val="auto"/>
          <w:sz w:val="28"/>
          <w:highlight w:val="none"/>
          <w:u w:val="none"/>
          <w:lang w:eastAsia="zh-CN"/>
        </w:rPr>
        <w:t>型号、</w:t>
      </w:r>
      <w:r>
        <w:rPr>
          <w:rFonts w:hint="eastAsia" w:ascii="仿宋" w:hAnsi="仿宋" w:eastAsia="仿宋" w:cs="仿宋"/>
          <w:color w:val="auto"/>
          <w:sz w:val="28"/>
          <w:highlight w:val="none"/>
          <w:u w:val="none"/>
        </w:rPr>
        <w:t>质量</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材质等</w:t>
      </w:r>
      <w:r>
        <w:rPr>
          <w:rFonts w:hint="eastAsia" w:ascii="仿宋" w:hAnsi="仿宋" w:eastAsia="仿宋" w:cs="仿宋"/>
          <w:color w:val="auto"/>
          <w:sz w:val="28"/>
          <w:highlight w:val="none"/>
          <w:u w:val="none"/>
        </w:rPr>
        <w:t>不符合</w:t>
      </w:r>
      <w:r>
        <w:rPr>
          <w:rFonts w:hint="eastAsia" w:ascii="仿宋" w:hAnsi="仿宋" w:eastAsia="仿宋" w:cs="仿宋"/>
          <w:color w:val="auto"/>
          <w:sz w:val="28"/>
          <w:highlight w:val="none"/>
          <w:u w:val="none"/>
          <w:lang w:val="en-US" w:eastAsia="zh-CN"/>
        </w:rPr>
        <w:t>合同</w:t>
      </w:r>
      <w:r>
        <w:rPr>
          <w:rFonts w:hint="eastAsia" w:ascii="仿宋" w:hAnsi="仿宋" w:eastAsia="仿宋" w:cs="仿宋"/>
          <w:color w:val="auto"/>
          <w:sz w:val="28"/>
          <w:highlight w:val="none"/>
          <w:u w:val="none"/>
        </w:rPr>
        <w:t>要求，</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w:t>
      </w:r>
      <w:r>
        <w:rPr>
          <w:rFonts w:hint="eastAsia" w:ascii="仿宋" w:hAnsi="仿宋" w:eastAsia="仿宋" w:cs="仿宋"/>
          <w:color w:val="auto"/>
          <w:sz w:val="28"/>
          <w:highlight w:val="none"/>
          <w:u w:val="none"/>
          <w:lang w:eastAsia="zh-CN"/>
        </w:rPr>
        <w:t>无偿</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或退货，</w:t>
      </w:r>
      <w:r>
        <w:rPr>
          <w:rFonts w:hint="eastAsia" w:ascii="仿宋" w:hAnsi="仿宋" w:eastAsia="仿宋" w:cs="仿宋"/>
          <w:color w:val="auto"/>
          <w:sz w:val="28"/>
          <w:highlight w:val="none"/>
          <w:u w:val="none"/>
        </w:rPr>
        <w:t>并承担退货更换所</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rPr>
        <w:t>的一切费用和损失。</w:t>
      </w:r>
      <w:r>
        <w:rPr>
          <w:rFonts w:hint="eastAsia" w:ascii="仿宋" w:hAnsi="仿宋" w:eastAsia="仿宋" w:cs="仿宋"/>
          <w:color w:val="auto"/>
          <w:sz w:val="28"/>
          <w:highlight w:val="none"/>
          <w:u w:val="none"/>
        </w:rPr>
        <w:tab/>
      </w:r>
    </w:p>
    <w:p w14:paraId="021822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履约</w:t>
      </w:r>
      <w:r>
        <w:rPr>
          <w:rFonts w:hint="eastAsia" w:ascii="仿宋" w:hAnsi="仿宋" w:eastAsia="仿宋" w:cs="仿宋"/>
          <w:color w:val="auto"/>
          <w:sz w:val="28"/>
          <w:highlight w:val="none"/>
          <w:u w:val="none"/>
        </w:rPr>
        <w:t>过程中如有弄虚作假等欺骗行为，</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另行支付至少金额等于合同暂定总价30%的违约金</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rPr>
        <w:tab/>
      </w:r>
    </w:p>
    <w:p w14:paraId="748A86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5.5</w:t>
      </w:r>
      <w:r>
        <w:rPr>
          <w:rFonts w:hint="eastAsia" w:ascii="仿宋" w:hAnsi="仿宋" w:eastAsia="仿宋" w:cs="仿宋"/>
          <w:color w:val="auto"/>
          <w:sz w:val="28"/>
          <w:highlight w:val="none"/>
          <w:u w:val="none"/>
        </w:rPr>
        <w:t>合同履行期间，</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必须服从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的安排，否则</w:t>
      </w:r>
      <w:r>
        <w:rPr>
          <w:rFonts w:hint="eastAsia" w:ascii="仿宋" w:hAnsi="仿宋" w:eastAsia="仿宋" w:cs="仿宋"/>
          <w:color w:val="auto"/>
          <w:sz w:val="28"/>
          <w:highlight w:val="none"/>
          <w:u w:val="none"/>
          <w:lang w:eastAsia="zh-CN"/>
        </w:rPr>
        <w:t>属乙方违约，甲方</w:t>
      </w:r>
      <w:r>
        <w:rPr>
          <w:rFonts w:hint="eastAsia" w:ascii="仿宋" w:hAnsi="仿宋" w:eastAsia="仿宋" w:cs="仿宋"/>
          <w:color w:val="auto"/>
          <w:sz w:val="28"/>
          <w:highlight w:val="none"/>
          <w:u w:val="none"/>
        </w:rPr>
        <w:t>有权对</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进行处罚。</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67D177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5.6乙方违反本合同任何约定均属违约，乙方除按相应条款承担包括但不限于以上所述的违约责任外，甲方可随时单方解除合同，同时乙方赔偿甲方因此遭受的损失。</w:t>
      </w:r>
    </w:p>
    <w:p w14:paraId="19C48B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5.7乙方违反本合同约定给甲方造成损失的，除按本合同约定承担违约责任外，</w:t>
      </w:r>
    </w:p>
    <w:p w14:paraId="5ABFA07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甲方有权直接从应付合同款中直接扣除乙方应承担的违约金、罚款等费用，如应付合同款及乙方支付的违约金、罚款不足补偿甲方损失，乙方在甲方通知之日起七个</w:t>
      </w:r>
    </w:p>
    <w:p w14:paraId="62C4986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日历天内补齐，且甲方向乙方追偿责任所产生的律师费、差旅费、诉讼费、鉴定费、财产保全担保费由乙方全额承担。</w:t>
      </w:r>
    </w:p>
    <w:p w14:paraId="3D535A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lang w:val="en-US" w:eastAsia="zh-CN"/>
        </w:rPr>
        <w:t>8基于本项目的特殊性，乙方已充分了解其供货责任并自愿承担相应风险，合同所约定的违约金标准经双方友好协商确定，乙方同意不对违约金标准提出任何主张或抗辩。</w:t>
      </w:r>
    </w:p>
    <w:p w14:paraId="36E595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5.9</w:t>
      </w:r>
      <w:r>
        <w:rPr>
          <w:rFonts w:hint="eastAsia" w:ascii="仿宋" w:hAnsi="仿宋" w:eastAsia="仿宋" w:cs="仿宋"/>
          <w:color w:val="auto"/>
          <w:sz w:val="28"/>
          <w:highlight w:val="none"/>
          <w:u w:val="none"/>
          <w:lang w:eastAsia="zh-CN"/>
        </w:rPr>
        <w:t>本合同履行过程中</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送货单、</w:t>
      </w:r>
      <w:r>
        <w:rPr>
          <w:rFonts w:hint="eastAsia" w:ascii="仿宋" w:hAnsi="仿宋" w:eastAsia="仿宋" w:cs="仿宋"/>
          <w:color w:val="auto"/>
          <w:sz w:val="28"/>
          <w:highlight w:val="none"/>
          <w:u w:val="none"/>
          <w:lang w:eastAsia="zh-CN"/>
        </w:rPr>
        <w:t>提货单、出入库单等类似单据、小票仅作为确认双方</w:t>
      </w:r>
      <w:r>
        <w:rPr>
          <w:rFonts w:hint="eastAsia" w:ascii="仿宋" w:hAnsi="仿宋" w:eastAsia="仿宋" w:cs="仿宋"/>
          <w:color w:val="auto"/>
          <w:sz w:val="28"/>
          <w:highlight w:val="none"/>
          <w:u w:val="none"/>
          <w:lang w:val="en-US" w:eastAsia="zh-CN"/>
        </w:rPr>
        <w:t>产品</w:t>
      </w:r>
      <w:r>
        <w:rPr>
          <w:rFonts w:hint="eastAsia" w:ascii="仿宋" w:hAnsi="仿宋" w:eastAsia="仿宋" w:cs="仿宋"/>
          <w:color w:val="auto"/>
          <w:sz w:val="28"/>
          <w:highlight w:val="none"/>
          <w:u w:val="none"/>
          <w:lang w:eastAsia="zh-CN"/>
        </w:rPr>
        <w:t>数量的依据。单据、</w:t>
      </w:r>
      <w:r>
        <w:rPr>
          <w:rFonts w:hint="eastAsia" w:ascii="仿宋" w:hAnsi="仿宋" w:eastAsia="仿宋" w:cs="仿宋"/>
          <w:color w:val="auto"/>
          <w:sz w:val="28"/>
          <w:highlight w:val="none"/>
          <w:u w:val="none"/>
          <w:lang w:val="en-US" w:eastAsia="zh-CN"/>
        </w:rPr>
        <w:t>小票</w:t>
      </w:r>
      <w:r>
        <w:rPr>
          <w:rFonts w:hint="eastAsia" w:ascii="仿宋" w:hAnsi="仿宋" w:eastAsia="仿宋" w:cs="仿宋"/>
          <w:color w:val="auto"/>
          <w:sz w:val="28"/>
          <w:highlight w:val="none"/>
          <w:u w:val="none"/>
          <w:lang w:eastAsia="zh-CN"/>
        </w:rPr>
        <w:t>中对争议管辖、赔偿和违约责任等事项与本合同约定不一致的，</w:t>
      </w:r>
      <w:r>
        <w:rPr>
          <w:rFonts w:hint="eastAsia" w:ascii="仿宋" w:hAnsi="仿宋" w:eastAsia="仿宋" w:cs="仿宋"/>
          <w:color w:val="auto"/>
          <w:sz w:val="28"/>
          <w:highlight w:val="none"/>
          <w:u w:val="none"/>
          <w:lang w:val="en-US" w:eastAsia="zh-CN"/>
        </w:rPr>
        <w:t>乙方确认</w:t>
      </w:r>
      <w:r>
        <w:rPr>
          <w:rFonts w:hint="eastAsia" w:ascii="仿宋" w:hAnsi="仿宋" w:eastAsia="仿宋" w:cs="仿宋"/>
          <w:color w:val="auto"/>
          <w:sz w:val="28"/>
          <w:highlight w:val="none"/>
          <w:u w:val="none"/>
          <w:lang w:eastAsia="zh-CN"/>
        </w:rPr>
        <w:t>以本合同</w:t>
      </w:r>
      <w:r>
        <w:rPr>
          <w:rFonts w:hint="eastAsia" w:ascii="仿宋" w:hAnsi="仿宋" w:eastAsia="仿宋" w:cs="仿宋"/>
          <w:color w:val="auto"/>
          <w:sz w:val="28"/>
          <w:highlight w:val="none"/>
          <w:u w:val="none"/>
          <w:lang w:val="en-US" w:eastAsia="zh-CN"/>
        </w:rPr>
        <w:t>条款</w:t>
      </w:r>
      <w:r>
        <w:rPr>
          <w:rFonts w:hint="eastAsia" w:ascii="仿宋" w:hAnsi="仿宋" w:eastAsia="仿宋" w:cs="仿宋"/>
          <w:color w:val="auto"/>
          <w:sz w:val="28"/>
          <w:highlight w:val="none"/>
          <w:u w:val="none"/>
          <w:lang w:eastAsia="zh-CN"/>
        </w:rPr>
        <w:t>为准，但如约定的乙方赔偿和违约责任</w:t>
      </w:r>
      <w:r>
        <w:rPr>
          <w:rFonts w:hint="eastAsia" w:ascii="仿宋" w:hAnsi="仿宋" w:eastAsia="仿宋" w:cs="仿宋"/>
          <w:color w:val="auto"/>
          <w:sz w:val="28"/>
          <w:highlight w:val="none"/>
          <w:u w:val="none"/>
          <w:lang w:val="en-US" w:eastAsia="zh-CN"/>
        </w:rPr>
        <w:t>标准</w:t>
      </w:r>
      <w:r>
        <w:rPr>
          <w:rFonts w:hint="eastAsia" w:ascii="仿宋" w:hAnsi="仿宋" w:eastAsia="仿宋" w:cs="仿宋"/>
          <w:color w:val="auto"/>
          <w:sz w:val="28"/>
          <w:highlight w:val="none"/>
          <w:u w:val="none"/>
          <w:lang w:eastAsia="zh-CN"/>
        </w:rPr>
        <w:t>高于本合同约定，则适用更高标准。</w:t>
      </w:r>
    </w:p>
    <w:p w14:paraId="530DEC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color w:val="auto"/>
          <w:sz w:val="28"/>
          <w:highlight w:val="none"/>
          <w:u w:val="none"/>
          <w:lang w:val="en-US" w:eastAsia="zh-CN"/>
        </w:rPr>
        <w:t>5.10</w:t>
      </w:r>
      <w:r>
        <w:rPr>
          <w:rFonts w:hint="eastAsia" w:ascii="仿宋" w:hAnsi="仿宋" w:eastAsia="仿宋" w:cs="仿宋"/>
          <w:b w:val="0"/>
          <w:bCs w:val="0"/>
          <w:color w:val="auto"/>
          <w:sz w:val="28"/>
          <w:highlight w:val="none"/>
          <w:u w:val="none"/>
          <w:lang w:eastAsia="zh-CN"/>
        </w:rPr>
        <w:t>本合同履行过程中，可能因乙方原因造成</w:t>
      </w:r>
      <w:r>
        <w:rPr>
          <w:rFonts w:hint="eastAsia" w:ascii="仿宋" w:hAnsi="仿宋" w:eastAsia="仿宋" w:cs="仿宋"/>
          <w:b w:val="0"/>
          <w:bCs w:val="0"/>
          <w:color w:val="auto"/>
          <w:sz w:val="28"/>
          <w:highlight w:val="none"/>
          <w:u w:val="none"/>
          <w:lang w:val="en-US" w:eastAsia="zh-CN"/>
        </w:rPr>
        <w:t>产品</w:t>
      </w:r>
      <w:r>
        <w:rPr>
          <w:rFonts w:hint="eastAsia" w:ascii="仿宋" w:hAnsi="仿宋" w:eastAsia="仿宋" w:cs="仿宋"/>
          <w:b w:val="0"/>
          <w:bCs w:val="0"/>
          <w:color w:val="auto"/>
          <w:sz w:val="28"/>
          <w:highlight w:val="none"/>
          <w:u w:val="none"/>
          <w:lang w:eastAsia="zh-CN"/>
        </w:rPr>
        <w:t>质量、安全文明等无法满足甲方及规范要求的，乙方须提供不属于其责任的证明并得到甲方的书面认可，否则视为乙方违约，全部责任、费用和损失由乙方承担。</w:t>
      </w:r>
    </w:p>
    <w:p w14:paraId="27F8AE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5.11合同履行期间，因乙方原因导致建设单位或其他单位对甲方进行处罚扣款的，甲方有权按该处罚金额的2倍以上向乙方收取违约金。</w:t>
      </w:r>
    </w:p>
    <w:p w14:paraId="172D8D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5.12</w:t>
      </w:r>
      <w:r>
        <w:rPr>
          <w:rFonts w:hint="default" w:ascii="仿宋" w:hAnsi="仿宋" w:eastAsia="仿宋" w:cs="仿宋"/>
          <w:b w:val="0"/>
          <w:bCs w:val="0"/>
          <w:color w:val="auto"/>
          <w:sz w:val="28"/>
          <w:highlight w:val="none"/>
          <w:u w:val="none"/>
          <w:lang w:val="en-US" w:eastAsia="zh-CN"/>
        </w:rPr>
        <w:t>乙方未及时发放工人工资或及时支付货款，导致影响甲方或本项目的，每发生一次劳资纠纷或货款纠纷事件，乙方向甲方另行支付违约金叁万元</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若因乙方拖欠工人工资或货款，导致媒体曝光或政府部门介入的，乙方另向甲方支付违约金不少于100000元/次。</w:t>
      </w:r>
    </w:p>
    <w:p w14:paraId="20F704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5.13</w:t>
      </w:r>
      <w:r>
        <w:rPr>
          <w:rFonts w:hint="default" w:ascii="仿宋" w:hAnsi="仿宋" w:eastAsia="仿宋" w:cs="仿宋"/>
          <w:b w:val="0"/>
          <w:bCs w:val="0"/>
          <w:color w:val="auto"/>
          <w:sz w:val="28"/>
          <w:highlight w:val="none"/>
          <w:u w:val="none"/>
          <w:lang w:val="en-US" w:eastAsia="zh-CN"/>
        </w:rPr>
        <w:t>因乙方原因导致甲方被起诉的，乙方除赔偿甲方损失外，甲方每被起诉一次，乙方向甲方支付五万元的违约金。若</w:t>
      </w:r>
      <w:r>
        <w:rPr>
          <w:rFonts w:hint="eastAsia" w:ascii="仿宋" w:hAnsi="仿宋" w:eastAsia="仿宋" w:cs="仿宋"/>
          <w:b w:val="0"/>
          <w:bCs w:val="0"/>
          <w:color w:val="auto"/>
          <w:sz w:val="28"/>
          <w:highlight w:val="none"/>
          <w:u w:val="none"/>
          <w:lang w:val="en-US" w:eastAsia="zh-CN"/>
        </w:rPr>
        <w:t>乙方</w:t>
      </w:r>
      <w:r>
        <w:rPr>
          <w:rFonts w:hint="default" w:ascii="仿宋" w:hAnsi="仿宋" w:eastAsia="仿宋" w:cs="仿宋"/>
          <w:b w:val="0"/>
          <w:bCs w:val="0"/>
          <w:color w:val="auto"/>
          <w:sz w:val="28"/>
          <w:highlight w:val="none"/>
          <w:u w:val="none"/>
          <w:lang w:val="en-US" w:eastAsia="zh-CN"/>
        </w:rPr>
        <w:t>导致甲方</w:t>
      </w:r>
      <w:r>
        <w:rPr>
          <w:rFonts w:hint="eastAsia" w:ascii="仿宋" w:hAnsi="仿宋" w:eastAsia="仿宋" w:cs="仿宋"/>
          <w:b w:val="0"/>
          <w:bCs w:val="0"/>
          <w:color w:val="auto"/>
          <w:sz w:val="28"/>
          <w:highlight w:val="none"/>
          <w:u w:val="none"/>
          <w:lang w:val="en-US" w:eastAsia="zh-CN"/>
        </w:rPr>
        <w:t>资金</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被冻结，乙方还</w:t>
      </w:r>
      <w:r>
        <w:rPr>
          <w:rFonts w:hint="eastAsia" w:ascii="仿宋" w:hAnsi="仿宋" w:eastAsia="仿宋" w:cs="仿宋"/>
          <w:b w:val="0"/>
          <w:bCs w:val="0"/>
          <w:color w:val="auto"/>
          <w:sz w:val="28"/>
          <w:highlight w:val="none"/>
          <w:u w:val="none"/>
          <w:lang w:val="en-US" w:eastAsia="zh-CN"/>
        </w:rPr>
        <w:t>须按</w:t>
      </w:r>
      <w:r>
        <w:rPr>
          <w:rFonts w:hint="default" w:ascii="仿宋" w:hAnsi="仿宋" w:eastAsia="仿宋" w:cs="仿宋"/>
          <w:b w:val="0"/>
          <w:bCs w:val="0"/>
          <w:color w:val="auto"/>
          <w:sz w:val="28"/>
          <w:highlight w:val="none"/>
          <w:u w:val="none"/>
          <w:lang w:val="en-US" w:eastAsia="zh-CN"/>
        </w:rPr>
        <w:t>冻结资金总额的日千分之一向甲方支付利息</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乙方</w:t>
      </w:r>
      <w:r>
        <w:rPr>
          <w:rFonts w:hint="eastAsia" w:ascii="仿宋" w:hAnsi="仿宋" w:eastAsia="仿宋" w:cs="仿宋"/>
          <w:b w:val="0"/>
          <w:bCs w:val="0"/>
          <w:color w:val="auto"/>
          <w:sz w:val="28"/>
          <w:highlight w:val="none"/>
          <w:u w:val="none"/>
          <w:lang w:val="en-US" w:eastAsia="zh-CN"/>
        </w:rPr>
        <w:t>同时赔偿</w:t>
      </w:r>
      <w:r>
        <w:rPr>
          <w:rFonts w:hint="default" w:ascii="仿宋" w:hAnsi="仿宋" w:eastAsia="仿宋" w:cs="仿宋"/>
          <w:b w:val="0"/>
          <w:bCs w:val="0"/>
          <w:color w:val="auto"/>
          <w:sz w:val="28"/>
          <w:highlight w:val="none"/>
          <w:u w:val="none"/>
          <w:lang w:val="en-US" w:eastAsia="zh-CN"/>
        </w:rPr>
        <w:t>甲方遭受的所有损失，并</w:t>
      </w:r>
      <w:r>
        <w:rPr>
          <w:rFonts w:hint="eastAsia" w:ascii="仿宋" w:hAnsi="仿宋" w:eastAsia="仿宋" w:cs="仿宋"/>
          <w:b w:val="0"/>
          <w:bCs w:val="0"/>
          <w:color w:val="auto"/>
          <w:sz w:val="28"/>
          <w:highlight w:val="none"/>
          <w:u w:val="none"/>
          <w:lang w:val="en-US" w:eastAsia="zh-CN"/>
        </w:rPr>
        <w:t>按</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被冻结次数每次额外向甲方</w:t>
      </w:r>
      <w:r>
        <w:rPr>
          <w:rFonts w:hint="eastAsia" w:ascii="仿宋" w:hAnsi="仿宋" w:eastAsia="仿宋" w:cs="仿宋"/>
          <w:b w:val="0"/>
          <w:bCs w:val="0"/>
          <w:color w:val="auto"/>
          <w:sz w:val="28"/>
          <w:highlight w:val="none"/>
          <w:u w:val="none"/>
          <w:lang w:val="en-US" w:eastAsia="zh-CN"/>
        </w:rPr>
        <w:t>承担</w:t>
      </w:r>
      <w:r>
        <w:rPr>
          <w:rFonts w:hint="default" w:ascii="仿宋" w:hAnsi="仿宋" w:eastAsia="仿宋" w:cs="仿宋"/>
          <w:b w:val="0"/>
          <w:bCs w:val="0"/>
          <w:color w:val="auto"/>
          <w:sz w:val="28"/>
          <w:highlight w:val="none"/>
          <w:u w:val="none"/>
          <w:lang w:val="en-US" w:eastAsia="zh-CN"/>
        </w:rPr>
        <w:t>50000元违约金。</w:t>
      </w:r>
    </w:p>
    <w:p w14:paraId="0AB1C58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u w:val="none"/>
        </w:rPr>
      </w:pPr>
      <w:bookmarkStart w:id="18" w:name="_Toc12600"/>
      <w:bookmarkStart w:id="19" w:name="_Toc2026"/>
      <w:bookmarkStart w:id="20" w:name="_Toc29740"/>
      <w:r>
        <w:rPr>
          <w:rFonts w:hint="eastAsia" w:ascii="仿宋" w:hAnsi="仿宋" w:eastAsia="仿宋" w:cs="仿宋"/>
          <w:b/>
          <w:bCs/>
          <w:color w:val="auto"/>
          <w:sz w:val="28"/>
          <w:highlight w:val="none"/>
          <w:u w:val="none"/>
          <w:lang w:val="en-US" w:eastAsia="zh-CN"/>
        </w:rPr>
        <w:t>第六章</w:t>
      </w:r>
      <w:r>
        <w:rPr>
          <w:rFonts w:hint="eastAsia" w:ascii="仿宋" w:hAnsi="仿宋" w:eastAsia="仿宋" w:cs="仿宋"/>
          <w:b/>
          <w:bCs/>
          <w:color w:val="auto"/>
          <w:sz w:val="28"/>
          <w:highlight w:val="none"/>
          <w:u w:val="none"/>
          <w:lang w:eastAsia="zh-CN"/>
        </w:rPr>
        <w:t>、</w:t>
      </w:r>
      <w:r>
        <w:rPr>
          <w:rFonts w:hint="eastAsia" w:ascii="仿宋" w:hAnsi="仿宋" w:eastAsia="仿宋" w:cs="仿宋"/>
          <w:b/>
          <w:bCs/>
          <w:color w:val="auto"/>
          <w:sz w:val="28"/>
          <w:highlight w:val="none"/>
          <w:u w:val="none"/>
        </w:rPr>
        <w:t>廉洁条款</w:t>
      </w:r>
      <w:bookmarkEnd w:id="18"/>
      <w:bookmarkEnd w:id="19"/>
      <w:bookmarkEnd w:id="20"/>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679632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6.1</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合作期间（包括本合同</w:t>
      </w:r>
      <w:r>
        <w:rPr>
          <w:rFonts w:hint="eastAsia" w:ascii="仿宋" w:hAnsi="仿宋" w:eastAsia="仿宋" w:cs="仿宋"/>
          <w:color w:val="auto"/>
          <w:sz w:val="28"/>
          <w:highlight w:val="none"/>
          <w:u w:val="none"/>
          <w:lang w:val="en-US" w:eastAsia="zh-CN"/>
        </w:rPr>
        <w:t>招标、</w:t>
      </w:r>
      <w:r>
        <w:rPr>
          <w:rFonts w:hint="eastAsia" w:ascii="仿宋" w:hAnsi="仿宋" w:eastAsia="仿宋" w:cs="仿宋"/>
          <w:color w:val="auto"/>
          <w:sz w:val="28"/>
          <w:highlight w:val="none"/>
          <w:u w:val="none"/>
        </w:rPr>
        <w:t>洽谈、签约、履约期间），不得向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职员提供请吃、送礼、旅游、色情服务、行贿、回扣或其他好处，如有违反，</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支付人民币十万元作为违约金（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可从任意一笔合同款中扣款），造成</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经济或其他损失的，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全额赔偿</w:t>
      </w:r>
      <w:r>
        <w:rPr>
          <w:rFonts w:hint="eastAsia" w:ascii="仿宋" w:hAnsi="仿宋" w:eastAsia="仿宋" w:cs="仿宋"/>
          <w:color w:val="auto"/>
          <w:sz w:val="28"/>
          <w:highlight w:val="none"/>
          <w:u w:val="none"/>
          <w:lang w:eastAsia="zh-CN"/>
        </w:rPr>
        <w:t>，且甲方有权单方解除本合同。</w:t>
      </w:r>
    </w:p>
    <w:p w14:paraId="202DE0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6.2甲乙</w:t>
      </w:r>
      <w:r>
        <w:rPr>
          <w:rFonts w:hint="eastAsia" w:ascii="仿宋" w:hAnsi="仿宋" w:eastAsia="仿宋" w:cs="仿宋"/>
          <w:color w:val="auto"/>
          <w:sz w:val="28"/>
          <w:highlight w:val="none"/>
        </w:rPr>
        <w:t>双方管理人员有权拒绝执行合同以外的违法要求。</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发现</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向</w:t>
      </w:r>
      <w:r>
        <w:rPr>
          <w:rFonts w:hint="eastAsia" w:ascii="仿宋" w:hAnsi="仿宋" w:eastAsia="仿宋" w:cs="仿宋"/>
          <w:color w:val="auto"/>
          <w:sz w:val="28"/>
          <w:highlight w:val="none"/>
          <w:lang w:eastAsia="zh-CN"/>
        </w:rPr>
        <w:t>甲方</w:t>
      </w:r>
    </w:p>
    <w:p w14:paraId="120AFF5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人员或</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委托的其他人员行贿或输送不正当利益的，</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有权对</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进行处罚并单方解除合同，对所发生的工程量/工作量不予结算及不支付费用</w:t>
      </w:r>
      <w:r>
        <w:rPr>
          <w:rFonts w:hint="eastAsia" w:ascii="仿宋" w:hAnsi="仿宋" w:eastAsia="仿宋" w:cs="仿宋"/>
          <w:color w:val="auto"/>
          <w:sz w:val="28"/>
          <w:highlight w:val="none"/>
          <w:lang w:eastAsia="zh-CN"/>
        </w:rPr>
        <w:t>。</w:t>
      </w:r>
    </w:p>
    <w:p w14:paraId="149865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eastAsia="zh-CN"/>
        </w:rPr>
        <w:t>6.3如甲方发现乙方可能存在违反本廉洁条款的行为时，甲方有权暂扣违约金/争议款/处罚款等对应等额的款项，直至调查完毕后根据调查结果再作处理，甲方暂不付款的行为不视为甲方违约。</w:t>
      </w:r>
    </w:p>
    <w:p w14:paraId="7CC52F3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highlight w:val="none"/>
          <w:lang w:eastAsia="zh-CN"/>
        </w:rPr>
      </w:pPr>
      <w:bookmarkStart w:id="21" w:name="_Toc23013"/>
      <w:bookmarkStart w:id="22" w:name="_Toc8226"/>
      <w:bookmarkStart w:id="23" w:name="_Toc18645"/>
      <w:r>
        <w:rPr>
          <w:rFonts w:hint="eastAsia" w:ascii="仿宋" w:hAnsi="仿宋" w:eastAsia="仿宋" w:cs="仿宋"/>
          <w:b/>
          <w:bCs/>
          <w:color w:val="auto"/>
          <w:sz w:val="28"/>
          <w:highlight w:val="none"/>
          <w:lang w:val="en-US" w:eastAsia="zh-CN"/>
        </w:rPr>
        <w:t>第七章</w:t>
      </w:r>
      <w:r>
        <w:rPr>
          <w:rFonts w:hint="eastAsia" w:ascii="仿宋" w:hAnsi="仿宋" w:eastAsia="仿宋" w:cs="仿宋"/>
          <w:b/>
          <w:bCs/>
          <w:color w:val="auto"/>
          <w:sz w:val="28"/>
          <w:highlight w:val="none"/>
          <w:lang w:eastAsia="zh-CN"/>
        </w:rPr>
        <w:t>、其他</w:t>
      </w:r>
      <w:bookmarkEnd w:id="21"/>
      <w:bookmarkEnd w:id="22"/>
      <w:bookmarkEnd w:id="23"/>
    </w:p>
    <w:p w14:paraId="4ACFA7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thick"/>
          <w:shd w:val="clear" w:color="auto" w:fill="auto"/>
          <w:lang w:eastAsia="zh-CN"/>
        </w:rPr>
      </w:pPr>
      <w:bookmarkStart w:id="24" w:name="_Toc13420"/>
      <w:r>
        <w:rPr>
          <w:rFonts w:hint="eastAsia" w:ascii="仿宋" w:hAnsi="仿宋" w:eastAsia="仿宋" w:cs="仿宋"/>
          <w:b w:val="0"/>
          <w:bCs w:val="0"/>
          <w:color w:val="auto"/>
          <w:sz w:val="28"/>
          <w:highlight w:val="none"/>
          <w:shd w:val="clear" w:color="auto" w:fill="auto"/>
          <w:lang w:val="en-US" w:eastAsia="zh-CN"/>
        </w:rPr>
        <w:t>7.1</w:t>
      </w:r>
      <w:r>
        <w:rPr>
          <w:rFonts w:hint="eastAsia" w:ascii="仿宋" w:hAnsi="仿宋" w:eastAsia="仿宋" w:cs="仿宋"/>
          <w:color w:val="auto"/>
          <w:sz w:val="28"/>
          <w:highlight w:val="none"/>
          <w:shd w:val="clear" w:color="auto" w:fill="auto"/>
        </w:rPr>
        <w:t>合同价</w:t>
      </w:r>
      <w:r>
        <w:rPr>
          <w:rFonts w:hint="eastAsia" w:ascii="仿宋" w:hAnsi="仿宋" w:eastAsia="仿宋" w:cs="仿宋"/>
          <w:color w:val="auto"/>
          <w:sz w:val="28"/>
          <w:highlight w:val="none"/>
          <w:shd w:val="clear" w:color="auto" w:fill="auto"/>
          <w:lang w:val="en-US" w:eastAsia="zh-CN"/>
        </w:rPr>
        <w:t>款</w:t>
      </w:r>
      <w:r>
        <w:rPr>
          <w:rFonts w:hint="eastAsia" w:ascii="仿宋" w:hAnsi="仿宋" w:eastAsia="仿宋" w:cs="仿宋"/>
          <w:color w:val="auto"/>
          <w:sz w:val="28"/>
          <w:highlight w:val="none"/>
          <w:shd w:val="clear" w:color="auto" w:fill="auto"/>
        </w:rPr>
        <w:t>及合同条款已考虑</w:t>
      </w:r>
      <w:r>
        <w:rPr>
          <w:rFonts w:hint="eastAsia" w:ascii="仿宋" w:hAnsi="仿宋" w:eastAsia="仿宋" w:cs="仿宋"/>
          <w:color w:val="auto"/>
          <w:sz w:val="28"/>
          <w:highlight w:val="none"/>
          <w:shd w:val="clear" w:color="auto" w:fill="auto"/>
          <w:lang w:val="en-US" w:eastAsia="zh-CN"/>
        </w:rPr>
        <w:t>各类</w:t>
      </w:r>
      <w:r>
        <w:rPr>
          <w:rFonts w:hint="eastAsia" w:ascii="仿宋" w:hAnsi="仿宋" w:eastAsia="仿宋" w:cs="仿宋"/>
          <w:color w:val="auto"/>
          <w:sz w:val="28"/>
          <w:highlight w:val="none"/>
          <w:shd w:val="clear" w:color="auto" w:fill="auto"/>
          <w:lang w:eastAsia="zh-CN"/>
        </w:rPr>
        <w:t>疾病</w:t>
      </w:r>
      <w:r>
        <w:rPr>
          <w:rFonts w:hint="eastAsia" w:ascii="仿宋" w:hAnsi="仿宋" w:eastAsia="仿宋" w:cs="仿宋"/>
          <w:color w:val="auto"/>
          <w:sz w:val="28"/>
          <w:highlight w:val="none"/>
          <w:shd w:val="clear" w:color="auto" w:fill="auto"/>
          <w:lang w:val="en-US" w:eastAsia="zh-CN"/>
        </w:rPr>
        <w:t>疫情</w:t>
      </w:r>
      <w:r>
        <w:rPr>
          <w:rFonts w:hint="eastAsia" w:ascii="仿宋" w:hAnsi="仿宋" w:eastAsia="仿宋" w:cs="仿宋"/>
          <w:color w:val="auto"/>
          <w:sz w:val="28"/>
          <w:highlight w:val="none"/>
          <w:shd w:val="clear" w:color="auto" w:fill="auto"/>
        </w:rPr>
        <w:t>影响，</w:t>
      </w:r>
      <w:r>
        <w:rPr>
          <w:rFonts w:hint="eastAsia" w:ascii="仿宋" w:hAnsi="仿宋" w:eastAsia="仿宋" w:cs="仿宋"/>
          <w:color w:val="auto"/>
          <w:sz w:val="28"/>
          <w:highlight w:val="none"/>
          <w:shd w:val="clear" w:color="auto" w:fill="auto"/>
          <w:lang w:eastAsia="zh-CN"/>
        </w:rPr>
        <w:t>乙方</w:t>
      </w:r>
      <w:r>
        <w:rPr>
          <w:rFonts w:hint="eastAsia" w:ascii="仿宋" w:hAnsi="仿宋" w:eastAsia="仿宋" w:cs="仿宋"/>
          <w:color w:val="auto"/>
          <w:sz w:val="28"/>
          <w:highlight w:val="none"/>
          <w:shd w:val="clear" w:color="auto" w:fill="auto"/>
        </w:rPr>
        <w:t>不以疫情为由要求</w:t>
      </w:r>
      <w:r>
        <w:rPr>
          <w:rFonts w:hint="eastAsia" w:ascii="仿宋" w:hAnsi="仿宋" w:eastAsia="仿宋" w:cs="仿宋"/>
          <w:color w:val="auto"/>
          <w:sz w:val="28"/>
          <w:highlight w:val="none"/>
          <w:shd w:val="clear" w:color="auto" w:fill="auto"/>
          <w:lang w:eastAsia="zh-CN"/>
        </w:rPr>
        <w:t>甲方</w:t>
      </w:r>
      <w:r>
        <w:rPr>
          <w:rFonts w:hint="eastAsia" w:ascii="仿宋" w:hAnsi="仿宋" w:eastAsia="仿宋" w:cs="仿宋"/>
          <w:color w:val="auto"/>
          <w:sz w:val="28"/>
          <w:highlight w:val="none"/>
          <w:shd w:val="clear" w:color="auto" w:fill="auto"/>
        </w:rPr>
        <w:t>对合同价款、结算办法及</w:t>
      </w:r>
      <w:r>
        <w:rPr>
          <w:rFonts w:hint="eastAsia" w:ascii="仿宋" w:hAnsi="仿宋" w:eastAsia="仿宋" w:cs="仿宋"/>
          <w:color w:val="auto"/>
          <w:sz w:val="28"/>
          <w:highlight w:val="none"/>
          <w:shd w:val="clear" w:color="auto" w:fill="auto"/>
          <w:lang w:eastAsia="zh-CN"/>
        </w:rPr>
        <w:t>货</w:t>
      </w:r>
      <w:r>
        <w:rPr>
          <w:rFonts w:hint="eastAsia" w:ascii="仿宋" w:hAnsi="仿宋" w:eastAsia="仿宋" w:cs="仿宋"/>
          <w:color w:val="auto"/>
          <w:sz w:val="28"/>
          <w:highlight w:val="none"/>
          <w:shd w:val="clear" w:color="auto" w:fill="auto"/>
        </w:rPr>
        <w:t>期等合同条款进行调整，防疫措施的一切费用由</w:t>
      </w:r>
      <w:r>
        <w:rPr>
          <w:rFonts w:hint="eastAsia" w:ascii="仿宋" w:hAnsi="仿宋" w:eastAsia="仿宋" w:cs="仿宋"/>
          <w:color w:val="auto"/>
          <w:sz w:val="28"/>
          <w:highlight w:val="none"/>
          <w:shd w:val="clear" w:color="auto" w:fill="auto"/>
          <w:lang w:eastAsia="zh-CN"/>
        </w:rPr>
        <w:t>乙方</w:t>
      </w:r>
      <w:r>
        <w:rPr>
          <w:rFonts w:hint="eastAsia" w:ascii="仿宋" w:hAnsi="仿宋" w:eastAsia="仿宋" w:cs="仿宋"/>
          <w:color w:val="auto"/>
          <w:sz w:val="28"/>
          <w:highlight w:val="none"/>
          <w:shd w:val="clear" w:color="auto" w:fill="auto"/>
        </w:rPr>
        <w:t>承担。</w:t>
      </w:r>
    </w:p>
    <w:p w14:paraId="7E64CD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7.2</w:t>
      </w:r>
      <w:r>
        <w:rPr>
          <w:rFonts w:hint="eastAsia" w:ascii="仿宋" w:hAnsi="仿宋" w:eastAsia="仿宋" w:cs="仿宋"/>
          <w:b w:val="0"/>
          <w:bCs w:val="0"/>
          <w:color w:val="auto"/>
          <w:sz w:val="28"/>
          <w:highlight w:val="none"/>
          <w:lang w:val="en-US" w:eastAsia="zh-CN"/>
        </w:rPr>
        <w:t>乙方人员在本合同履行期间所发生的所有安全事故，均由乙方承担所涉及的全部费用及损失，对甲方造成损失的则赔偿甲方损失。</w:t>
      </w:r>
    </w:p>
    <w:p w14:paraId="20746C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7.3甲、乙</w:t>
      </w:r>
      <w:r>
        <w:rPr>
          <w:rFonts w:hint="eastAsia" w:ascii="仿宋" w:hAnsi="仿宋" w:eastAsia="仿宋" w:cs="仿宋"/>
          <w:b w:val="0"/>
          <w:bCs w:val="0"/>
          <w:color w:val="auto"/>
          <w:sz w:val="28"/>
          <w:highlight w:val="none"/>
          <w:u w:val="none"/>
          <w:shd w:val="clear" w:color="auto" w:fill="auto"/>
          <w:lang w:eastAsia="zh-CN"/>
        </w:rPr>
        <w:t>双方对产品质量有争议的，由产品使用地点</w:t>
      </w:r>
      <w:r>
        <w:rPr>
          <w:rFonts w:hint="eastAsia" w:ascii="仿宋" w:hAnsi="仿宋" w:eastAsia="仿宋" w:cs="仿宋"/>
          <w:b w:val="0"/>
          <w:bCs w:val="0"/>
          <w:color w:val="auto"/>
          <w:sz w:val="28"/>
          <w:highlight w:val="none"/>
          <w:u w:val="none"/>
          <w:shd w:val="clear" w:color="auto" w:fill="auto"/>
          <w:lang w:val="en-US" w:eastAsia="zh-CN"/>
        </w:rPr>
        <w:t>的</w:t>
      </w:r>
      <w:r>
        <w:rPr>
          <w:rFonts w:hint="eastAsia" w:ascii="仿宋" w:hAnsi="仿宋" w:eastAsia="仿宋" w:cs="仿宋"/>
          <w:b w:val="0"/>
          <w:bCs w:val="0"/>
          <w:color w:val="auto"/>
          <w:sz w:val="28"/>
          <w:highlight w:val="none"/>
          <w:u w:val="none"/>
          <w:shd w:val="clear" w:color="auto" w:fill="auto"/>
          <w:lang w:eastAsia="zh-CN"/>
        </w:rPr>
        <w:t>、国家规定的质量检测机构鉴定，所需费用及因此造成的损失由责任方承担。如双方均有责任，由双方根据</w:t>
      </w:r>
      <w:r>
        <w:rPr>
          <w:rFonts w:hint="eastAsia" w:ascii="仿宋" w:hAnsi="仿宋" w:eastAsia="仿宋" w:cs="仿宋"/>
          <w:b w:val="0"/>
          <w:bCs w:val="0"/>
          <w:color w:val="auto"/>
          <w:sz w:val="28"/>
          <w:highlight w:val="none"/>
          <w:u w:val="none"/>
          <w:shd w:val="clear" w:color="auto" w:fill="auto"/>
          <w:lang w:val="en-US" w:eastAsia="zh-CN"/>
        </w:rPr>
        <w:t>各自</w:t>
      </w:r>
      <w:r>
        <w:rPr>
          <w:rFonts w:hint="eastAsia" w:ascii="仿宋" w:hAnsi="仿宋" w:eastAsia="仿宋" w:cs="仿宋"/>
          <w:b w:val="0"/>
          <w:bCs w:val="0"/>
          <w:color w:val="auto"/>
          <w:sz w:val="28"/>
          <w:highlight w:val="none"/>
          <w:u w:val="none"/>
          <w:shd w:val="clear" w:color="auto" w:fill="auto"/>
          <w:lang w:eastAsia="zh-CN"/>
        </w:rPr>
        <w:t>责任分别承担。</w:t>
      </w:r>
      <w:r>
        <w:rPr>
          <w:rFonts w:hint="eastAsia" w:ascii="仿宋" w:hAnsi="仿宋" w:eastAsia="仿宋" w:cs="仿宋"/>
          <w:color w:val="auto"/>
          <w:sz w:val="28"/>
          <w:highlight w:val="none"/>
          <w:u w:val="none"/>
          <w:shd w:val="clear" w:color="auto" w:fill="auto"/>
          <w:lang w:eastAsia="zh-CN"/>
        </w:rPr>
        <w:t>不可抗力的情形按国家相应规定执行。</w:t>
      </w:r>
    </w:p>
    <w:p w14:paraId="596281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7.4</w:t>
      </w:r>
      <w:r>
        <w:rPr>
          <w:rFonts w:hint="eastAsia" w:ascii="仿宋" w:hAnsi="仿宋" w:eastAsia="仿宋" w:cs="仿宋"/>
          <w:b w:val="0"/>
          <w:bCs w:val="0"/>
          <w:color w:val="auto"/>
          <w:sz w:val="28"/>
          <w:highlight w:val="none"/>
          <w:u w:val="none"/>
          <w:shd w:val="clear" w:color="auto" w:fill="auto"/>
          <w:lang w:eastAsia="zh-CN"/>
        </w:rPr>
        <w:t>甲方因参与本合同履行而发出、或与乙方达成合意所形成的一切相关文件均须同时具备甲方公章及法定代表人（或授权代表人）签名，否则均不对甲方产生约束力，除非事后获得甲方另行追认。</w:t>
      </w:r>
    </w:p>
    <w:p w14:paraId="0D4ACA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7.5</w:t>
      </w:r>
      <w:r>
        <w:rPr>
          <w:rFonts w:hint="eastAsia" w:ascii="仿宋" w:hAnsi="仿宋" w:eastAsia="仿宋" w:cs="仿宋"/>
          <w:b w:val="0"/>
          <w:bCs w:val="0"/>
          <w:color w:val="auto"/>
          <w:sz w:val="28"/>
          <w:highlight w:val="none"/>
          <w:lang w:val="en-US" w:eastAsia="zh-CN"/>
        </w:rPr>
        <w:t>本合同附件与合同正文具有同等法律效力，乙方须照章执行，此类文件格式以供应产品时甲方提供的最新版格式为准，最终解释权归甲方所有。</w:t>
      </w:r>
    </w:p>
    <w:p w14:paraId="6C3344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7.6</w:t>
      </w:r>
      <w:r>
        <w:rPr>
          <w:rFonts w:hint="eastAsia" w:ascii="仿宋" w:hAnsi="仿宋" w:eastAsia="仿宋" w:cs="仿宋"/>
          <w:b w:val="0"/>
          <w:bCs w:val="0"/>
          <w:color w:val="auto"/>
          <w:sz w:val="28"/>
          <w:highlight w:val="none"/>
          <w:u w:val="none"/>
          <w:shd w:val="clear" w:color="auto" w:fill="auto"/>
          <w:lang w:eastAsia="zh-CN"/>
        </w:rPr>
        <w:t>本合同执行期间，甲方制度文件如有更新，按甲方最新版要求执行，最终解释权归甲方所有。</w:t>
      </w:r>
    </w:p>
    <w:p w14:paraId="798941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7.7本合同条款相互矛盾、表达含糊的，以最有利于甲方的条款执行。</w:t>
      </w:r>
    </w:p>
    <w:p w14:paraId="49E891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w:t>
      </w:r>
      <w:r>
        <w:rPr>
          <w:rFonts w:hint="eastAsia" w:ascii="仿宋" w:hAnsi="仿宋" w:eastAsia="仿宋" w:cs="仿宋"/>
          <w:b w:val="0"/>
          <w:bCs w:val="0"/>
          <w:color w:val="auto"/>
          <w:sz w:val="28"/>
          <w:highlight w:val="none"/>
          <w:u w:val="none"/>
          <w:shd w:val="clear" w:color="auto" w:fill="auto"/>
          <w:lang w:eastAsia="zh-CN"/>
        </w:rPr>
        <w:t xml:space="preserve">专利技术及特殊工艺 </w:t>
      </w:r>
    </w:p>
    <w:p w14:paraId="625C22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7.8.1乙方须保障甲</w:t>
      </w:r>
      <w:r>
        <w:rPr>
          <w:rFonts w:hint="eastAsia" w:ascii="仿宋" w:hAnsi="仿宋" w:eastAsia="仿宋" w:cs="仿宋"/>
          <w:b w:val="0"/>
          <w:bCs w:val="0"/>
          <w:color w:val="auto"/>
          <w:sz w:val="28"/>
          <w:highlight w:val="none"/>
          <w:u w:val="none"/>
          <w:shd w:val="clear" w:color="auto" w:fill="auto"/>
          <w:lang w:eastAsia="zh-CN"/>
        </w:rPr>
        <w:t>方在使用其提供的产品、服务不受到第三方关于侵权的指</w:t>
      </w:r>
    </w:p>
    <w:p w14:paraId="3E8B63B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eastAsia="zh-CN"/>
        </w:rPr>
        <w:t>控。如果出现此类情况，由乙方与第三方交涉并承担一切费用和责任，如造成甲方损失的，乙方向甲方赔偿。</w:t>
      </w:r>
    </w:p>
    <w:p w14:paraId="60D697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7.8.2乙方</w:t>
      </w:r>
      <w:r>
        <w:rPr>
          <w:rFonts w:hint="eastAsia" w:ascii="仿宋" w:hAnsi="仿宋" w:eastAsia="仿宋" w:cs="仿宋"/>
          <w:b w:val="0"/>
          <w:bCs w:val="0"/>
          <w:color w:val="auto"/>
          <w:sz w:val="28"/>
          <w:highlight w:val="none"/>
          <w:u w:val="none"/>
          <w:shd w:val="clear" w:color="auto" w:fill="auto"/>
          <w:lang w:eastAsia="zh-CN"/>
        </w:rPr>
        <w:t>擅自使用他人专利技术，侵犯他人专利权的，乙方依法承担相应责任。</w:t>
      </w:r>
    </w:p>
    <w:p w14:paraId="5AFB85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7.9</w:t>
      </w:r>
      <w:r>
        <w:rPr>
          <w:rFonts w:hint="eastAsia" w:ascii="仿宋" w:hAnsi="仿宋" w:eastAsia="仿宋" w:cs="仿宋"/>
          <w:b w:val="0"/>
          <w:bCs w:val="0"/>
          <w:color w:val="auto"/>
          <w:sz w:val="28"/>
          <w:highlight w:val="none"/>
          <w:lang w:val="en-US" w:eastAsia="zh-CN"/>
        </w:rPr>
        <w:t>本合同履行过程中，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延误的付款时间属乙方责任，损失由乙方全部承担。本合同履行过程中，如乙方自身主体被工商登记主管部门注销，甲方有权不履行合同付款义务且属乙方责任，一切损失由乙方承担，甲方无须承担任何违约责任和费用。</w:t>
      </w:r>
    </w:p>
    <w:p w14:paraId="6A9AF7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7.10乙方与第三方发生的任何经济往来、债务纠纷均与甲方无关。乙方须保证所供应产品无权属上的瑕疵和知识产权的争议，若因此对甲方造成损失，则由乙方负全责赔偿。</w:t>
      </w:r>
    </w:p>
    <w:p w14:paraId="708B2E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7.11乙方与第三人签订的劳动、租赁、买卖等一切合同，与甲方无关。乙方在履约期间发生的与第三方一切合同债务，由乙方自行处理并承担全部责任。</w:t>
      </w:r>
    </w:p>
    <w:p w14:paraId="1ABD0F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7.12</w:t>
      </w:r>
      <w:r>
        <w:rPr>
          <w:rFonts w:hint="eastAsia" w:ascii="仿宋" w:hAnsi="仿宋" w:eastAsia="仿宋" w:cs="仿宋"/>
          <w:color w:val="auto"/>
          <w:sz w:val="28"/>
          <w:highlight w:val="none"/>
          <w:u w:val="none"/>
          <w:shd w:val="clear" w:color="auto" w:fill="auto"/>
        </w:rPr>
        <w:t>签订本合同后，</w:t>
      </w:r>
      <w:r>
        <w:rPr>
          <w:rFonts w:hint="eastAsia" w:ascii="仿宋" w:hAnsi="仿宋" w:eastAsia="仿宋" w:cs="仿宋"/>
          <w:color w:val="auto"/>
          <w:sz w:val="28"/>
          <w:highlight w:val="none"/>
          <w:u w:val="none"/>
          <w:shd w:val="clear" w:color="auto" w:fill="auto"/>
          <w:lang w:eastAsia="zh-CN"/>
        </w:rPr>
        <w:t>乙方</w:t>
      </w:r>
      <w:r>
        <w:rPr>
          <w:rFonts w:hint="eastAsia" w:ascii="仿宋" w:hAnsi="仿宋" w:eastAsia="仿宋" w:cs="仿宋"/>
          <w:color w:val="auto"/>
          <w:sz w:val="28"/>
          <w:highlight w:val="none"/>
          <w:u w:val="none"/>
          <w:shd w:val="clear" w:color="auto" w:fill="auto"/>
        </w:rPr>
        <w:t>只是取得供应</w:t>
      </w:r>
      <w:r>
        <w:rPr>
          <w:rFonts w:hint="eastAsia" w:ascii="仿宋" w:hAnsi="仿宋" w:eastAsia="仿宋" w:cs="仿宋"/>
          <w:color w:val="auto"/>
          <w:sz w:val="28"/>
          <w:highlight w:val="none"/>
          <w:u w:val="none"/>
          <w:shd w:val="clear" w:color="auto" w:fill="auto"/>
          <w:lang w:val="en-US" w:eastAsia="zh-CN"/>
        </w:rPr>
        <w:t>产品的</w:t>
      </w:r>
      <w:r>
        <w:rPr>
          <w:rFonts w:hint="eastAsia" w:ascii="仿宋" w:hAnsi="仿宋" w:eastAsia="仿宋" w:cs="仿宋"/>
          <w:color w:val="auto"/>
          <w:sz w:val="28"/>
          <w:highlight w:val="none"/>
          <w:u w:val="none"/>
          <w:shd w:val="clear" w:color="auto" w:fill="auto"/>
        </w:rPr>
        <w:t>资格且向</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确定了可接受的交易条件，并不意味着双方的成交，能否向</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销售</w:t>
      </w:r>
      <w:r>
        <w:rPr>
          <w:rFonts w:hint="eastAsia" w:ascii="仿宋" w:hAnsi="仿宋" w:eastAsia="仿宋" w:cs="仿宋"/>
          <w:color w:val="auto"/>
          <w:sz w:val="28"/>
          <w:highlight w:val="none"/>
          <w:u w:val="none"/>
          <w:shd w:val="clear" w:color="auto" w:fill="auto"/>
          <w:lang w:val="en-US" w:eastAsia="zh-CN"/>
        </w:rPr>
        <w:t>产品</w:t>
      </w:r>
      <w:r>
        <w:rPr>
          <w:rFonts w:hint="eastAsia" w:ascii="仿宋" w:hAnsi="仿宋" w:eastAsia="仿宋" w:cs="仿宋"/>
          <w:color w:val="auto"/>
          <w:sz w:val="28"/>
          <w:highlight w:val="none"/>
          <w:u w:val="none"/>
          <w:shd w:val="clear" w:color="auto" w:fill="auto"/>
        </w:rPr>
        <w:t>以</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发出的通知为准。</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随时有权另向第三方交易。</w:t>
      </w:r>
      <w:r>
        <w:rPr>
          <w:rFonts w:hint="eastAsia" w:ascii="仿宋" w:hAnsi="仿宋" w:eastAsia="仿宋" w:cs="仿宋"/>
          <w:color w:val="auto"/>
          <w:sz w:val="28"/>
          <w:highlight w:val="none"/>
          <w:u w:val="none"/>
          <w:shd w:val="clear" w:color="auto" w:fill="auto"/>
          <w:lang w:eastAsia="zh-CN"/>
        </w:rPr>
        <w:t>在甲方未向乙方发出具体的订货通知之前，乙方无权以本</w:t>
      </w:r>
      <w:r>
        <w:rPr>
          <w:rFonts w:hint="eastAsia" w:ascii="仿宋" w:hAnsi="仿宋" w:eastAsia="仿宋" w:cs="仿宋"/>
          <w:color w:val="auto"/>
          <w:sz w:val="28"/>
          <w:highlight w:val="none"/>
          <w:u w:val="none"/>
          <w:shd w:val="clear" w:color="auto" w:fill="auto"/>
          <w:lang w:val="en-US" w:eastAsia="zh-CN"/>
        </w:rPr>
        <w:t>合同</w:t>
      </w:r>
      <w:r>
        <w:rPr>
          <w:rFonts w:hint="eastAsia" w:ascii="仿宋" w:hAnsi="仿宋" w:eastAsia="仿宋" w:cs="仿宋"/>
          <w:color w:val="auto"/>
          <w:sz w:val="28"/>
          <w:highlight w:val="none"/>
          <w:u w:val="none"/>
          <w:shd w:val="clear" w:color="auto" w:fill="auto"/>
          <w:lang w:eastAsia="zh-CN"/>
        </w:rPr>
        <w:t>为由要求甲方进行交易</w:t>
      </w:r>
      <w:r>
        <w:rPr>
          <w:rFonts w:hint="eastAsia" w:ascii="仿宋" w:hAnsi="仿宋" w:eastAsia="仿宋" w:cs="仿宋"/>
          <w:color w:val="auto"/>
          <w:sz w:val="28"/>
          <w:highlight w:val="none"/>
          <w:u w:val="none"/>
          <w:shd w:val="clear" w:color="auto" w:fill="auto"/>
          <w:lang w:val="en-US" w:eastAsia="zh-CN"/>
        </w:rPr>
        <w:t>及支付任何费用</w:t>
      </w:r>
      <w:r>
        <w:rPr>
          <w:rFonts w:hint="eastAsia" w:ascii="仿宋" w:hAnsi="仿宋" w:eastAsia="仿宋" w:cs="仿宋"/>
          <w:color w:val="auto"/>
          <w:sz w:val="28"/>
          <w:highlight w:val="none"/>
          <w:u w:val="none"/>
          <w:shd w:val="clear" w:color="auto" w:fill="auto"/>
          <w:lang w:eastAsia="zh-CN"/>
        </w:rPr>
        <w:t>。</w:t>
      </w:r>
    </w:p>
    <w:p w14:paraId="5DA7D6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none"/>
          <w:shd w:val="clear" w:color="auto" w:fill="auto"/>
        </w:rPr>
      </w:pPr>
      <w:r>
        <w:rPr>
          <w:rFonts w:hint="eastAsia" w:ascii="仿宋" w:hAnsi="仿宋" w:eastAsia="仿宋" w:cs="仿宋"/>
          <w:color w:val="auto"/>
          <w:sz w:val="28"/>
          <w:highlight w:val="none"/>
          <w:u w:val="none"/>
          <w:shd w:val="clear" w:color="auto" w:fill="auto"/>
          <w:lang w:val="en-US" w:eastAsia="zh-CN"/>
        </w:rPr>
        <w:t>7.13</w:t>
      </w:r>
      <w:r>
        <w:rPr>
          <w:rFonts w:hint="eastAsia" w:ascii="仿宋" w:hAnsi="仿宋" w:eastAsia="仿宋" w:cs="仿宋"/>
          <w:b w:val="0"/>
          <w:bCs w:val="0"/>
          <w:color w:val="auto"/>
          <w:sz w:val="28"/>
          <w:highlight w:val="none"/>
          <w:u w:val="none"/>
          <w:shd w:val="clear" w:color="auto" w:fill="auto"/>
          <w:lang w:eastAsia="zh-CN"/>
        </w:rPr>
        <w:t>本合同</w:t>
      </w:r>
      <w:r>
        <w:rPr>
          <w:rFonts w:hint="eastAsia" w:ascii="仿宋" w:hAnsi="仿宋" w:eastAsia="仿宋" w:cs="仿宋"/>
          <w:color w:val="auto"/>
          <w:sz w:val="28"/>
          <w:highlight w:val="none"/>
          <w:u w:val="none"/>
          <w:shd w:val="clear" w:color="auto" w:fill="auto"/>
        </w:rPr>
        <w:t>未尽事宜，双方另行</w:t>
      </w:r>
      <w:r>
        <w:rPr>
          <w:rFonts w:hint="eastAsia" w:ascii="仿宋" w:hAnsi="仿宋" w:eastAsia="仿宋" w:cs="仿宋"/>
          <w:color w:val="auto"/>
          <w:sz w:val="28"/>
          <w:highlight w:val="none"/>
          <w:u w:val="none"/>
          <w:shd w:val="clear" w:color="auto" w:fill="auto"/>
          <w:lang w:eastAsia="zh-CN"/>
        </w:rPr>
        <w:t>签订</w:t>
      </w:r>
      <w:r>
        <w:rPr>
          <w:rFonts w:hint="eastAsia" w:ascii="仿宋" w:hAnsi="仿宋" w:eastAsia="仿宋" w:cs="仿宋"/>
          <w:color w:val="auto"/>
          <w:sz w:val="28"/>
          <w:highlight w:val="none"/>
          <w:u w:val="none"/>
          <w:shd w:val="clear" w:color="auto" w:fill="auto"/>
        </w:rPr>
        <w:t>补充协议</w:t>
      </w:r>
      <w:r>
        <w:rPr>
          <w:rFonts w:hint="eastAsia" w:ascii="仿宋" w:hAnsi="仿宋" w:eastAsia="仿宋" w:cs="仿宋"/>
          <w:color w:val="auto"/>
          <w:sz w:val="28"/>
          <w:highlight w:val="none"/>
          <w:u w:val="none"/>
          <w:shd w:val="clear" w:color="auto" w:fill="auto"/>
          <w:lang w:eastAsia="zh-CN"/>
        </w:rPr>
        <w:t>进行明确。与本</w:t>
      </w:r>
      <w:r>
        <w:rPr>
          <w:rFonts w:hint="eastAsia" w:ascii="仿宋" w:hAnsi="仿宋" w:eastAsia="仿宋" w:cs="仿宋"/>
          <w:color w:val="auto"/>
          <w:sz w:val="28"/>
          <w:highlight w:val="none"/>
          <w:u w:val="none"/>
          <w:shd w:val="clear" w:color="auto" w:fill="auto"/>
        </w:rPr>
        <w:t>合同</w:t>
      </w:r>
      <w:r>
        <w:rPr>
          <w:rFonts w:hint="eastAsia" w:ascii="仿宋" w:hAnsi="仿宋" w:eastAsia="仿宋" w:cs="仿宋"/>
          <w:color w:val="auto"/>
          <w:sz w:val="28"/>
          <w:highlight w:val="none"/>
          <w:u w:val="none"/>
          <w:shd w:val="clear" w:color="auto" w:fill="auto"/>
          <w:lang w:eastAsia="zh-CN"/>
        </w:rPr>
        <w:t>相关的</w:t>
      </w:r>
      <w:r>
        <w:rPr>
          <w:rFonts w:hint="eastAsia" w:ascii="仿宋" w:hAnsi="仿宋" w:eastAsia="仿宋" w:cs="仿宋"/>
          <w:color w:val="auto"/>
          <w:sz w:val="28"/>
          <w:highlight w:val="none"/>
          <w:u w:val="none"/>
          <w:shd w:val="clear" w:color="auto" w:fill="auto"/>
        </w:rPr>
        <w:t>争议，双方友好协商解决，协商不成</w:t>
      </w:r>
      <w:r>
        <w:rPr>
          <w:rFonts w:hint="eastAsia" w:ascii="仿宋" w:hAnsi="仿宋" w:eastAsia="仿宋" w:cs="仿宋"/>
          <w:color w:val="auto"/>
          <w:sz w:val="28"/>
          <w:highlight w:val="none"/>
          <w:u w:val="none"/>
          <w:shd w:val="clear" w:color="auto" w:fill="auto"/>
          <w:lang w:eastAsia="zh-CN"/>
        </w:rPr>
        <w:t>则</w:t>
      </w:r>
      <w:r>
        <w:rPr>
          <w:rFonts w:hint="eastAsia" w:ascii="仿宋" w:hAnsi="仿宋" w:eastAsia="仿宋" w:cs="仿宋"/>
          <w:color w:val="auto"/>
          <w:sz w:val="28"/>
          <w:highlight w:val="none"/>
          <w:u w:val="none"/>
          <w:shd w:val="clear" w:color="auto" w:fill="auto"/>
          <w:lang w:val="en-US" w:eastAsia="zh-CN"/>
        </w:rPr>
        <w:t>提交</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所在地人民法院</w:t>
      </w:r>
      <w:r>
        <w:rPr>
          <w:rFonts w:hint="eastAsia" w:ascii="仿宋" w:hAnsi="仿宋" w:eastAsia="仿宋" w:cs="仿宋"/>
          <w:color w:val="auto"/>
          <w:sz w:val="28"/>
          <w:highlight w:val="none"/>
          <w:u w:val="none"/>
          <w:shd w:val="clear" w:color="auto" w:fill="auto"/>
          <w:lang w:val="en-US" w:eastAsia="zh-CN"/>
        </w:rPr>
        <w:t>以</w:t>
      </w:r>
      <w:r>
        <w:rPr>
          <w:rFonts w:hint="eastAsia" w:ascii="仿宋" w:hAnsi="仿宋" w:eastAsia="仿宋" w:cs="仿宋"/>
          <w:color w:val="auto"/>
          <w:sz w:val="28"/>
          <w:highlight w:val="none"/>
          <w:u w:val="none"/>
          <w:shd w:val="clear" w:color="auto" w:fill="auto"/>
        </w:rPr>
        <w:t>诉讼</w:t>
      </w:r>
      <w:r>
        <w:rPr>
          <w:rFonts w:hint="eastAsia" w:ascii="仿宋" w:hAnsi="仿宋" w:eastAsia="仿宋" w:cs="仿宋"/>
          <w:color w:val="auto"/>
          <w:sz w:val="28"/>
          <w:highlight w:val="none"/>
          <w:u w:val="none"/>
          <w:shd w:val="clear" w:color="auto" w:fill="auto"/>
          <w:lang w:val="en-US" w:eastAsia="zh-CN"/>
        </w:rPr>
        <w:t>方式解决</w:t>
      </w:r>
      <w:r>
        <w:rPr>
          <w:rFonts w:hint="eastAsia" w:ascii="仿宋" w:hAnsi="仿宋" w:eastAsia="仿宋" w:cs="仿宋"/>
          <w:color w:val="auto"/>
          <w:sz w:val="28"/>
          <w:highlight w:val="none"/>
          <w:u w:val="none"/>
          <w:shd w:val="clear" w:color="auto" w:fill="auto"/>
        </w:rPr>
        <w:t>。</w:t>
      </w:r>
    </w:p>
    <w:p w14:paraId="492E7F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7.14</w:t>
      </w:r>
      <w:r>
        <w:rPr>
          <w:rFonts w:hint="eastAsia" w:ascii="仿宋" w:hAnsi="仿宋" w:eastAsia="仿宋" w:cs="仿宋"/>
          <w:color w:val="auto"/>
          <w:sz w:val="28"/>
          <w:highlight w:val="none"/>
          <w:u w:val="none"/>
        </w:rPr>
        <w:t>本合同壹式</w:t>
      </w:r>
      <w:r>
        <w:rPr>
          <w:rFonts w:hint="eastAsia" w:ascii="仿宋" w:hAnsi="仿宋" w:eastAsia="仿宋" w:cs="仿宋"/>
          <w:color w:val="auto"/>
          <w:sz w:val="28"/>
          <w:highlight w:val="none"/>
          <w:u w:val="none"/>
          <w:lang w:val="en-US" w:eastAsia="zh-CN"/>
        </w:rPr>
        <w:t>贰</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壹</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壹份，均具同等效力</w:t>
      </w:r>
      <w:r>
        <w:rPr>
          <w:rFonts w:hint="eastAsia" w:ascii="仿宋" w:hAnsi="仿宋" w:eastAsia="仿宋" w:cs="仿宋"/>
          <w:color w:val="auto"/>
          <w:sz w:val="28"/>
          <w:highlight w:val="none"/>
          <w:u w:val="none"/>
          <w:lang w:eastAsia="zh-CN"/>
        </w:rPr>
        <w:t>。</w:t>
      </w:r>
      <w:r>
        <w:rPr>
          <w:rFonts w:hint="eastAsia" w:ascii="仿宋" w:hAnsi="仿宋" w:eastAsia="仿宋" w:cs="仿宋"/>
          <w:b w:val="0"/>
          <w:bCs w:val="0"/>
          <w:color w:val="auto"/>
          <w:sz w:val="28"/>
          <w:highlight w:val="none"/>
          <w:lang w:val="en-US" w:eastAsia="zh-CN"/>
        </w:rPr>
        <w:t>本合同自甲乙双方签字、加盖公章（或合同章）之日起生效，在结算价款支付完毕、乙方向甲方交付合格产品，双方履行完合同义务、责任之日起，本合同其余条款（保修条款除外）自动终止。</w:t>
      </w:r>
    </w:p>
    <w:p w14:paraId="3926DC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7.15以下文件均为合同有效组成部分，各文件互相解释，互为说明。当合同文件中出现不一致时，除合同另有约定外，以下排列顺序就是各合同文件的优先解释顺序：</w:t>
      </w:r>
    </w:p>
    <w:p w14:paraId="48D666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① 合同履行过程中，双方法人代表或授权人签字并加盖公章的补充协议；</w:t>
      </w:r>
    </w:p>
    <w:p w14:paraId="124A29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② 本合同书（含附件）；</w:t>
      </w:r>
    </w:p>
    <w:p w14:paraId="190E10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③ 经甲方确认的方案及相关设计变更；</w:t>
      </w:r>
    </w:p>
    <w:p w14:paraId="4DD579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④ 本合同对应的招标文件（含相关答疑、补充通知等）；</w:t>
      </w:r>
    </w:p>
    <w:p w14:paraId="14C7AC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⑤ 乙方发出的、经甲方确认的本合同对应的投标文件及相关澄清文件；</w:t>
      </w:r>
    </w:p>
    <w:p w14:paraId="30731D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⑥ 本项目所在地现行的法律、法规、标准、规范。</w:t>
      </w:r>
    </w:p>
    <w:p w14:paraId="04E649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7.16本合同正文为清洁打印文本，如双方对此合同有任何修改及补充均应另行签订补充协议。合同正文中任何非打印的文字或者图形，除非经双方确认同意，否则不产生约束力。</w:t>
      </w:r>
    </w:p>
    <w:p w14:paraId="062777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7.17甲乙双方均确认已经审阅并理解本合同的条款，且已经就条款相关的任何疑问得到满意的解释，并确认本合同的条款为双方本着诚信互利的原则友好协商一</w:t>
      </w:r>
    </w:p>
    <w:p w14:paraId="2023D9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致的结果，不属于任何一方的格式条款。</w:t>
      </w:r>
    </w:p>
    <w:bookmarkEnd w:id="24"/>
    <w:p w14:paraId="615D15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eastAsia="zh-CN"/>
        </w:rPr>
        <w:t>（以下无正文）</w:t>
      </w:r>
    </w:p>
    <w:p w14:paraId="2A2111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p>
    <w:p w14:paraId="123C97A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highlight w:val="none"/>
          <w:u w:val="none"/>
          <w:lang w:val="en-US" w:eastAsia="zh-CN"/>
        </w:rPr>
      </w:pPr>
      <w:r>
        <w:rPr>
          <w:rFonts w:hint="eastAsia" w:ascii="仿宋" w:hAnsi="仿宋" w:eastAsia="仿宋" w:cs="仿宋"/>
          <w:b/>
          <w:bCs/>
          <w:color w:val="auto"/>
          <w:sz w:val="28"/>
          <w:highlight w:val="none"/>
          <w:u w:val="none"/>
          <w:lang w:val="en-US" w:eastAsia="zh-CN"/>
        </w:rPr>
        <w:t>合同附件</w:t>
      </w:r>
    </w:p>
    <w:p w14:paraId="5E8CF4F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附件一：</w:t>
      </w:r>
      <w:r>
        <w:rPr>
          <w:rFonts w:hint="eastAsia" w:ascii="仿宋" w:hAnsi="仿宋" w:eastAsia="仿宋" w:cs="仿宋"/>
          <w:color w:val="auto"/>
          <w:sz w:val="28"/>
          <w:highlight w:val="none"/>
          <w:u w:val="none"/>
          <w:lang w:val="en-US" w:eastAsia="zh-CN"/>
        </w:rPr>
        <w:t xml:space="preserve">《结清承诺书》格式  </w:t>
      </w:r>
    </w:p>
    <w:p w14:paraId="012DBAE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附件二：《</w:t>
      </w:r>
      <w:r>
        <w:rPr>
          <w:rFonts w:hint="eastAsia" w:ascii="仿宋" w:hAnsi="仿宋" w:eastAsia="仿宋" w:cs="仿宋"/>
          <w:color w:val="auto"/>
          <w:sz w:val="28"/>
          <w:highlight w:val="none"/>
          <w:u w:val="none"/>
          <w:lang w:val="en-US" w:eastAsia="zh-CN"/>
        </w:rPr>
        <w:t>同意</w:t>
      </w:r>
      <w:r>
        <w:rPr>
          <w:rFonts w:hint="default" w:ascii="仿宋" w:hAnsi="仿宋" w:eastAsia="仿宋" w:cs="仿宋"/>
          <w:color w:val="auto"/>
          <w:sz w:val="28"/>
          <w:highlight w:val="none"/>
          <w:u w:val="none"/>
          <w:lang w:val="en-US" w:eastAsia="zh-CN"/>
        </w:rPr>
        <w:t>延迟付款声明函》格式</w:t>
      </w:r>
    </w:p>
    <w:p w14:paraId="0361A7E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附件三：《材料款申报审批表》格式</w:t>
      </w:r>
    </w:p>
    <w:p w14:paraId="1992EA4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附件四：《款项支付台账》格式</w:t>
      </w:r>
    </w:p>
    <w:p w14:paraId="0EC5373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附件五：《供应商月度对账单》格式</w:t>
      </w:r>
    </w:p>
    <w:p w14:paraId="425195D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附件六：甲方</w:t>
      </w:r>
      <w:r>
        <w:rPr>
          <w:rFonts w:hint="default" w:ascii="仿宋" w:hAnsi="仿宋" w:eastAsia="仿宋" w:cs="仿宋"/>
          <w:color w:val="auto"/>
          <w:sz w:val="28"/>
          <w:highlight w:val="none"/>
          <w:u w:val="none"/>
          <w:lang w:val="en-US" w:eastAsia="zh-CN"/>
        </w:rPr>
        <w:t>项目章</w:t>
      </w:r>
      <w:r>
        <w:rPr>
          <w:rFonts w:hint="eastAsia" w:ascii="仿宋" w:hAnsi="仿宋" w:eastAsia="仿宋" w:cs="仿宋"/>
          <w:color w:val="auto"/>
          <w:sz w:val="28"/>
          <w:highlight w:val="none"/>
          <w:u w:val="none"/>
          <w:lang w:val="en-US" w:eastAsia="zh-CN"/>
        </w:rPr>
        <w:t>样</w:t>
      </w:r>
      <w:r>
        <w:rPr>
          <w:rFonts w:hint="default" w:ascii="仿宋" w:hAnsi="仿宋" w:eastAsia="仿宋" w:cs="仿宋"/>
          <w:color w:val="auto"/>
          <w:sz w:val="28"/>
          <w:highlight w:val="none"/>
          <w:u w:val="none"/>
          <w:lang w:val="en-US" w:eastAsia="zh-CN"/>
        </w:rPr>
        <w:t>式</w:t>
      </w:r>
    </w:p>
    <w:p w14:paraId="7C09251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 xml:space="preserve">附件七：《物料申购单》格式  </w:t>
      </w:r>
    </w:p>
    <w:p w14:paraId="2CB65FC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p>
    <w:p w14:paraId="6302A55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甲  方：东莞市中泰建安工程有限公司              乙  方：XXX</w:t>
      </w:r>
    </w:p>
    <w:p w14:paraId="3A90282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（盖章）                                       （盖章）</w:t>
      </w:r>
    </w:p>
    <w:p w14:paraId="45428CC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14:paraId="457052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签约代表：XXX                                   签约代表:XX</w:t>
      </w:r>
      <w:r>
        <w:rPr>
          <w:rFonts w:hint="eastAsia" w:ascii="仿宋" w:hAnsi="仿宋" w:eastAsia="仿宋" w:cs="仿宋"/>
          <w:b/>
          <w:bCs/>
          <w:color w:val="auto"/>
          <w:sz w:val="24"/>
          <w:szCs w:val="24"/>
          <w:highlight w:val="none"/>
          <w:lang w:val="en-US" w:eastAsia="zh-CN"/>
        </w:rPr>
        <w:tab/>
      </w:r>
      <w:r>
        <w:rPr>
          <w:rFonts w:hint="eastAsia" w:ascii="仿宋" w:hAnsi="仿宋" w:eastAsia="仿宋" w:cs="仿宋"/>
          <w:b/>
          <w:bCs/>
          <w:color w:val="auto"/>
          <w:sz w:val="24"/>
          <w:szCs w:val="24"/>
          <w:highlight w:val="none"/>
          <w:lang w:val="en-US" w:eastAsia="zh-CN"/>
        </w:rPr>
        <w:t>X</w:t>
      </w:r>
      <w:r>
        <w:rPr>
          <w:rFonts w:hint="eastAsia" w:ascii="仿宋" w:hAnsi="仿宋" w:eastAsia="仿宋" w:cs="仿宋"/>
          <w:b/>
          <w:bCs/>
          <w:color w:val="auto"/>
          <w:sz w:val="24"/>
          <w:szCs w:val="24"/>
          <w:highlight w:val="none"/>
          <w:lang w:val="en-US" w:eastAsia="zh-CN"/>
        </w:rPr>
        <w:tab/>
      </w:r>
      <w:r>
        <w:rPr>
          <w:rFonts w:hint="eastAsia" w:ascii="仿宋" w:hAnsi="仿宋" w:eastAsia="仿宋" w:cs="仿宋"/>
          <w:b/>
          <w:bCs/>
          <w:color w:val="auto"/>
          <w:sz w:val="24"/>
          <w:szCs w:val="24"/>
          <w:highlight w:val="none"/>
          <w:lang w:val="en-US" w:eastAsia="zh-CN"/>
        </w:rPr>
        <w:tab/>
      </w:r>
    </w:p>
    <w:p w14:paraId="6D62F0B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14:paraId="5CADB44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纳税号：</w:t>
      </w:r>
      <w:r>
        <w:rPr>
          <w:rFonts w:hint="eastAsia" w:ascii="仿宋" w:hAnsi="仿宋" w:eastAsia="仿宋" w:cs="仿宋"/>
          <w:b/>
          <w:bCs/>
          <w:color w:val="auto"/>
          <w:sz w:val="24"/>
          <w:szCs w:val="24"/>
          <w:highlight w:val="none"/>
        </w:rPr>
        <w:t>91441900732168546R</w:t>
      </w:r>
      <w:r>
        <w:rPr>
          <w:rFonts w:hint="eastAsia" w:ascii="仿宋" w:hAnsi="仿宋" w:eastAsia="仿宋" w:cs="仿宋"/>
          <w:b/>
          <w:bCs/>
          <w:color w:val="auto"/>
          <w:sz w:val="24"/>
          <w:szCs w:val="24"/>
          <w:highlight w:val="none"/>
          <w:lang w:val="en-US" w:eastAsia="zh-CN"/>
        </w:rPr>
        <w:t xml:space="preserve">                      纳税号：XXX</w:t>
      </w:r>
    </w:p>
    <w:p w14:paraId="0A8B86F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账  号：</w:t>
      </w:r>
      <w:r>
        <w:rPr>
          <w:rFonts w:hint="eastAsia" w:ascii="仿宋" w:hAnsi="仿宋" w:eastAsia="仿宋" w:cs="仿宋"/>
          <w:b/>
          <w:bCs/>
          <w:color w:val="auto"/>
          <w:sz w:val="24"/>
          <w:szCs w:val="24"/>
          <w:highlight w:val="none"/>
        </w:rPr>
        <w:t>548000013639239</w:t>
      </w:r>
      <w:r>
        <w:rPr>
          <w:rFonts w:hint="eastAsia" w:ascii="仿宋" w:hAnsi="仿宋" w:eastAsia="仿宋" w:cs="仿宋"/>
          <w:b/>
          <w:bCs/>
          <w:color w:val="auto"/>
          <w:sz w:val="24"/>
          <w:szCs w:val="24"/>
          <w:highlight w:val="none"/>
          <w:lang w:val="en-US" w:eastAsia="zh-CN"/>
        </w:rPr>
        <w:t xml:space="preserve">                         账  号：XXX</w:t>
      </w:r>
    </w:p>
    <w:p w14:paraId="620CFC3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开户行：</w:t>
      </w:r>
      <w:r>
        <w:rPr>
          <w:rFonts w:hint="eastAsia" w:ascii="仿宋" w:hAnsi="仿宋" w:eastAsia="仿宋" w:cs="仿宋"/>
          <w:b/>
          <w:bCs/>
          <w:color w:val="auto"/>
          <w:sz w:val="24"/>
          <w:szCs w:val="24"/>
          <w:highlight w:val="none"/>
        </w:rPr>
        <w:t>东莞银行股份有限公司元美支行</w:t>
      </w:r>
      <w:r>
        <w:rPr>
          <w:rFonts w:hint="eastAsia" w:ascii="仿宋" w:hAnsi="仿宋" w:eastAsia="仿宋" w:cs="仿宋"/>
          <w:b/>
          <w:bCs/>
          <w:color w:val="auto"/>
          <w:sz w:val="24"/>
          <w:szCs w:val="24"/>
          <w:highlight w:val="none"/>
          <w:lang w:val="en-US" w:eastAsia="zh-CN"/>
        </w:rPr>
        <w:t xml:space="preserve">            开户行：XXX</w:t>
      </w:r>
    </w:p>
    <w:p w14:paraId="31012E3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地  址：广东省东莞市南城街道鸿福路              地  址：XXX</w:t>
      </w:r>
    </w:p>
    <w:p w14:paraId="3E9DFE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4" w:firstLineChars="4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106号1栋1712室01                     </w:t>
      </w:r>
    </w:p>
    <w:p w14:paraId="3BB10B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99" w:leftChars="-95" w:firstLine="241" w:firstLineChars="1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电  话：0769-22311322                           </w:t>
      </w:r>
      <w:r>
        <w:rPr>
          <w:rFonts w:hint="eastAsia" w:ascii="仿宋" w:hAnsi="仿宋" w:eastAsia="仿宋" w:cs="仿宋"/>
          <w:b/>
          <w:bCs/>
          <w:color w:val="auto"/>
          <w:sz w:val="24"/>
          <w:szCs w:val="24"/>
          <w:highlight w:val="none"/>
        </w:rPr>
        <w:t>电  话：</w:t>
      </w:r>
      <w:r>
        <w:rPr>
          <w:rFonts w:hint="eastAsia" w:ascii="仿宋" w:hAnsi="仿宋" w:eastAsia="仿宋" w:cs="仿宋"/>
          <w:b/>
          <w:bCs/>
          <w:color w:val="auto"/>
          <w:sz w:val="24"/>
          <w:szCs w:val="24"/>
          <w:highlight w:val="none"/>
          <w:lang w:val="en-US" w:eastAsia="zh-CN"/>
        </w:rPr>
        <w:t>XXX</w:t>
      </w:r>
    </w:p>
    <w:p w14:paraId="0F007B3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w:t>
      </w:r>
    </w:p>
    <w:p w14:paraId="7935B2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2"/>
          <w:highlight w:val="none"/>
        </w:rPr>
      </w:pPr>
      <w:r>
        <w:rPr>
          <w:rFonts w:hint="eastAsia" w:ascii="仿宋" w:hAnsi="仿宋" w:eastAsia="仿宋" w:cs="仿宋"/>
          <w:b/>
          <w:bCs/>
          <w:color w:val="auto"/>
          <w:sz w:val="28"/>
          <w:szCs w:val="22"/>
          <w:highlight w:val="none"/>
        </w:rPr>
        <w:t>（甲方人员如有营私舞弊、吃拿卡要等损害乙方合法权益的行为，乙方可拨打投诉专线 4000968086或发邮件至投诉邮箱:zhglzx@nanfeng.cn，也可至广东省东莞市南城街道鸿福路 106 号南峰中心 12楼内控中心办公室面诉。）</w:t>
      </w:r>
    </w:p>
    <w:p w14:paraId="0AD8D08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2"/>
          <w:highlight w:val="none"/>
        </w:rPr>
      </w:pPr>
    </w:p>
    <w:p w14:paraId="579BC4E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2"/>
          <w:highlight w:val="none"/>
        </w:rPr>
      </w:pPr>
    </w:p>
    <w:p w14:paraId="1AEA849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2"/>
          <w:highlight w:val="none"/>
        </w:rPr>
      </w:pPr>
    </w:p>
    <w:p w14:paraId="12B3246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2"/>
          <w:highlight w:val="none"/>
        </w:rPr>
      </w:pPr>
    </w:p>
    <w:p w14:paraId="50E80AF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2"/>
          <w:highlight w:val="none"/>
        </w:rPr>
      </w:pPr>
    </w:p>
    <w:p w14:paraId="68DD963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2"/>
          <w:highlight w:val="none"/>
        </w:rPr>
      </w:pPr>
    </w:p>
    <w:p w14:paraId="08FC39E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2"/>
          <w:highlight w:val="none"/>
        </w:rPr>
      </w:pPr>
    </w:p>
    <w:p w14:paraId="6A632F5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2"/>
          <w:highlight w:val="none"/>
        </w:rPr>
      </w:pPr>
    </w:p>
    <w:p w14:paraId="6B2DE3F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2"/>
          <w:highlight w:val="none"/>
        </w:rPr>
      </w:pPr>
    </w:p>
    <w:p w14:paraId="13CB791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2"/>
          <w:highlight w:val="none"/>
        </w:rPr>
      </w:pPr>
    </w:p>
    <w:p w14:paraId="59EFFB9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2"/>
          <w:highlight w:val="none"/>
        </w:rPr>
      </w:pPr>
    </w:p>
    <w:p w14:paraId="7BA115A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2"/>
          <w:highlight w:val="none"/>
        </w:rPr>
      </w:pPr>
    </w:p>
    <w:p w14:paraId="49DF3CAC">
      <w:pPr>
        <w:jc w:val="right"/>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附件一</w:t>
      </w:r>
    </w:p>
    <w:p w14:paraId="038E9A7A">
      <w:pPr>
        <w:jc w:val="right"/>
        <w:rPr>
          <w:rFonts w:hint="default" w:ascii="仿宋" w:hAnsi="仿宋" w:eastAsia="仿宋" w:cs="仿宋"/>
          <w:b/>
          <w:bCs/>
          <w:color w:val="auto"/>
          <w:sz w:val="44"/>
          <w:szCs w:val="44"/>
          <w:highlight w:val="none"/>
          <w:lang w:val="en-US" w:eastAsia="zh-CN"/>
        </w:rPr>
      </w:pPr>
    </w:p>
    <w:p w14:paraId="01EDEF12">
      <w:pPr>
        <w:jc w:val="center"/>
        <w:rPr>
          <w:rFonts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44"/>
          <w:szCs w:val="44"/>
          <w:highlight w:val="none"/>
        </w:rPr>
        <w:t>结清承诺书</w:t>
      </w:r>
    </w:p>
    <w:p w14:paraId="07CDB872">
      <w:pPr>
        <w:pStyle w:val="3"/>
        <w:spacing w:before="97" w:line="222" w:lineRule="auto"/>
        <w:ind w:left="23"/>
        <w:rPr>
          <w:color w:val="auto"/>
          <w:sz w:val="28"/>
          <w:szCs w:val="28"/>
        </w:rPr>
      </w:pPr>
      <w:r>
        <w:rPr>
          <w:color w:val="auto"/>
          <w:spacing w:val="-2"/>
          <w:sz w:val="28"/>
          <w:szCs w:val="28"/>
        </w:rPr>
        <w:t>致：东莞市中泰建安工程有限公司</w:t>
      </w:r>
    </w:p>
    <w:p w14:paraId="0D2D1C9D">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感谢贵司选择我司作为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项目的</w:t>
      </w:r>
      <w:r>
        <w:rPr>
          <w:rFonts w:hint="eastAsia" w:ascii="仿宋" w:hAnsi="仿宋" w:eastAsia="仿宋" w:cs="仿宋"/>
          <w:color w:val="auto"/>
          <w:kern w:val="2"/>
          <w:sz w:val="30"/>
          <w:szCs w:val="30"/>
          <w:highlight w:val="none"/>
          <w:u w:val="single"/>
          <w:lang w:val="en-US" w:eastAsia="zh-CN" w:bidi="ar-SA"/>
        </w:rPr>
        <w:t xml:space="preserve">          （材料名称）</w:t>
      </w:r>
      <w:r>
        <w:rPr>
          <w:rFonts w:hint="eastAsia" w:ascii="仿宋" w:hAnsi="仿宋" w:eastAsia="仿宋" w:cs="仿宋"/>
          <w:color w:val="auto"/>
          <w:kern w:val="2"/>
          <w:sz w:val="30"/>
          <w:szCs w:val="30"/>
          <w:highlight w:val="none"/>
          <w:lang w:val="en-US" w:eastAsia="zh-CN" w:bidi="ar-SA"/>
        </w:rPr>
        <w:t xml:space="preserve">  供应商，履约期间的材料费合计</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元，其中我司已收款项为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 待收款项为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p>
    <w:p w14:paraId="17E8FAAB">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现我司在此确认并郑重承诺：收到贵司支付的尾款</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元起，该项目 的</w:t>
      </w:r>
      <w:r>
        <w:rPr>
          <w:rFonts w:hint="eastAsia" w:ascii="仿宋" w:hAnsi="仿宋" w:eastAsia="仿宋" w:cs="仿宋"/>
          <w:color w:val="auto"/>
          <w:kern w:val="2"/>
          <w:sz w:val="30"/>
          <w:szCs w:val="30"/>
          <w:highlight w:val="none"/>
          <w:u w:val="single"/>
          <w:lang w:val="en-US" w:eastAsia="zh-CN" w:bidi="ar-SA"/>
        </w:rPr>
        <w:t>（材料名称）</w:t>
      </w:r>
      <w:r>
        <w:rPr>
          <w:rFonts w:hint="eastAsia" w:ascii="仿宋" w:hAnsi="仿宋" w:eastAsia="仿宋" w:cs="仿宋"/>
          <w:color w:val="auto"/>
          <w:kern w:val="2"/>
          <w:sz w:val="30"/>
          <w:szCs w:val="30"/>
          <w:highlight w:val="none"/>
          <w:lang w:val="en-US" w:eastAsia="zh-CN" w:bidi="ar-SA"/>
        </w:rPr>
        <w:t>所涉及的材料费用全部结清，我司合同中的所有权利全部消灭，我司将不再以任何理由、任何方式就该项目的合作向贵司提出任何权利主张或追索其他任何费用，同时我司相应的义务和责任按照合同执行。</w:t>
      </w:r>
    </w:p>
    <w:p w14:paraId="2762C114">
      <w:pPr>
        <w:pStyle w:val="3"/>
        <w:spacing w:before="50" w:line="223" w:lineRule="auto"/>
        <w:ind w:left="619"/>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特此声明！</w:t>
      </w:r>
    </w:p>
    <w:p w14:paraId="3C20D3B3">
      <w:pPr>
        <w:spacing w:line="261" w:lineRule="auto"/>
        <w:rPr>
          <w:rFonts w:ascii="Arial"/>
          <w:color w:val="auto"/>
          <w:sz w:val="20"/>
          <w:szCs w:val="22"/>
        </w:rPr>
      </w:pPr>
    </w:p>
    <w:p w14:paraId="06694DAB">
      <w:pPr>
        <w:spacing w:line="261" w:lineRule="auto"/>
        <w:rPr>
          <w:rFonts w:ascii="Arial"/>
          <w:color w:val="auto"/>
          <w:sz w:val="20"/>
          <w:szCs w:val="22"/>
        </w:rPr>
      </w:pPr>
    </w:p>
    <w:p w14:paraId="732706FF">
      <w:pPr>
        <w:pStyle w:val="3"/>
        <w:spacing w:before="98" w:line="221" w:lineRule="auto"/>
        <w:ind w:left="4819"/>
        <w:rPr>
          <w:color w:val="auto"/>
          <w:sz w:val="28"/>
          <w:szCs w:val="28"/>
        </w:rPr>
      </w:pPr>
      <w:r>
        <w:rPr>
          <w:color w:val="auto"/>
          <w:spacing w:val="-3"/>
          <w:sz w:val="28"/>
          <w:szCs w:val="28"/>
        </w:rPr>
        <w:t>承诺单位（盖章</w:t>
      </w:r>
      <w:r>
        <w:rPr>
          <w:color w:val="auto"/>
          <w:sz w:val="28"/>
          <w:szCs w:val="28"/>
        </w:rPr>
        <w:t>）：</w:t>
      </w:r>
    </w:p>
    <w:p w14:paraId="74C170DE">
      <w:pPr>
        <w:pStyle w:val="3"/>
        <w:spacing w:before="265" w:line="222" w:lineRule="auto"/>
        <w:ind w:left="6083"/>
        <w:rPr>
          <w:color w:val="auto"/>
          <w:sz w:val="28"/>
          <w:szCs w:val="28"/>
        </w:rPr>
      </w:pPr>
      <w:r>
        <w:rPr>
          <w:color w:val="auto"/>
          <w:spacing w:val="-35"/>
          <w:sz w:val="28"/>
          <w:szCs w:val="28"/>
        </w:rPr>
        <w:t>日</w:t>
      </w:r>
      <w:r>
        <w:rPr>
          <w:rFonts w:hint="eastAsia" w:ascii="仿宋" w:hAnsi="仿宋" w:eastAsia="仿宋" w:cs="仿宋"/>
          <w:color w:val="auto"/>
          <w:kern w:val="2"/>
          <w:sz w:val="28"/>
          <w:szCs w:val="28"/>
          <w:highlight w:val="none"/>
          <w:lang w:val="en-US" w:eastAsia="zh-CN" w:bidi="ar-SA"/>
        </w:rPr>
        <w:t xml:space="preserve">   期 ：</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年</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月  日</w:t>
      </w:r>
    </w:p>
    <w:p w14:paraId="1DF3F4DE">
      <w:pPr>
        <w:spacing w:line="281" w:lineRule="auto"/>
        <w:rPr>
          <w:rFonts w:ascii="Arial"/>
          <w:color w:val="auto"/>
          <w:sz w:val="20"/>
          <w:szCs w:val="22"/>
        </w:rPr>
      </w:pPr>
    </w:p>
    <w:p w14:paraId="687290BD">
      <w:pPr>
        <w:spacing w:line="281" w:lineRule="auto"/>
        <w:rPr>
          <w:rFonts w:ascii="Arial"/>
          <w:color w:val="auto"/>
          <w:sz w:val="20"/>
          <w:szCs w:val="22"/>
        </w:rPr>
      </w:pPr>
    </w:p>
    <w:p w14:paraId="367B090E">
      <w:pPr>
        <w:spacing w:line="281" w:lineRule="auto"/>
        <w:rPr>
          <w:rFonts w:ascii="Arial"/>
          <w:color w:val="auto"/>
          <w:sz w:val="20"/>
          <w:szCs w:val="22"/>
        </w:rPr>
      </w:pPr>
      <w:r>
        <w:rPr>
          <w:color w:val="auto"/>
          <w:sz w:val="20"/>
          <w:szCs w:val="22"/>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29210</wp:posOffset>
                </wp:positionV>
                <wp:extent cx="633095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6330950" cy="9525"/>
                        </a:xfrm>
                        <a:custGeom>
                          <a:avLst/>
                          <a:gdLst/>
                          <a:ahLst/>
                          <a:cxnLst/>
                          <a:pathLst>
                            <a:path w="9970" h="15">
                              <a:moveTo>
                                <a:pt x="0" y="7"/>
                              </a:moveTo>
                              <a:lnTo>
                                <a:pt x="9969" y="7"/>
                              </a:lnTo>
                            </a:path>
                          </a:pathLst>
                        </a:custGeom>
                        <a:noFill/>
                        <a:ln w="9144"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35pt;margin-top:2.3pt;height:0.75pt;width:498.5pt;z-index:251660288;mso-width-relative:page;mso-height-relative:page;" filled="f" stroked="t" coordsize="9970,15" o:gfxdata="UEsDBAoAAAAAAIdO4kAAAAAAAAAAAAAAAAAEAAAAZHJzL1BLAwQUAAAACACHTuJAFaje/tQAAAAE&#10;AQAADwAAAGRycy9kb3ducmV2LnhtbE2OwU7DMBBE70j8g7VIXBB1gqqUptlUAokLJygV6tGJ3Thq&#10;vDax2wa+nuVEj6MZvXnVenKDOJkx9p4Q8lkGwlDrdU8dwvbj5f4RREyKtBo8GYRvE2FdX19VqtT+&#10;TO/mtEmdYAjFUiHYlEIpZWytcSrOfDDE3d6PTiWOYyf1qM4Md4N8yLJCOtUTP1gVzLM17WFzdAj7&#10;p7v5a+hCY9+24+5nF6avz9wi3t7k2QpEMlP6H8OfPqtDzU6NP5KOYkBY8A5hXoDgcrlccG4Qihxk&#10;XclL+foXUEsDBBQAAAAIAIdO4kAWCe4JPAIAAJUEAAAOAAAAZHJzL2Uyb0RvYy54bWytVM2O0zAQ&#10;viPxDpbvNP3Z7pKo6R4oywXBSrs8gGs7iSX/yXaT9s6dO0fES6AVPA2LeAzGTvrDcumBHJKxZ/zN&#10;941nsrjeKola7rwwusST0RgjrqlhQtcl/nB/8+IlRj4QzYg0mpd4xz2+Xj5/tuhswaemMZJxhwBE&#10;+6KzJW5CsEWWedpwRfzIWK7BWRmnSIClqzPmSAfoSmbT8fgy64xj1hnKvYfdVe/EA6I7B9BUlaB8&#10;ZehGcR16VMclCSDJN8J6vExsq4rT8L6qPA9IlhiUhvSGJGCv4ztbLkhRO2IbQQcK5BwKTzQpIjQk&#10;PUCtSCBo48Q/UEpQZ7ypwogalfVCUkVAxWT8pDZ3DbE8aYFSe3souv9/sPRde+uQYCWeYaSJggv/&#10;+fDw6+Onx6+ff//49vj9C5rFInXWFxB7Z2/dsPJgRsXbyqn4BS1omwq7OxSWbwOisHk5m43zOdSc&#10;gi+fT+cRMjuepRsf3nCTcEj71of+WtjeIs3eolu9Ny0JcTvmjibqADq/giQNtPU83YYyLb83KSIc&#10;yV0N2Y9eqU+j8vwyxwiY7gN7N/CNeRLxQ27YPCWvzY2QMrGXOjGaXFyAbAKDUkGDgqksFNvrOhH0&#10;RgoWj0SO3tXrV9KhlsRmTc/A9K8w63xYEd/0cQysGEWKNW95n7rhhL3WDIWdhfvUMMY4clGcYSQ5&#10;TH200plAhDwnEmRKDcpjG/QXH621YTvono11om5gtCaJbvRAt6Y6DZMVx+F0nZCOf5P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Wo3v7UAAAABAEAAA8AAAAAAAAAAQAgAAAAIgAAAGRycy9kb3du&#10;cmV2LnhtbFBLAQIUABQAAAAIAIdO4kAWCe4JPAIAAJUEAAAOAAAAAAAAAAEAIAAAACMBAABkcnMv&#10;ZTJvRG9jLnhtbFBLBQYAAAAABgAGAFkBAADRBQAAAAA=&#10;" path="m0,7l9969,7e">
                <v:fill on="f" focussize="0,0"/>
                <v:stroke weight="0.72pt" color="#000000" joinstyle="bevel" dashstyle="dash"/>
                <v:imagedata o:title=""/>
                <o:lock v:ext="edit" aspectratio="f"/>
              </v:shape>
            </w:pict>
          </mc:Fallback>
        </mc:AlternateContent>
      </w:r>
    </w:p>
    <w:p w14:paraId="19AC6FDF">
      <w:pPr>
        <w:pStyle w:val="3"/>
        <w:spacing w:before="98" w:line="222" w:lineRule="auto"/>
        <w:ind w:left="2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使用说明：</w:t>
      </w:r>
    </w:p>
    <w:p w14:paraId="4C2433ED">
      <w:pPr>
        <w:pStyle w:val="3"/>
        <w:spacing w:before="263" w:line="220" w:lineRule="auto"/>
        <w:ind w:left="32"/>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1、本费用结清声明仅适用于“材料类 ”的购销合同。</w:t>
      </w:r>
    </w:p>
    <w:p w14:paraId="2744644A">
      <w:pPr>
        <w:pStyle w:val="3"/>
        <w:spacing w:before="266" w:line="302" w:lineRule="auto"/>
        <w:ind w:left="25" w:right="14" w:hanging="11"/>
        <w:jc w:val="left"/>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2、承诺方须在“中泰建安”支付该合同最后一笔款前完成本承诺书签章，且原件交给“中泰建安”作为支付最后一笔款的前提条件。</w:t>
      </w:r>
    </w:p>
    <w:p w14:paraId="35EE561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color w:val="auto"/>
          <w:sz w:val="44"/>
          <w:szCs w:val="40"/>
          <w:highlight w:val="none"/>
          <w:lang w:val="en-US" w:eastAsia="zh-CN"/>
        </w:rPr>
      </w:pPr>
    </w:p>
    <w:p w14:paraId="381478CB">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30C9798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default" w:ascii="仿宋" w:hAnsi="仿宋" w:eastAsia="仿宋" w:cs="仿宋"/>
          <w:b/>
          <w:bCs/>
          <w:color w:val="auto"/>
          <w:sz w:val="44"/>
          <w:szCs w:val="40"/>
          <w:highlight w:val="none"/>
          <w:lang w:val="en-US" w:eastAsia="zh-CN"/>
        </w:rPr>
      </w:pPr>
    </w:p>
    <w:p w14:paraId="27766CB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r>
        <w:rPr>
          <w:rFonts w:hint="default" w:ascii="仿宋" w:hAnsi="仿宋" w:eastAsia="仿宋" w:cs="仿宋"/>
          <w:b/>
          <w:bCs/>
          <w:color w:val="auto"/>
          <w:sz w:val="44"/>
          <w:szCs w:val="40"/>
          <w:highlight w:val="none"/>
          <w:lang w:val="en-US" w:eastAsia="zh-CN"/>
        </w:rPr>
        <w:t>附件</w:t>
      </w:r>
      <w:r>
        <w:rPr>
          <w:rFonts w:hint="eastAsia" w:ascii="仿宋" w:hAnsi="仿宋" w:eastAsia="仿宋" w:cs="仿宋"/>
          <w:b/>
          <w:bCs/>
          <w:color w:val="auto"/>
          <w:sz w:val="44"/>
          <w:szCs w:val="40"/>
          <w:highlight w:val="none"/>
          <w:lang w:val="en-US" w:eastAsia="zh-CN"/>
        </w:rPr>
        <w:t>二</w:t>
      </w:r>
    </w:p>
    <w:p w14:paraId="3BA380A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default" w:ascii="仿宋" w:hAnsi="仿宋" w:eastAsia="仿宋" w:cs="仿宋"/>
          <w:b/>
          <w:bCs/>
          <w:color w:val="auto"/>
          <w:sz w:val="44"/>
          <w:szCs w:val="40"/>
          <w:highlight w:val="none"/>
          <w:lang w:val="en-US" w:eastAsia="zh-CN"/>
        </w:rPr>
      </w:pPr>
    </w:p>
    <w:p w14:paraId="0BA020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44"/>
          <w:szCs w:val="44"/>
          <w:highlight w:val="none"/>
          <w:lang w:val="en-US" w:eastAsia="zh-CN"/>
        </w:rPr>
      </w:pPr>
      <w:r>
        <w:rPr>
          <w:rFonts w:hint="eastAsia" w:ascii="仿宋" w:hAnsi="仿宋" w:eastAsia="仿宋" w:cs="仿宋"/>
          <w:color w:val="auto"/>
          <w:sz w:val="44"/>
          <w:szCs w:val="44"/>
          <w:highlight w:val="none"/>
          <w:lang w:val="en-US" w:eastAsia="zh-CN"/>
        </w:rPr>
        <w:t>同意延迟付款声明函</w:t>
      </w:r>
    </w:p>
    <w:p w14:paraId="47C9F8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p>
    <w:p w14:paraId="00AC82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致东莞市中泰建安工程有限公司：</w:t>
      </w:r>
    </w:p>
    <w:p w14:paraId="0918503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color w:val="auto"/>
          <w:sz w:val="30"/>
          <w:szCs w:val="30"/>
          <w:highlight w:val="none"/>
          <w:u w:val="none"/>
          <w:lang w:val="en-US" w:eastAsia="zh-CN"/>
        </w:rPr>
        <w:t>，因</w:t>
      </w:r>
      <w:r>
        <w:rPr>
          <w:rFonts w:hint="eastAsia" w:ascii="仿宋" w:hAnsi="仿宋" w:eastAsia="仿宋" w:cs="仿宋"/>
          <w:color w:val="auto"/>
          <w:sz w:val="30"/>
          <w:szCs w:val="30"/>
          <w:highlight w:val="none"/>
          <w:lang w:val="en-US" w:eastAsia="zh-CN"/>
        </w:rPr>
        <w:t>我司</w:t>
      </w:r>
      <w:r>
        <w:rPr>
          <w:rFonts w:hint="eastAsia" w:ascii="仿宋" w:hAnsi="仿宋" w:eastAsia="仿宋" w:cs="仿宋"/>
          <w:color w:val="auto"/>
          <w:sz w:val="30"/>
          <w:szCs w:val="30"/>
          <w:highlight w:val="none"/>
          <w:u w:val="none"/>
          <w:lang w:val="en-US" w:eastAsia="zh-CN"/>
        </w:rPr>
        <w:t>原因导致无法</w:t>
      </w:r>
      <w:r>
        <w:rPr>
          <w:rFonts w:hint="eastAsia" w:ascii="仿宋" w:hAnsi="仿宋" w:eastAsia="仿宋" w:cs="仿宋"/>
          <w:color w:val="auto"/>
          <w:sz w:val="30"/>
          <w:szCs w:val="30"/>
          <w:highlight w:val="none"/>
          <w:lang w:val="en-US" w:eastAsia="zh-CN"/>
        </w:rPr>
        <w:t>按照贵我双方合同约定的时限与贵司完成对账并确定相应金额,属我司责任，与贵司无关。我司自愿接受贵司按照合同约定延期支付该款项，我司承担因此导致的所有责任和损失。</w:t>
      </w:r>
    </w:p>
    <w:p w14:paraId="61375243">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default" w:eastAsia="宋体"/>
          <w:color w:val="auto"/>
          <w:highlight w:val="none"/>
          <w:lang w:val="en-US" w:eastAsia="zh-CN"/>
        </w:rPr>
      </w:pPr>
      <w:r>
        <w:rPr>
          <w:rFonts w:hint="eastAsia" w:ascii="仿宋" w:hAnsi="仿宋" w:eastAsia="仿宋" w:cs="仿宋"/>
          <w:color w:val="auto"/>
          <w:sz w:val="30"/>
          <w:szCs w:val="30"/>
          <w:highlight w:val="none"/>
          <w:lang w:val="en-US" w:eastAsia="zh-CN"/>
        </w:rPr>
        <w:t>特此声明。</w:t>
      </w:r>
    </w:p>
    <w:p w14:paraId="2ED60EC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5C08995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19F866E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4162872C">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声明单位：</w:t>
      </w:r>
    </w:p>
    <w:p w14:paraId="000168DC">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负责人：</w:t>
      </w:r>
    </w:p>
    <w:p w14:paraId="3BBABF7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right"/>
        <w:textAlignment w:val="auto"/>
        <w:rPr>
          <w:rFonts w:hint="eastAsia" w:ascii="仿宋" w:hAnsi="仿宋" w:eastAsia="仿宋" w:cs="仿宋"/>
          <w:color w:val="auto"/>
          <w:sz w:val="30"/>
          <w:szCs w:val="30"/>
          <w:highlight w:val="none"/>
          <w:lang w:val="en-US" w:eastAsia="zh-CN"/>
        </w:rPr>
      </w:pPr>
      <w:r>
        <w:rPr>
          <w:rFonts w:hint="eastAsia" w:eastAsia="宋体"/>
          <w:color w:val="auto"/>
          <w:sz w:val="30"/>
          <w:szCs w:val="30"/>
          <w:highlight w:val="none"/>
          <w:lang w:val="en-US" w:eastAsia="zh-CN"/>
        </w:rPr>
        <w:t xml:space="preserve">                 </w:t>
      </w:r>
      <w:r>
        <w:rPr>
          <w:rFonts w:hint="eastAsia" w:ascii="仿宋" w:hAnsi="仿宋" w:eastAsia="仿宋" w:cs="仿宋"/>
          <w:color w:val="auto"/>
          <w:sz w:val="30"/>
          <w:szCs w:val="30"/>
          <w:highlight w:val="none"/>
          <w:lang w:val="en-US" w:eastAsia="zh-CN"/>
        </w:rPr>
        <w:t xml:space="preserve">（加盖公章及法定代表人或授权代表签字）     </w:t>
      </w:r>
    </w:p>
    <w:p w14:paraId="7087DD0F">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年   月   日</w:t>
      </w:r>
    </w:p>
    <w:p w14:paraId="385174F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 w:val="30"/>
          <w:highlight w:val="none"/>
          <w:lang w:val="en-US" w:eastAsia="zh-CN"/>
        </w:rPr>
      </w:pPr>
    </w:p>
    <w:p w14:paraId="5722BD48">
      <w:pPr>
        <w:pStyle w:val="8"/>
        <w:pageBreakBefore w:val="0"/>
        <w:wordWrap/>
        <w:topLinePunct w:val="0"/>
        <w:bidi w:val="0"/>
        <w:spacing w:line="360" w:lineRule="auto"/>
        <w:ind w:left="0" w:leftChars="0" w:firstLine="0" w:firstLineChars="0"/>
        <w:rPr>
          <w:rFonts w:hint="default" w:ascii="仿宋" w:hAnsi="仿宋" w:eastAsia="仿宋" w:cs="仿宋"/>
          <w:b/>
          <w:bCs/>
          <w:color w:val="auto"/>
          <w:sz w:val="30"/>
          <w:highlight w:val="none"/>
          <w:lang w:val="en-US" w:eastAsia="zh-CN"/>
        </w:rPr>
      </w:pPr>
    </w:p>
    <w:p w14:paraId="5DCEA483">
      <w:pPr>
        <w:keepNext/>
        <w:keepLines/>
        <w:pageBreakBefore w:val="0"/>
        <w:widowControl w:val="0"/>
        <w:wordWrap/>
        <w:topLinePunct w:val="0"/>
        <w:bidi w:val="0"/>
        <w:spacing w:before="120" w:line="360" w:lineRule="auto"/>
        <w:jc w:val="both"/>
        <w:outlineLvl w:val="2"/>
        <w:rPr>
          <w:rFonts w:ascii="Calibri" w:hAnsi="Calibri" w:eastAsia="宋体" w:cs="宋体"/>
          <w:b/>
          <w:bCs/>
          <w:color w:val="auto"/>
          <w:kern w:val="2"/>
          <w:sz w:val="44"/>
          <w:szCs w:val="48"/>
          <w:highlight w:val="none"/>
          <w:lang w:val="en-US" w:eastAsia="zh-CN" w:bidi="ar-SA"/>
        </w:rPr>
      </w:pPr>
    </w:p>
    <w:p w14:paraId="6ECC554F">
      <w:pPr>
        <w:keepNext/>
        <w:keepLines/>
        <w:pageBreakBefore w:val="0"/>
        <w:widowControl w:val="0"/>
        <w:wordWrap/>
        <w:topLinePunct w:val="0"/>
        <w:bidi w:val="0"/>
        <w:spacing w:before="120" w:line="360" w:lineRule="auto"/>
        <w:jc w:val="both"/>
        <w:outlineLvl w:val="2"/>
        <w:rPr>
          <w:rFonts w:ascii="Calibri" w:hAnsi="Calibri" w:eastAsia="宋体" w:cs="宋体"/>
          <w:b/>
          <w:bCs/>
          <w:color w:val="auto"/>
          <w:kern w:val="2"/>
          <w:sz w:val="44"/>
          <w:szCs w:val="48"/>
          <w:highlight w:val="none"/>
          <w:lang w:val="en-US" w:eastAsia="zh-CN" w:bidi="ar-SA"/>
        </w:rPr>
      </w:pPr>
    </w:p>
    <w:p w14:paraId="64073EAB">
      <w:pPr>
        <w:pageBreakBefore w:val="0"/>
        <w:wordWrap/>
        <w:topLinePunct w:val="0"/>
        <w:bidi w:val="0"/>
        <w:spacing w:line="360" w:lineRule="auto"/>
        <w:rPr>
          <w:rFonts w:cs="宋体"/>
          <w:color w:val="auto"/>
          <w:highlight w:val="none"/>
        </w:rPr>
      </w:pPr>
    </w:p>
    <w:p w14:paraId="3B37495F">
      <w:pPr>
        <w:pageBreakBefore w:val="0"/>
        <w:tabs>
          <w:tab w:val="left" w:pos="720"/>
        </w:tabs>
        <w:wordWrap/>
        <w:topLinePunct w:val="0"/>
        <w:bidi w:val="0"/>
        <w:adjustRightInd w:val="0"/>
        <w:snapToGrid w:val="0"/>
        <w:spacing w:line="360" w:lineRule="auto"/>
        <w:ind w:left="482" w:hanging="663" w:hangingChars="150"/>
        <w:jc w:val="right"/>
        <w:rPr>
          <w:rFonts w:hint="eastAsia" w:ascii="仿宋" w:hAnsi="仿宋" w:eastAsia="仿宋" w:cs="仿宋"/>
          <w:b/>
          <w:color w:val="auto"/>
          <w:sz w:val="44"/>
          <w:szCs w:val="44"/>
          <w:highlight w:val="none"/>
          <w:lang w:val="en-US" w:eastAsia="zh-CN"/>
        </w:rPr>
      </w:pPr>
    </w:p>
    <w:p w14:paraId="16E21342">
      <w:pPr>
        <w:pageBreakBefore w:val="0"/>
        <w:tabs>
          <w:tab w:val="left" w:pos="720"/>
        </w:tabs>
        <w:wordWrap/>
        <w:topLinePunct w:val="0"/>
        <w:bidi w:val="0"/>
        <w:adjustRightInd w:val="0"/>
        <w:snapToGrid w:val="0"/>
        <w:spacing w:line="360" w:lineRule="auto"/>
        <w:ind w:left="482" w:hanging="663" w:hangingChars="150"/>
        <w:jc w:val="right"/>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附件三</w:t>
      </w:r>
    </w:p>
    <w:p w14:paraId="17C673A9">
      <w:pPr>
        <w:pageBreakBefore w:val="0"/>
        <w:tabs>
          <w:tab w:val="left" w:pos="720"/>
        </w:tabs>
        <w:wordWrap/>
        <w:topLinePunct w:val="0"/>
        <w:bidi w:val="0"/>
        <w:adjustRightInd w:val="0"/>
        <w:snapToGrid w:val="0"/>
        <w:spacing w:line="360" w:lineRule="auto"/>
        <w:ind w:left="482" w:hanging="663" w:hangingChars="15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材料款申报</w:t>
      </w:r>
      <w:r>
        <w:rPr>
          <w:rFonts w:hint="eastAsia" w:ascii="仿宋" w:hAnsi="仿宋" w:eastAsia="仿宋" w:cs="仿宋"/>
          <w:b/>
          <w:color w:val="auto"/>
          <w:sz w:val="44"/>
          <w:szCs w:val="44"/>
          <w:highlight w:val="none"/>
          <w:lang w:val="en-US" w:eastAsia="zh-CN"/>
        </w:rPr>
        <w:t>审批</w:t>
      </w:r>
      <w:r>
        <w:rPr>
          <w:rFonts w:hint="eastAsia" w:ascii="仿宋" w:hAnsi="仿宋" w:eastAsia="仿宋" w:cs="仿宋"/>
          <w:b/>
          <w:color w:val="auto"/>
          <w:sz w:val="44"/>
          <w:szCs w:val="44"/>
          <w:highlight w:val="none"/>
        </w:rPr>
        <w:t>表</w:t>
      </w:r>
    </w:p>
    <w:tbl>
      <w:tblPr>
        <w:tblStyle w:val="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402"/>
        <w:gridCol w:w="1276"/>
        <w:gridCol w:w="2835"/>
      </w:tblGrid>
      <w:tr w14:paraId="60AB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6" w:type="dxa"/>
            <w:noWrap w:val="0"/>
            <w:vAlign w:val="top"/>
          </w:tcPr>
          <w:p w14:paraId="3DFC1B3A">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工程名称</w:t>
            </w:r>
          </w:p>
        </w:tc>
        <w:tc>
          <w:tcPr>
            <w:tcW w:w="3402" w:type="dxa"/>
            <w:noWrap w:val="0"/>
            <w:vAlign w:val="top"/>
          </w:tcPr>
          <w:p w14:paraId="0DB17868">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c>
          <w:tcPr>
            <w:tcW w:w="1276" w:type="dxa"/>
            <w:noWrap w:val="0"/>
            <w:vAlign w:val="top"/>
          </w:tcPr>
          <w:p w14:paraId="79A4A66D">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合同名称</w:t>
            </w:r>
          </w:p>
        </w:tc>
        <w:tc>
          <w:tcPr>
            <w:tcW w:w="2835" w:type="dxa"/>
            <w:noWrap w:val="0"/>
            <w:vAlign w:val="top"/>
          </w:tcPr>
          <w:p w14:paraId="066A7197">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r>
      <w:tr w14:paraId="12F4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0"/>
            <w:vAlign w:val="top"/>
          </w:tcPr>
          <w:p w14:paraId="0FAA10EB">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供货单位</w:t>
            </w:r>
          </w:p>
        </w:tc>
        <w:tc>
          <w:tcPr>
            <w:tcW w:w="3402" w:type="dxa"/>
            <w:noWrap w:val="0"/>
            <w:vAlign w:val="top"/>
          </w:tcPr>
          <w:p w14:paraId="48814B94">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c>
          <w:tcPr>
            <w:tcW w:w="1276" w:type="dxa"/>
            <w:noWrap w:val="0"/>
            <w:vAlign w:val="top"/>
          </w:tcPr>
          <w:p w14:paraId="06A913DF">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合同编号</w:t>
            </w:r>
          </w:p>
        </w:tc>
        <w:tc>
          <w:tcPr>
            <w:tcW w:w="2835" w:type="dxa"/>
            <w:noWrap w:val="0"/>
            <w:vAlign w:val="top"/>
          </w:tcPr>
          <w:p w14:paraId="46733487">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r>
      <w:tr w14:paraId="139F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789" w:type="dxa"/>
            <w:gridSpan w:val="4"/>
            <w:noWrap w:val="0"/>
            <w:vAlign w:val="top"/>
          </w:tcPr>
          <w:p w14:paraId="3A7B22D7">
            <w:pPr>
              <w:pageBreakBefore w:val="0"/>
              <w:tabs>
                <w:tab w:val="left" w:pos="720"/>
              </w:tabs>
              <w:wordWrap/>
              <w:topLinePunct w:val="0"/>
              <w:bidi w:val="0"/>
              <w:adjustRightInd w:val="0"/>
              <w:snapToGrid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材料申报内容：</w:t>
            </w:r>
          </w:p>
          <w:p w14:paraId="30D2B979">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66426973">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0572CE09">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409638CA">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057C8C7B">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供货单位（章）：</w:t>
            </w:r>
          </w:p>
          <w:p w14:paraId="5ED0659D">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供货单位负责人：</w:t>
            </w:r>
          </w:p>
        </w:tc>
      </w:tr>
      <w:tr w14:paraId="6FD8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789" w:type="dxa"/>
            <w:gridSpan w:val="4"/>
            <w:noWrap w:val="0"/>
            <w:vAlign w:val="top"/>
          </w:tcPr>
          <w:p w14:paraId="55A1852E">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仓管员①/经办人审核意见：</w:t>
            </w:r>
          </w:p>
          <w:p w14:paraId="680E3FF3">
            <w:pPr>
              <w:pageBreakBefore w:val="0"/>
              <w:tabs>
                <w:tab w:val="left" w:pos="720"/>
              </w:tabs>
              <w:wordWrap/>
              <w:topLinePunct w:val="0"/>
              <w:bidi w:val="0"/>
              <w:adjustRightInd w:val="0"/>
              <w:snapToGrid w:val="0"/>
              <w:spacing w:line="360" w:lineRule="auto"/>
              <w:ind w:left="5421" w:hanging="5421" w:hangingChars="2250"/>
              <w:jc w:val="left"/>
              <w:rPr>
                <w:rFonts w:hint="eastAsia" w:ascii="仿宋" w:hAnsi="仿宋" w:eastAsia="仿宋" w:cs="仿宋"/>
                <w:b/>
                <w:color w:val="auto"/>
                <w:sz w:val="24"/>
                <w:highlight w:val="none"/>
              </w:rPr>
            </w:pPr>
          </w:p>
          <w:p w14:paraId="429C5282">
            <w:pPr>
              <w:pageBreakBefore w:val="0"/>
              <w:tabs>
                <w:tab w:val="left" w:pos="720"/>
              </w:tabs>
              <w:wordWrap/>
              <w:topLinePunct w:val="0"/>
              <w:bidi w:val="0"/>
              <w:adjustRightInd w:val="0"/>
              <w:snapToGrid w:val="0"/>
              <w:spacing w:line="360" w:lineRule="auto"/>
              <w:ind w:left="5421" w:hanging="5421" w:hangingChars="22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1C72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8789" w:type="dxa"/>
            <w:gridSpan w:val="4"/>
            <w:noWrap w:val="0"/>
            <w:vAlign w:val="top"/>
          </w:tcPr>
          <w:p w14:paraId="243314B6">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仓管员②审核意见：</w:t>
            </w:r>
          </w:p>
          <w:p w14:paraId="2BFEEF07">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2FEA5B07">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 </w:t>
            </w:r>
          </w:p>
        </w:tc>
      </w:tr>
      <w:tr w14:paraId="0AB2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8789" w:type="dxa"/>
            <w:gridSpan w:val="4"/>
            <w:noWrap w:val="0"/>
            <w:vAlign w:val="top"/>
          </w:tcPr>
          <w:p w14:paraId="67B8B950">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项目成本管理员审核意见：</w:t>
            </w:r>
          </w:p>
          <w:p w14:paraId="0FAB67EF">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6A023D01">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71AF7BEC">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1190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8789" w:type="dxa"/>
            <w:gridSpan w:val="4"/>
            <w:noWrap w:val="0"/>
            <w:vAlign w:val="top"/>
          </w:tcPr>
          <w:p w14:paraId="1F21CB28">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项目经理审核意见：</w:t>
            </w:r>
          </w:p>
          <w:p w14:paraId="21526585">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0A8FB3C6">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5DD0F649">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12AAFD37">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bl>
    <w:p w14:paraId="36A2A053">
      <w:pPr>
        <w:pageBreakBefore w:val="0"/>
        <w:tabs>
          <w:tab w:val="left" w:pos="720"/>
        </w:tabs>
        <w:wordWrap/>
        <w:topLinePunct w:val="0"/>
        <w:bidi w:val="0"/>
        <w:adjustRightInd w:val="0"/>
        <w:snapToGrid w:val="0"/>
        <w:spacing w:line="360" w:lineRule="auto"/>
        <w:ind w:left="-630" w:leftChars="-300" w:right="-630" w:rightChars="-300" w:firstLine="542" w:firstLineChars="300"/>
        <w:jc w:val="left"/>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填表要求：1、此表由</w:t>
      </w:r>
      <w:r>
        <w:rPr>
          <w:rFonts w:hint="eastAsia" w:ascii="仿宋" w:hAnsi="仿宋" w:eastAsia="仿宋" w:cs="仿宋"/>
          <w:b/>
          <w:color w:val="auto"/>
          <w:sz w:val="18"/>
          <w:szCs w:val="18"/>
          <w:highlight w:val="none"/>
          <w:lang w:val="en-US" w:eastAsia="zh-CN"/>
        </w:rPr>
        <w:t>乙方</w:t>
      </w:r>
      <w:r>
        <w:rPr>
          <w:rFonts w:hint="eastAsia" w:ascii="仿宋" w:hAnsi="仿宋" w:eastAsia="仿宋" w:cs="仿宋"/>
          <w:b/>
          <w:color w:val="auto"/>
          <w:sz w:val="18"/>
          <w:szCs w:val="18"/>
          <w:highlight w:val="none"/>
        </w:rPr>
        <w:t>发起，如实填写，不允许涂改，如有涂改或虚报，此表无效。</w:t>
      </w:r>
    </w:p>
    <w:p w14:paraId="4D8584A1">
      <w:pPr>
        <w:pageBreakBefore w:val="0"/>
        <w:tabs>
          <w:tab w:val="left" w:pos="720"/>
        </w:tabs>
        <w:wordWrap/>
        <w:topLinePunct w:val="0"/>
        <w:bidi w:val="0"/>
        <w:adjustRightInd w:val="0"/>
        <w:snapToGrid w:val="0"/>
        <w:spacing w:line="360" w:lineRule="auto"/>
        <w:ind w:left="-315" w:leftChars="-150" w:right="-630" w:rightChars="-300" w:firstLine="1175" w:firstLineChars="650"/>
        <w:jc w:val="left"/>
        <w:rPr>
          <w:rFonts w:hint="eastAsia" w:ascii="仿宋" w:hAnsi="仿宋" w:eastAsia="仿宋" w:cs="仿宋"/>
          <w:b/>
          <w:bCs/>
          <w:color w:val="auto"/>
          <w:sz w:val="44"/>
          <w:szCs w:val="44"/>
          <w:highlight w:val="none"/>
          <w:lang w:val="en-US" w:eastAsia="zh-CN"/>
        </w:rPr>
      </w:pPr>
      <w:r>
        <w:rPr>
          <w:rFonts w:hint="eastAsia" w:ascii="仿宋" w:hAnsi="仿宋" w:eastAsia="仿宋" w:cs="仿宋"/>
          <w:b/>
          <w:color w:val="auto"/>
          <w:sz w:val="18"/>
          <w:szCs w:val="18"/>
          <w:highlight w:val="none"/>
        </w:rPr>
        <w:t>2、此确认表作为向</w:t>
      </w:r>
      <w:r>
        <w:rPr>
          <w:rFonts w:hint="eastAsia" w:ascii="仿宋" w:hAnsi="仿宋" w:eastAsia="仿宋" w:cs="仿宋"/>
          <w:b/>
          <w:color w:val="auto"/>
          <w:sz w:val="18"/>
          <w:szCs w:val="18"/>
          <w:highlight w:val="none"/>
          <w:lang w:val="en-US" w:eastAsia="zh-CN"/>
        </w:rPr>
        <w:t>中泰建安</w:t>
      </w:r>
      <w:r>
        <w:rPr>
          <w:rFonts w:hint="eastAsia" w:ascii="仿宋" w:hAnsi="仿宋" w:eastAsia="仿宋" w:cs="仿宋"/>
          <w:b/>
          <w:color w:val="auto"/>
          <w:sz w:val="18"/>
          <w:szCs w:val="18"/>
          <w:highlight w:val="none"/>
        </w:rPr>
        <w:t>公司申报款项支付审批单的附件。</w:t>
      </w:r>
    </w:p>
    <w:p w14:paraId="2B5707BA">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1484"/>
        <w:gridCol w:w="1117"/>
        <w:gridCol w:w="1117"/>
        <w:gridCol w:w="1570"/>
        <w:gridCol w:w="2017"/>
        <w:gridCol w:w="1117"/>
        <w:gridCol w:w="1144"/>
      </w:tblGrid>
      <w:tr w14:paraId="683B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nil"/>
              <w:left w:val="nil"/>
              <w:bottom w:val="nil"/>
              <w:right w:val="nil"/>
            </w:tcBorders>
            <w:noWrap/>
            <w:vAlign w:val="center"/>
          </w:tcPr>
          <w:p w14:paraId="0E40246A">
            <w:pPr>
              <w:keepNext w:val="0"/>
              <w:keepLines w:val="0"/>
              <w:pageBreakBefore w:val="0"/>
              <w:widowControl/>
              <w:suppressLineNumbers w:val="0"/>
              <w:wordWrap/>
              <w:topLinePunct w:val="0"/>
              <w:bidi w:val="0"/>
              <w:spacing w:line="360" w:lineRule="auto"/>
              <w:jc w:val="right"/>
              <w:textAlignment w:val="center"/>
              <w:rPr>
                <w:rFonts w:hint="default" w:ascii="仿宋" w:hAnsi="仿宋" w:eastAsia="仿宋" w:cs="仿宋"/>
                <w:b/>
                <w:bCs/>
                <w:i w:val="0"/>
                <w:iCs w:val="0"/>
                <w:color w:val="auto"/>
                <w:kern w:val="0"/>
                <w:sz w:val="44"/>
                <w:szCs w:val="44"/>
                <w:highlight w:val="none"/>
                <w:u w:val="none"/>
                <w:lang w:val="en-US" w:eastAsia="zh-CN" w:bidi="ar"/>
              </w:rPr>
            </w:pPr>
            <w:r>
              <w:rPr>
                <w:rFonts w:hint="eastAsia" w:ascii="仿宋" w:hAnsi="仿宋" w:eastAsia="仿宋" w:cs="仿宋"/>
                <w:b/>
                <w:bCs/>
                <w:i w:val="0"/>
                <w:iCs w:val="0"/>
                <w:color w:val="auto"/>
                <w:kern w:val="0"/>
                <w:sz w:val="44"/>
                <w:szCs w:val="44"/>
                <w:highlight w:val="none"/>
                <w:u w:val="none"/>
                <w:lang w:val="en-US" w:eastAsia="zh-CN" w:bidi="ar"/>
              </w:rPr>
              <w:t>附件四</w:t>
            </w:r>
          </w:p>
          <w:p w14:paraId="60603C4E">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44"/>
                <w:szCs w:val="44"/>
                <w:highlight w:val="none"/>
                <w:u w:val="none"/>
                <w:lang w:val="en-US" w:eastAsia="zh-CN" w:bidi="ar"/>
              </w:rPr>
              <w:t>款项支付台账</w:t>
            </w:r>
          </w:p>
        </w:tc>
      </w:tr>
      <w:tr w14:paraId="352BA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4825E614">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项目名称：</w:t>
            </w:r>
          </w:p>
        </w:tc>
      </w:tr>
      <w:tr w14:paraId="49C6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1A1AD3E8">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合同名称：</w:t>
            </w:r>
          </w:p>
        </w:tc>
      </w:tr>
      <w:tr w14:paraId="2C9D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45D96C78">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付款公司名称：东莞市中泰建安工程有限公司</w:t>
            </w:r>
          </w:p>
        </w:tc>
      </w:tr>
      <w:tr w14:paraId="384E2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69D1E16A">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1012719C">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收/付款日期</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（年/月）</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734DAFA">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发票代码</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4AD513E">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发票号码</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02B3F90C">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当期应付金额</w:t>
            </w: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676E0280">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已支付金额</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CE7927D">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未付金额</w:t>
            </w: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3DB0B3C0">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付款内容</w:t>
            </w:r>
          </w:p>
        </w:tc>
      </w:tr>
      <w:tr w14:paraId="2401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4AB32E2D">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67AC314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608AC6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E103029">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0227A67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D3003B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0BF691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0D61611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19AF1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723A7CBB">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0ECA063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98A0F91">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CF11E9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545C120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12C70EC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E549D7E">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4F4C215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0DA5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CF342D3">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2A1BBCB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AD5A93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923632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142AC5C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47654E2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09DFFA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6F70FDE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7D157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4B57E502">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065FA81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D23890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6A3C5C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4AFA5D7E">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40BDDF3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59F0A7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0A52578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11B56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98E187E">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4505195E">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E6BE3D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DA6BD8E">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7E9481BA">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4C3F48A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026BB2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5EC6773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344E9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441B204">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4159226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3DA02E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FDC862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87BA3B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1DC1422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011AEC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44472B2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60364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2" w:type="pct"/>
            <w:gridSpan w:val="2"/>
            <w:tcBorders>
              <w:top w:val="nil"/>
              <w:left w:val="nil"/>
              <w:bottom w:val="nil"/>
              <w:right w:val="nil"/>
            </w:tcBorders>
            <w:noWrap/>
            <w:vAlign w:val="center"/>
          </w:tcPr>
          <w:p w14:paraId="398D9C9B">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制表人：</w:t>
            </w:r>
          </w:p>
        </w:tc>
        <w:tc>
          <w:tcPr>
            <w:tcW w:w="535" w:type="pct"/>
            <w:tcBorders>
              <w:top w:val="nil"/>
              <w:left w:val="nil"/>
              <w:bottom w:val="nil"/>
              <w:right w:val="nil"/>
            </w:tcBorders>
            <w:noWrap/>
            <w:vAlign w:val="center"/>
          </w:tcPr>
          <w:p w14:paraId="697D18B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E794B8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472B710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322E02EF">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制表日期：</w:t>
            </w:r>
          </w:p>
        </w:tc>
        <w:tc>
          <w:tcPr>
            <w:tcW w:w="535" w:type="pct"/>
            <w:tcBorders>
              <w:top w:val="nil"/>
              <w:left w:val="nil"/>
              <w:bottom w:val="nil"/>
              <w:right w:val="nil"/>
            </w:tcBorders>
            <w:noWrap/>
            <w:vAlign w:val="center"/>
          </w:tcPr>
          <w:p w14:paraId="2EE01FBB">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2E6B8E0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1671C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20A89504">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4413235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3A6B2609">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7781B7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60BD222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471260C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27228F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7FD900E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5F417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6093A6FA">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28774C35">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2DBACA2">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0A0502C">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5C78BA11">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5349FD6">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收款公司名称：</w:t>
            </w:r>
          </w:p>
        </w:tc>
        <w:tc>
          <w:tcPr>
            <w:tcW w:w="535" w:type="pct"/>
            <w:tcBorders>
              <w:top w:val="nil"/>
              <w:left w:val="nil"/>
              <w:bottom w:val="nil"/>
              <w:right w:val="nil"/>
            </w:tcBorders>
            <w:noWrap/>
            <w:vAlign w:val="center"/>
          </w:tcPr>
          <w:p w14:paraId="6AC41D60">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321DA767">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14:paraId="2841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0" w:type="pct"/>
            <w:tcBorders>
              <w:top w:val="nil"/>
              <w:left w:val="nil"/>
              <w:bottom w:val="nil"/>
              <w:right w:val="nil"/>
            </w:tcBorders>
            <w:noWrap/>
            <w:vAlign w:val="bottom"/>
          </w:tcPr>
          <w:p w14:paraId="1DA23B25">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75AD8B8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E35E46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6F7E5B1">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6301176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7FE005EB">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（加盖公章）</w:t>
            </w:r>
          </w:p>
        </w:tc>
        <w:tc>
          <w:tcPr>
            <w:tcW w:w="535" w:type="pct"/>
            <w:tcBorders>
              <w:top w:val="nil"/>
              <w:left w:val="nil"/>
              <w:bottom w:val="nil"/>
              <w:right w:val="nil"/>
            </w:tcBorders>
            <w:noWrap/>
            <w:vAlign w:val="center"/>
          </w:tcPr>
          <w:p w14:paraId="6EE182E2">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6BFD42A7">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14:paraId="4158D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center"/>
          </w:tcPr>
          <w:p w14:paraId="5E9172A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5EE079D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77BCB95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82F8A61">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6D1DA4F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708DE425">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收款公司负责人：</w:t>
            </w:r>
          </w:p>
        </w:tc>
        <w:tc>
          <w:tcPr>
            <w:tcW w:w="535" w:type="pct"/>
            <w:tcBorders>
              <w:top w:val="nil"/>
              <w:left w:val="nil"/>
              <w:bottom w:val="nil"/>
              <w:right w:val="nil"/>
            </w:tcBorders>
            <w:noWrap/>
            <w:vAlign w:val="center"/>
          </w:tcPr>
          <w:p w14:paraId="72F14C8D">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0E2AE472">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14:paraId="7A9D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0" w:type="pct"/>
            <w:tcBorders>
              <w:top w:val="nil"/>
              <w:left w:val="nil"/>
              <w:bottom w:val="nil"/>
              <w:right w:val="nil"/>
            </w:tcBorders>
            <w:noWrap/>
            <w:vAlign w:val="center"/>
          </w:tcPr>
          <w:p w14:paraId="1C097F3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0B7A89E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11EF24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2FFDB8E">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63B6212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E3B38FA">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（签名）</w:t>
            </w:r>
          </w:p>
        </w:tc>
        <w:tc>
          <w:tcPr>
            <w:tcW w:w="535" w:type="pct"/>
            <w:tcBorders>
              <w:top w:val="nil"/>
              <w:left w:val="nil"/>
              <w:bottom w:val="nil"/>
              <w:right w:val="nil"/>
            </w:tcBorders>
            <w:noWrap/>
            <w:vAlign w:val="center"/>
          </w:tcPr>
          <w:p w14:paraId="4B1F515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36A347D3">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bl>
    <w:p w14:paraId="3C23C9DD">
      <w:pPr>
        <w:pageBreakBefore w:val="0"/>
        <w:wordWrap/>
        <w:topLinePunct w:val="0"/>
        <w:bidi w:val="0"/>
        <w:spacing w:line="360" w:lineRule="auto"/>
        <w:jc w:val="both"/>
        <w:rPr>
          <w:rFonts w:hint="eastAsia" w:ascii="仿宋" w:hAnsi="仿宋" w:eastAsia="仿宋" w:cs="仿宋"/>
          <w:b/>
          <w:bCs/>
          <w:color w:val="auto"/>
          <w:sz w:val="44"/>
          <w:szCs w:val="44"/>
          <w:highlight w:val="none"/>
          <w:lang w:val="en-US" w:eastAsia="zh-CN"/>
        </w:rPr>
      </w:pPr>
    </w:p>
    <w:p w14:paraId="3A833BB0">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sectPr>
          <w:footerReference r:id="rId5" w:type="default"/>
          <w:pgSz w:w="11906" w:h="16838"/>
          <w:pgMar w:top="1134" w:right="850" w:bottom="567"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55BBDFF1">
      <w:pPr>
        <w:spacing w:before="63" w:line="219" w:lineRule="auto"/>
        <w:jc w:val="right"/>
        <w:rPr>
          <w:rFonts w:ascii="Arial"/>
          <w:color w:val="auto"/>
          <w:sz w:val="24"/>
          <w:szCs w:val="32"/>
          <w:highlight w:val="none"/>
        </w:rPr>
      </w:pPr>
      <w:r>
        <w:rPr>
          <w:rFonts w:ascii="宋体" w:hAnsi="宋体" w:eastAsia="宋体" w:cs="宋体"/>
          <w:color w:val="auto"/>
          <w:spacing w:val="-13"/>
          <w:sz w:val="40"/>
          <w:szCs w:val="40"/>
          <w:highlight w:val="none"/>
          <w14:textOutline w14:w="5803" w14:cap="flat" w14:cmpd="sng">
            <w14:solidFill>
              <w14:srgbClr w14:val="000000"/>
            </w14:solidFill>
            <w14:prstDash w14:val="solid"/>
            <w14:miter w14:val="0"/>
          </w14:textOutline>
        </w:rPr>
        <w:t>附件五</w:t>
      </w:r>
    </w:p>
    <w:p w14:paraId="696DDF76">
      <w:pPr>
        <w:pStyle w:val="3"/>
        <w:tabs>
          <w:tab w:val="left" w:pos="5740"/>
        </w:tabs>
        <w:spacing w:before="111" w:line="184" w:lineRule="auto"/>
        <w:ind w:left="4625"/>
        <w:outlineLvl w:val="0"/>
        <w:rPr>
          <w:rFonts w:hint="eastAsia" w:ascii="宋体" w:hAnsi="宋体" w:eastAsia="宋体" w:cs="宋体"/>
          <w:b/>
          <w:bCs/>
          <w:color w:val="auto"/>
          <w:sz w:val="44"/>
          <w:szCs w:val="40"/>
          <w:highlight w:val="none"/>
          <w:lang w:val="en-US" w:eastAsia="zh-CN"/>
        </w:rPr>
      </w:pPr>
      <w:r>
        <w:rPr>
          <w:rFonts w:hint="eastAsia" w:ascii="宋体" w:hAnsi="宋体" w:eastAsia="宋体" w:cs="宋体"/>
          <w:color w:val="auto"/>
          <w:sz w:val="32"/>
          <w:szCs w:val="32"/>
          <w:highlight w:val="none"/>
          <w:u w:val="single" w:color="auto"/>
        </w:rPr>
        <w:tab/>
      </w:r>
      <w:r>
        <w:rPr>
          <w:rFonts w:hint="eastAsia" w:ascii="宋体" w:hAnsi="宋体" w:eastAsia="宋体" w:cs="宋体"/>
          <w:color w:val="auto"/>
          <w:sz w:val="32"/>
          <w:szCs w:val="32"/>
          <w:highlight w:val="none"/>
          <w:u w:val="single" w:color="auto"/>
          <w:lang w:val="en-US" w:eastAsia="zh-CN"/>
        </w:rPr>
        <w:t xml:space="preserve">     </w:t>
      </w:r>
      <w:r>
        <w:rPr>
          <w:rFonts w:hint="eastAsia" w:ascii="宋体" w:hAnsi="宋体" w:eastAsia="宋体" w:cs="宋体"/>
          <w:b/>
          <w:bCs/>
          <w:color w:val="auto"/>
          <w:sz w:val="32"/>
          <w:szCs w:val="32"/>
          <w:highlight w:val="none"/>
        </w:rPr>
        <w:t>有限公司</w:t>
      </w:r>
      <w:r>
        <w:rPr>
          <w:rFonts w:hint="eastAsia" w:ascii="宋体" w:hAnsi="宋体" w:eastAsia="宋体" w:cs="宋体"/>
          <w:b/>
          <w:bCs/>
          <w:color w:val="auto"/>
          <w:sz w:val="32"/>
          <w:szCs w:val="32"/>
          <w:highlight w:val="none"/>
          <w:u w:val="single" w:color="auto"/>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pacing w:val="4"/>
          <w:sz w:val="32"/>
          <w:szCs w:val="32"/>
          <w:highlight w:val="none"/>
          <w:u w:val="single" w:color="auto"/>
        </w:rPr>
        <w:t xml:space="preserve">   </w:t>
      </w:r>
      <w:r>
        <w:rPr>
          <w:rFonts w:hint="eastAsia" w:ascii="宋体" w:hAnsi="宋体" w:eastAsia="宋体" w:cs="宋体"/>
          <w:b/>
          <w:bCs/>
          <w:color w:val="auto"/>
          <w:spacing w:val="-72"/>
          <w:sz w:val="32"/>
          <w:szCs w:val="32"/>
          <w:highlight w:val="none"/>
        </w:rPr>
        <w:t xml:space="preserve"> </w:t>
      </w:r>
      <w:r>
        <w:rPr>
          <w:rFonts w:hint="eastAsia" w:ascii="宋体" w:hAnsi="宋体" w:eastAsia="宋体" w:cs="宋体"/>
          <w:b/>
          <w:bCs/>
          <w:color w:val="auto"/>
          <w:sz w:val="32"/>
          <w:szCs w:val="32"/>
          <w:highlight w:val="none"/>
        </w:rPr>
        <w:t>月对账单</w:t>
      </w:r>
    </w:p>
    <w:p w14:paraId="5113567D">
      <w:pPr>
        <w:rPr>
          <w:rFonts w:hint="default"/>
          <w:color w:val="auto"/>
          <w:highlight w:val="none"/>
          <w:lang w:val="en-US" w:eastAsia="zh-CN"/>
        </w:rPr>
      </w:pPr>
    </w:p>
    <w:p w14:paraId="448864E9">
      <w:pPr>
        <w:pStyle w:val="3"/>
        <w:spacing w:before="35" w:line="309" w:lineRule="exact"/>
        <w:ind w:left="67"/>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项目名称：</w:t>
      </w:r>
    </w:p>
    <w:p w14:paraId="6EDE1097">
      <w:pPr>
        <w:pStyle w:val="3"/>
        <w:spacing w:before="35" w:line="309" w:lineRule="exact"/>
        <w:ind w:left="67"/>
        <w:rPr>
          <w:rFonts w:hint="eastAsia" w:ascii="宋体" w:hAnsi="宋体" w:eastAsia="宋体" w:cs="宋体"/>
          <w:color w:val="auto"/>
          <w:spacing w:val="8"/>
          <w:position w:val="10"/>
          <w:sz w:val="20"/>
          <w:szCs w:val="20"/>
          <w:highlight w:val="none"/>
        </w:rPr>
      </w:pPr>
    </w:p>
    <w:p w14:paraId="776BD883">
      <w:pPr>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收货单位：</w:t>
      </w:r>
    </w:p>
    <w:tbl>
      <w:tblPr>
        <w:tblStyle w:val="13"/>
        <w:tblW w:w="14142" w:type="dxa"/>
        <w:tblInd w:w="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831"/>
        <w:gridCol w:w="930"/>
        <w:gridCol w:w="931"/>
        <w:gridCol w:w="900"/>
        <w:gridCol w:w="1065"/>
        <w:gridCol w:w="854"/>
        <w:gridCol w:w="1201"/>
        <w:gridCol w:w="846"/>
        <w:gridCol w:w="916"/>
        <w:gridCol w:w="1142"/>
        <w:gridCol w:w="1142"/>
        <w:gridCol w:w="2777"/>
      </w:tblGrid>
      <w:tr w14:paraId="47354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07" w:type="dxa"/>
            <w:vAlign w:val="top"/>
          </w:tcPr>
          <w:p w14:paraId="049AF5E8">
            <w:pPr>
              <w:spacing w:before="154" w:line="191" w:lineRule="auto"/>
              <w:ind w:left="124"/>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序号</w:t>
            </w:r>
          </w:p>
        </w:tc>
        <w:tc>
          <w:tcPr>
            <w:tcW w:w="831" w:type="dxa"/>
            <w:vAlign w:val="top"/>
          </w:tcPr>
          <w:p w14:paraId="30B93FAB">
            <w:pPr>
              <w:spacing w:before="154" w:line="191" w:lineRule="auto"/>
              <w:ind w:left="38"/>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送货日期</w:t>
            </w:r>
          </w:p>
        </w:tc>
        <w:tc>
          <w:tcPr>
            <w:tcW w:w="930" w:type="dxa"/>
            <w:vAlign w:val="top"/>
          </w:tcPr>
          <w:p w14:paraId="4BFEAB98">
            <w:pPr>
              <w:spacing w:before="154" w:line="191" w:lineRule="auto"/>
              <w:ind w:left="41"/>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送货单号</w:t>
            </w:r>
          </w:p>
        </w:tc>
        <w:tc>
          <w:tcPr>
            <w:tcW w:w="931" w:type="dxa"/>
            <w:vAlign w:val="top"/>
          </w:tcPr>
          <w:p w14:paraId="17A916FE">
            <w:pPr>
              <w:spacing w:before="154" w:line="191" w:lineRule="auto"/>
              <w:ind w:left="4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签收单号</w:t>
            </w:r>
          </w:p>
        </w:tc>
        <w:tc>
          <w:tcPr>
            <w:tcW w:w="900" w:type="dxa"/>
            <w:vAlign w:val="top"/>
          </w:tcPr>
          <w:p w14:paraId="517DAF11">
            <w:pPr>
              <w:spacing w:before="154" w:line="191" w:lineRule="auto"/>
              <w:ind w:left="43"/>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过磅单号</w:t>
            </w:r>
          </w:p>
        </w:tc>
        <w:tc>
          <w:tcPr>
            <w:tcW w:w="1065" w:type="dxa"/>
            <w:vAlign w:val="top"/>
          </w:tcPr>
          <w:p w14:paraId="35EB5E1E">
            <w:pPr>
              <w:spacing w:before="156" w:line="190" w:lineRule="auto"/>
              <w:ind w:firstLine="188" w:firstLineChars="100"/>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货物名称</w:t>
            </w:r>
          </w:p>
        </w:tc>
        <w:tc>
          <w:tcPr>
            <w:tcW w:w="854" w:type="dxa"/>
            <w:vAlign w:val="top"/>
          </w:tcPr>
          <w:p w14:paraId="3A875ECC">
            <w:pPr>
              <w:spacing w:before="154" w:line="191" w:lineRule="auto"/>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5"/>
                <w:sz w:val="17"/>
                <w:szCs w:val="17"/>
                <w:highlight w:val="none"/>
              </w:rPr>
              <w:t>品牌</w:t>
            </w:r>
          </w:p>
        </w:tc>
        <w:tc>
          <w:tcPr>
            <w:tcW w:w="1201" w:type="dxa"/>
            <w:vAlign w:val="top"/>
          </w:tcPr>
          <w:p w14:paraId="3C54C661">
            <w:pPr>
              <w:spacing w:before="154" w:line="191" w:lineRule="auto"/>
              <w:ind w:left="23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规格型号</w:t>
            </w:r>
          </w:p>
        </w:tc>
        <w:tc>
          <w:tcPr>
            <w:tcW w:w="846" w:type="dxa"/>
            <w:vAlign w:val="top"/>
          </w:tcPr>
          <w:p w14:paraId="3EC80E1E">
            <w:pPr>
              <w:spacing w:before="154" w:line="191" w:lineRule="auto"/>
              <w:ind w:left="59"/>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单位</w:t>
            </w:r>
          </w:p>
        </w:tc>
        <w:tc>
          <w:tcPr>
            <w:tcW w:w="916" w:type="dxa"/>
            <w:vAlign w:val="top"/>
          </w:tcPr>
          <w:p w14:paraId="1B644175">
            <w:pPr>
              <w:spacing w:before="156" w:line="190" w:lineRule="auto"/>
              <w:ind w:left="281"/>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数量</w:t>
            </w:r>
          </w:p>
        </w:tc>
        <w:tc>
          <w:tcPr>
            <w:tcW w:w="1142" w:type="dxa"/>
            <w:vAlign w:val="top"/>
          </w:tcPr>
          <w:p w14:paraId="78B03399">
            <w:pPr>
              <w:spacing w:before="154" w:line="191" w:lineRule="auto"/>
              <w:ind w:left="397"/>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单价</w:t>
            </w:r>
          </w:p>
        </w:tc>
        <w:tc>
          <w:tcPr>
            <w:tcW w:w="1142" w:type="dxa"/>
            <w:vAlign w:val="top"/>
          </w:tcPr>
          <w:p w14:paraId="54BF4ED0">
            <w:pPr>
              <w:spacing w:before="156" w:line="190" w:lineRule="auto"/>
              <w:ind w:left="39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金额</w:t>
            </w:r>
          </w:p>
        </w:tc>
        <w:tc>
          <w:tcPr>
            <w:tcW w:w="2777" w:type="dxa"/>
            <w:vAlign w:val="top"/>
          </w:tcPr>
          <w:p w14:paraId="5D79E896">
            <w:pPr>
              <w:spacing w:before="154" w:line="191" w:lineRule="auto"/>
              <w:ind w:left="1213"/>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备注</w:t>
            </w:r>
          </w:p>
        </w:tc>
      </w:tr>
      <w:tr w14:paraId="3A7A5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17F3EFAC">
            <w:pPr>
              <w:spacing w:before="163" w:line="180" w:lineRule="auto"/>
              <w:ind w:left="270"/>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1</w:t>
            </w:r>
          </w:p>
        </w:tc>
        <w:tc>
          <w:tcPr>
            <w:tcW w:w="831" w:type="dxa"/>
            <w:vAlign w:val="top"/>
          </w:tcPr>
          <w:p w14:paraId="00F8B94B">
            <w:pPr>
              <w:pStyle w:val="14"/>
              <w:rPr>
                <w:color w:val="auto"/>
                <w:highlight w:val="none"/>
              </w:rPr>
            </w:pPr>
          </w:p>
        </w:tc>
        <w:tc>
          <w:tcPr>
            <w:tcW w:w="930" w:type="dxa"/>
            <w:vAlign w:val="top"/>
          </w:tcPr>
          <w:p w14:paraId="6D767A9E">
            <w:pPr>
              <w:pStyle w:val="14"/>
              <w:rPr>
                <w:color w:val="auto"/>
                <w:highlight w:val="none"/>
              </w:rPr>
            </w:pPr>
          </w:p>
        </w:tc>
        <w:tc>
          <w:tcPr>
            <w:tcW w:w="931" w:type="dxa"/>
            <w:vAlign w:val="top"/>
          </w:tcPr>
          <w:p w14:paraId="6CFA7CC3">
            <w:pPr>
              <w:pStyle w:val="14"/>
              <w:rPr>
                <w:color w:val="auto"/>
                <w:highlight w:val="none"/>
              </w:rPr>
            </w:pPr>
          </w:p>
        </w:tc>
        <w:tc>
          <w:tcPr>
            <w:tcW w:w="900" w:type="dxa"/>
            <w:vAlign w:val="top"/>
          </w:tcPr>
          <w:p w14:paraId="1C641C22">
            <w:pPr>
              <w:pStyle w:val="14"/>
              <w:rPr>
                <w:color w:val="auto"/>
                <w:highlight w:val="none"/>
              </w:rPr>
            </w:pPr>
          </w:p>
        </w:tc>
        <w:tc>
          <w:tcPr>
            <w:tcW w:w="1065" w:type="dxa"/>
            <w:vAlign w:val="top"/>
          </w:tcPr>
          <w:p w14:paraId="56F68C80">
            <w:pPr>
              <w:pStyle w:val="14"/>
              <w:rPr>
                <w:color w:val="auto"/>
                <w:highlight w:val="none"/>
              </w:rPr>
            </w:pPr>
          </w:p>
        </w:tc>
        <w:tc>
          <w:tcPr>
            <w:tcW w:w="854" w:type="dxa"/>
            <w:vAlign w:val="top"/>
          </w:tcPr>
          <w:p w14:paraId="250F79B5">
            <w:pPr>
              <w:pStyle w:val="14"/>
              <w:rPr>
                <w:color w:val="auto"/>
                <w:highlight w:val="none"/>
              </w:rPr>
            </w:pPr>
          </w:p>
        </w:tc>
        <w:tc>
          <w:tcPr>
            <w:tcW w:w="1201" w:type="dxa"/>
            <w:vAlign w:val="top"/>
          </w:tcPr>
          <w:p w14:paraId="7FDAD64F">
            <w:pPr>
              <w:pStyle w:val="14"/>
              <w:rPr>
                <w:color w:val="auto"/>
                <w:highlight w:val="none"/>
              </w:rPr>
            </w:pPr>
          </w:p>
        </w:tc>
        <w:tc>
          <w:tcPr>
            <w:tcW w:w="846" w:type="dxa"/>
            <w:vAlign w:val="top"/>
          </w:tcPr>
          <w:p w14:paraId="441A4C03">
            <w:pPr>
              <w:pStyle w:val="14"/>
              <w:rPr>
                <w:color w:val="auto"/>
                <w:highlight w:val="none"/>
              </w:rPr>
            </w:pPr>
          </w:p>
        </w:tc>
        <w:tc>
          <w:tcPr>
            <w:tcW w:w="916" w:type="dxa"/>
            <w:vAlign w:val="top"/>
          </w:tcPr>
          <w:p w14:paraId="27671B98">
            <w:pPr>
              <w:pStyle w:val="14"/>
              <w:rPr>
                <w:color w:val="auto"/>
                <w:highlight w:val="none"/>
              </w:rPr>
            </w:pPr>
          </w:p>
        </w:tc>
        <w:tc>
          <w:tcPr>
            <w:tcW w:w="1142" w:type="dxa"/>
            <w:vAlign w:val="top"/>
          </w:tcPr>
          <w:p w14:paraId="4D87C99B">
            <w:pPr>
              <w:pStyle w:val="14"/>
              <w:rPr>
                <w:color w:val="auto"/>
                <w:highlight w:val="none"/>
              </w:rPr>
            </w:pPr>
          </w:p>
        </w:tc>
        <w:tc>
          <w:tcPr>
            <w:tcW w:w="1142" w:type="dxa"/>
            <w:vAlign w:val="top"/>
          </w:tcPr>
          <w:p w14:paraId="3D660EB7">
            <w:pPr>
              <w:pStyle w:val="14"/>
              <w:rPr>
                <w:color w:val="auto"/>
                <w:highlight w:val="none"/>
              </w:rPr>
            </w:pPr>
          </w:p>
        </w:tc>
        <w:tc>
          <w:tcPr>
            <w:tcW w:w="2777" w:type="dxa"/>
            <w:vAlign w:val="top"/>
          </w:tcPr>
          <w:p w14:paraId="01908B79">
            <w:pPr>
              <w:pStyle w:val="14"/>
              <w:rPr>
                <w:color w:val="auto"/>
                <w:highlight w:val="none"/>
              </w:rPr>
            </w:pPr>
          </w:p>
        </w:tc>
      </w:tr>
      <w:tr w14:paraId="5A08D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23E637EB">
            <w:pPr>
              <w:spacing w:before="164"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2</w:t>
            </w:r>
          </w:p>
        </w:tc>
        <w:tc>
          <w:tcPr>
            <w:tcW w:w="831" w:type="dxa"/>
            <w:vAlign w:val="top"/>
          </w:tcPr>
          <w:p w14:paraId="11DBBA45">
            <w:pPr>
              <w:pStyle w:val="14"/>
              <w:rPr>
                <w:color w:val="auto"/>
                <w:highlight w:val="none"/>
              </w:rPr>
            </w:pPr>
          </w:p>
        </w:tc>
        <w:tc>
          <w:tcPr>
            <w:tcW w:w="930" w:type="dxa"/>
            <w:vAlign w:val="top"/>
          </w:tcPr>
          <w:p w14:paraId="587DE8B8">
            <w:pPr>
              <w:pStyle w:val="14"/>
              <w:rPr>
                <w:color w:val="auto"/>
                <w:highlight w:val="none"/>
              </w:rPr>
            </w:pPr>
          </w:p>
        </w:tc>
        <w:tc>
          <w:tcPr>
            <w:tcW w:w="931" w:type="dxa"/>
            <w:vAlign w:val="top"/>
          </w:tcPr>
          <w:p w14:paraId="38615ACB">
            <w:pPr>
              <w:pStyle w:val="14"/>
              <w:rPr>
                <w:color w:val="auto"/>
                <w:highlight w:val="none"/>
              </w:rPr>
            </w:pPr>
          </w:p>
        </w:tc>
        <w:tc>
          <w:tcPr>
            <w:tcW w:w="900" w:type="dxa"/>
            <w:vAlign w:val="top"/>
          </w:tcPr>
          <w:p w14:paraId="153CF248">
            <w:pPr>
              <w:pStyle w:val="14"/>
              <w:rPr>
                <w:color w:val="auto"/>
                <w:highlight w:val="none"/>
              </w:rPr>
            </w:pPr>
          </w:p>
        </w:tc>
        <w:tc>
          <w:tcPr>
            <w:tcW w:w="1065" w:type="dxa"/>
            <w:vAlign w:val="top"/>
          </w:tcPr>
          <w:p w14:paraId="738FAE4D">
            <w:pPr>
              <w:pStyle w:val="14"/>
              <w:rPr>
                <w:color w:val="auto"/>
                <w:highlight w:val="none"/>
              </w:rPr>
            </w:pPr>
          </w:p>
        </w:tc>
        <w:tc>
          <w:tcPr>
            <w:tcW w:w="854" w:type="dxa"/>
            <w:vAlign w:val="top"/>
          </w:tcPr>
          <w:p w14:paraId="52B87ABC">
            <w:pPr>
              <w:pStyle w:val="14"/>
              <w:rPr>
                <w:color w:val="auto"/>
                <w:highlight w:val="none"/>
              </w:rPr>
            </w:pPr>
          </w:p>
        </w:tc>
        <w:tc>
          <w:tcPr>
            <w:tcW w:w="1201" w:type="dxa"/>
            <w:vAlign w:val="top"/>
          </w:tcPr>
          <w:p w14:paraId="291CB5FF">
            <w:pPr>
              <w:pStyle w:val="14"/>
              <w:rPr>
                <w:color w:val="auto"/>
                <w:highlight w:val="none"/>
              </w:rPr>
            </w:pPr>
          </w:p>
        </w:tc>
        <w:tc>
          <w:tcPr>
            <w:tcW w:w="846" w:type="dxa"/>
            <w:vAlign w:val="top"/>
          </w:tcPr>
          <w:p w14:paraId="69022E77">
            <w:pPr>
              <w:pStyle w:val="14"/>
              <w:rPr>
                <w:color w:val="auto"/>
                <w:highlight w:val="none"/>
              </w:rPr>
            </w:pPr>
          </w:p>
        </w:tc>
        <w:tc>
          <w:tcPr>
            <w:tcW w:w="916" w:type="dxa"/>
            <w:vAlign w:val="top"/>
          </w:tcPr>
          <w:p w14:paraId="614FD364">
            <w:pPr>
              <w:pStyle w:val="14"/>
              <w:rPr>
                <w:color w:val="auto"/>
                <w:highlight w:val="none"/>
              </w:rPr>
            </w:pPr>
          </w:p>
        </w:tc>
        <w:tc>
          <w:tcPr>
            <w:tcW w:w="1142" w:type="dxa"/>
            <w:vAlign w:val="top"/>
          </w:tcPr>
          <w:p w14:paraId="58105D44">
            <w:pPr>
              <w:pStyle w:val="14"/>
              <w:rPr>
                <w:color w:val="auto"/>
                <w:highlight w:val="none"/>
              </w:rPr>
            </w:pPr>
          </w:p>
        </w:tc>
        <w:tc>
          <w:tcPr>
            <w:tcW w:w="1142" w:type="dxa"/>
            <w:vAlign w:val="top"/>
          </w:tcPr>
          <w:p w14:paraId="20C61CB8">
            <w:pPr>
              <w:pStyle w:val="14"/>
              <w:rPr>
                <w:color w:val="auto"/>
                <w:highlight w:val="none"/>
              </w:rPr>
            </w:pPr>
          </w:p>
        </w:tc>
        <w:tc>
          <w:tcPr>
            <w:tcW w:w="2777" w:type="dxa"/>
            <w:vAlign w:val="top"/>
          </w:tcPr>
          <w:p w14:paraId="79789603">
            <w:pPr>
              <w:pStyle w:val="14"/>
              <w:rPr>
                <w:color w:val="auto"/>
                <w:highlight w:val="none"/>
              </w:rPr>
            </w:pPr>
          </w:p>
        </w:tc>
      </w:tr>
      <w:tr w14:paraId="00361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0C003CA8">
            <w:pPr>
              <w:spacing w:before="165" w:line="180" w:lineRule="auto"/>
              <w:ind w:left="264"/>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3</w:t>
            </w:r>
          </w:p>
        </w:tc>
        <w:tc>
          <w:tcPr>
            <w:tcW w:w="831" w:type="dxa"/>
            <w:vAlign w:val="top"/>
          </w:tcPr>
          <w:p w14:paraId="399740FA">
            <w:pPr>
              <w:pStyle w:val="14"/>
              <w:rPr>
                <w:color w:val="auto"/>
                <w:highlight w:val="none"/>
              </w:rPr>
            </w:pPr>
          </w:p>
        </w:tc>
        <w:tc>
          <w:tcPr>
            <w:tcW w:w="930" w:type="dxa"/>
            <w:vAlign w:val="top"/>
          </w:tcPr>
          <w:p w14:paraId="75D3F6DF">
            <w:pPr>
              <w:pStyle w:val="14"/>
              <w:rPr>
                <w:color w:val="auto"/>
                <w:highlight w:val="none"/>
              </w:rPr>
            </w:pPr>
          </w:p>
        </w:tc>
        <w:tc>
          <w:tcPr>
            <w:tcW w:w="931" w:type="dxa"/>
            <w:vAlign w:val="top"/>
          </w:tcPr>
          <w:p w14:paraId="3662DC1F">
            <w:pPr>
              <w:pStyle w:val="14"/>
              <w:rPr>
                <w:color w:val="auto"/>
                <w:highlight w:val="none"/>
              </w:rPr>
            </w:pPr>
          </w:p>
        </w:tc>
        <w:tc>
          <w:tcPr>
            <w:tcW w:w="900" w:type="dxa"/>
            <w:vAlign w:val="top"/>
          </w:tcPr>
          <w:p w14:paraId="4FFCD621">
            <w:pPr>
              <w:pStyle w:val="14"/>
              <w:rPr>
                <w:color w:val="auto"/>
                <w:highlight w:val="none"/>
              </w:rPr>
            </w:pPr>
          </w:p>
        </w:tc>
        <w:tc>
          <w:tcPr>
            <w:tcW w:w="1065" w:type="dxa"/>
            <w:vAlign w:val="top"/>
          </w:tcPr>
          <w:p w14:paraId="79F7BA3D">
            <w:pPr>
              <w:pStyle w:val="14"/>
              <w:rPr>
                <w:color w:val="auto"/>
                <w:highlight w:val="none"/>
              </w:rPr>
            </w:pPr>
          </w:p>
        </w:tc>
        <w:tc>
          <w:tcPr>
            <w:tcW w:w="854" w:type="dxa"/>
            <w:vAlign w:val="top"/>
          </w:tcPr>
          <w:p w14:paraId="5A306524">
            <w:pPr>
              <w:pStyle w:val="14"/>
              <w:rPr>
                <w:color w:val="auto"/>
                <w:highlight w:val="none"/>
              </w:rPr>
            </w:pPr>
          </w:p>
        </w:tc>
        <w:tc>
          <w:tcPr>
            <w:tcW w:w="1201" w:type="dxa"/>
            <w:vAlign w:val="top"/>
          </w:tcPr>
          <w:p w14:paraId="553C777A">
            <w:pPr>
              <w:pStyle w:val="14"/>
              <w:rPr>
                <w:color w:val="auto"/>
                <w:highlight w:val="none"/>
              </w:rPr>
            </w:pPr>
          </w:p>
        </w:tc>
        <w:tc>
          <w:tcPr>
            <w:tcW w:w="846" w:type="dxa"/>
            <w:vAlign w:val="top"/>
          </w:tcPr>
          <w:p w14:paraId="7563BB76">
            <w:pPr>
              <w:pStyle w:val="14"/>
              <w:rPr>
                <w:color w:val="auto"/>
                <w:highlight w:val="none"/>
              </w:rPr>
            </w:pPr>
          </w:p>
        </w:tc>
        <w:tc>
          <w:tcPr>
            <w:tcW w:w="916" w:type="dxa"/>
            <w:vAlign w:val="top"/>
          </w:tcPr>
          <w:p w14:paraId="7DC126E1">
            <w:pPr>
              <w:pStyle w:val="14"/>
              <w:rPr>
                <w:color w:val="auto"/>
                <w:highlight w:val="none"/>
              </w:rPr>
            </w:pPr>
          </w:p>
        </w:tc>
        <w:tc>
          <w:tcPr>
            <w:tcW w:w="1142" w:type="dxa"/>
            <w:vAlign w:val="top"/>
          </w:tcPr>
          <w:p w14:paraId="7AD7EF70">
            <w:pPr>
              <w:pStyle w:val="14"/>
              <w:rPr>
                <w:color w:val="auto"/>
                <w:highlight w:val="none"/>
              </w:rPr>
            </w:pPr>
          </w:p>
        </w:tc>
        <w:tc>
          <w:tcPr>
            <w:tcW w:w="1142" w:type="dxa"/>
            <w:vAlign w:val="top"/>
          </w:tcPr>
          <w:p w14:paraId="4DD461C5">
            <w:pPr>
              <w:pStyle w:val="14"/>
              <w:rPr>
                <w:color w:val="auto"/>
                <w:highlight w:val="none"/>
              </w:rPr>
            </w:pPr>
          </w:p>
        </w:tc>
        <w:tc>
          <w:tcPr>
            <w:tcW w:w="2777" w:type="dxa"/>
            <w:vAlign w:val="top"/>
          </w:tcPr>
          <w:p w14:paraId="596D4760">
            <w:pPr>
              <w:pStyle w:val="14"/>
              <w:rPr>
                <w:color w:val="auto"/>
                <w:highlight w:val="none"/>
              </w:rPr>
            </w:pPr>
          </w:p>
        </w:tc>
      </w:tr>
      <w:tr w14:paraId="49001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488704C8">
            <w:pPr>
              <w:spacing w:before="169" w:line="178" w:lineRule="auto"/>
              <w:ind w:left="253"/>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4"/>
                <w:sz w:val="17"/>
                <w:szCs w:val="17"/>
                <w:highlight w:val="none"/>
              </w:rPr>
              <w:t>4</w:t>
            </w:r>
          </w:p>
        </w:tc>
        <w:tc>
          <w:tcPr>
            <w:tcW w:w="831" w:type="dxa"/>
            <w:vAlign w:val="top"/>
          </w:tcPr>
          <w:p w14:paraId="4A268801">
            <w:pPr>
              <w:pStyle w:val="14"/>
              <w:rPr>
                <w:color w:val="auto"/>
                <w:highlight w:val="none"/>
              </w:rPr>
            </w:pPr>
          </w:p>
        </w:tc>
        <w:tc>
          <w:tcPr>
            <w:tcW w:w="930" w:type="dxa"/>
            <w:vAlign w:val="top"/>
          </w:tcPr>
          <w:p w14:paraId="53D94B5E">
            <w:pPr>
              <w:pStyle w:val="14"/>
              <w:rPr>
                <w:color w:val="auto"/>
                <w:highlight w:val="none"/>
              </w:rPr>
            </w:pPr>
          </w:p>
        </w:tc>
        <w:tc>
          <w:tcPr>
            <w:tcW w:w="931" w:type="dxa"/>
            <w:vAlign w:val="top"/>
          </w:tcPr>
          <w:p w14:paraId="2B154954">
            <w:pPr>
              <w:pStyle w:val="14"/>
              <w:rPr>
                <w:color w:val="auto"/>
                <w:highlight w:val="none"/>
              </w:rPr>
            </w:pPr>
          </w:p>
        </w:tc>
        <w:tc>
          <w:tcPr>
            <w:tcW w:w="900" w:type="dxa"/>
            <w:vAlign w:val="top"/>
          </w:tcPr>
          <w:p w14:paraId="3D6D0D79">
            <w:pPr>
              <w:pStyle w:val="14"/>
              <w:rPr>
                <w:color w:val="auto"/>
                <w:highlight w:val="none"/>
              </w:rPr>
            </w:pPr>
          </w:p>
        </w:tc>
        <w:tc>
          <w:tcPr>
            <w:tcW w:w="1065" w:type="dxa"/>
            <w:vAlign w:val="top"/>
          </w:tcPr>
          <w:p w14:paraId="03E321C6">
            <w:pPr>
              <w:pStyle w:val="14"/>
              <w:rPr>
                <w:color w:val="auto"/>
                <w:highlight w:val="none"/>
              </w:rPr>
            </w:pPr>
          </w:p>
        </w:tc>
        <w:tc>
          <w:tcPr>
            <w:tcW w:w="854" w:type="dxa"/>
            <w:vAlign w:val="top"/>
          </w:tcPr>
          <w:p w14:paraId="5AE2E71E">
            <w:pPr>
              <w:pStyle w:val="14"/>
              <w:rPr>
                <w:color w:val="auto"/>
                <w:highlight w:val="none"/>
              </w:rPr>
            </w:pPr>
          </w:p>
        </w:tc>
        <w:tc>
          <w:tcPr>
            <w:tcW w:w="1201" w:type="dxa"/>
            <w:vAlign w:val="top"/>
          </w:tcPr>
          <w:p w14:paraId="2BAED4DD">
            <w:pPr>
              <w:pStyle w:val="14"/>
              <w:rPr>
                <w:color w:val="auto"/>
                <w:highlight w:val="none"/>
              </w:rPr>
            </w:pPr>
          </w:p>
        </w:tc>
        <w:tc>
          <w:tcPr>
            <w:tcW w:w="846" w:type="dxa"/>
            <w:vAlign w:val="top"/>
          </w:tcPr>
          <w:p w14:paraId="76C70D2F">
            <w:pPr>
              <w:pStyle w:val="14"/>
              <w:rPr>
                <w:color w:val="auto"/>
                <w:highlight w:val="none"/>
              </w:rPr>
            </w:pPr>
          </w:p>
        </w:tc>
        <w:tc>
          <w:tcPr>
            <w:tcW w:w="916" w:type="dxa"/>
            <w:vAlign w:val="top"/>
          </w:tcPr>
          <w:p w14:paraId="21A9FFC7">
            <w:pPr>
              <w:pStyle w:val="14"/>
              <w:rPr>
                <w:color w:val="auto"/>
                <w:highlight w:val="none"/>
              </w:rPr>
            </w:pPr>
          </w:p>
        </w:tc>
        <w:tc>
          <w:tcPr>
            <w:tcW w:w="1142" w:type="dxa"/>
            <w:vAlign w:val="top"/>
          </w:tcPr>
          <w:p w14:paraId="1D86FD72">
            <w:pPr>
              <w:pStyle w:val="14"/>
              <w:rPr>
                <w:color w:val="auto"/>
                <w:highlight w:val="none"/>
              </w:rPr>
            </w:pPr>
          </w:p>
        </w:tc>
        <w:tc>
          <w:tcPr>
            <w:tcW w:w="1142" w:type="dxa"/>
            <w:vAlign w:val="top"/>
          </w:tcPr>
          <w:p w14:paraId="2B29CCCD">
            <w:pPr>
              <w:pStyle w:val="14"/>
              <w:rPr>
                <w:color w:val="auto"/>
                <w:highlight w:val="none"/>
              </w:rPr>
            </w:pPr>
          </w:p>
        </w:tc>
        <w:tc>
          <w:tcPr>
            <w:tcW w:w="2777" w:type="dxa"/>
            <w:vAlign w:val="top"/>
          </w:tcPr>
          <w:p w14:paraId="1BB865CB">
            <w:pPr>
              <w:pStyle w:val="14"/>
              <w:rPr>
                <w:color w:val="auto"/>
                <w:highlight w:val="none"/>
              </w:rPr>
            </w:pPr>
          </w:p>
        </w:tc>
      </w:tr>
      <w:tr w14:paraId="5FAEC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5A50F718">
            <w:pPr>
              <w:spacing w:before="169" w:line="178" w:lineRule="auto"/>
              <w:ind w:left="267"/>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5</w:t>
            </w:r>
          </w:p>
        </w:tc>
        <w:tc>
          <w:tcPr>
            <w:tcW w:w="831" w:type="dxa"/>
            <w:vAlign w:val="top"/>
          </w:tcPr>
          <w:p w14:paraId="72EBD55F">
            <w:pPr>
              <w:pStyle w:val="14"/>
              <w:rPr>
                <w:color w:val="auto"/>
                <w:highlight w:val="none"/>
              </w:rPr>
            </w:pPr>
          </w:p>
        </w:tc>
        <w:tc>
          <w:tcPr>
            <w:tcW w:w="930" w:type="dxa"/>
            <w:vAlign w:val="top"/>
          </w:tcPr>
          <w:p w14:paraId="5AFD026E">
            <w:pPr>
              <w:pStyle w:val="14"/>
              <w:rPr>
                <w:color w:val="auto"/>
                <w:highlight w:val="none"/>
              </w:rPr>
            </w:pPr>
          </w:p>
        </w:tc>
        <w:tc>
          <w:tcPr>
            <w:tcW w:w="931" w:type="dxa"/>
            <w:vAlign w:val="top"/>
          </w:tcPr>
          <w:p w14:paraId="3196DFE3">
            <w:pPr>
              <w:pStyle w:val="14"/>
              <w:rPr>
                <w:color w:val="auto"/>
                <w:highlight w:val="none"/>
              </w:rPr>
            </w:pPr>
          </w:p>
        </w:tc>
        <w:tc>
          <w:tcPr>
            <w:tcW w:w="900" w:type="dxa"/>
            <w:vAlign w:val="top"/>
          </w:tcPr>
          <w:p w14:paraId="316F5285">
            <w:pPr>
              <w:pStyle w:val="14"/>
              <w:rPr>
                <w:color w:val="auto"/>
                <w:highlight w:val="none"/>
              </w:rPr>
            </w:pPr>
          </w:p>
        </w:tc>
        <w:tc>
          <w:tcPr>
            <w:tcW w:w="1065" w:type="dxa"/>
            <w:vAlign w:val="top"/>
          </w:tcPr>
          <w:p w14:paraId="17005C8D">
            <w:pPr>
              <w:pStyle w:val="14"/>
              <w:rPr>
                <w:color w:val="auto"/>
                <w:highlight w:val="none"/>
              </w:rPr>
            </w:pPr>
          </w:p>
        </w:tc>
        <w:tc>
          <w:tcPr>
            <w:tcW w:w="854" w:type="dxa"/>
            <w:vAlign w:val="top"/>
          </w:tcPr>
          <w:p w14:paraId="7A032967">
            <w:pPr>
              <w:pStyle w:val="14"/>
              <w:rPr>
                <w:color w:val="auto"/>
                <w:highlight w:val="none"/>
              </w:rPr>
            </w:pPr>
          </w:p>
        </w:tc>
        <w:tc>
          <w:tcPr>
            <w:tcW w:w="1201" w:type="dxa"/>
            <w:vAlign w:val="top"/>
          </w:tcPr>
          <w:p w14:paraId="1E05E784">
            <w:pPr>
              <w:pStyle w:val="14"/>
              <w:rPr>
                <w:color w:val="auto"/>
                <w:highlight w:val="none"/>
              </w:rPr>
            </w:pPr>
          </w:p>
        </w:tc>
        <w:tc>
          <w:tcPr>
            <w:tcW w:w="846" w:type="dxa"/>
            <w:vAlign w:val="top"/>
          </w:tcPr>
          <w:p w14:paraId="29A71B08">
            <w:pPr>
              <w:pStyle w:val="14"/>
              <w:rPr>
                <w:color w:val="auto"/>
                <w:highlight w:val="none"/>
              </w:rPr>
            </w:pPr>
          </w:p>
        </w:tc>
        <w:tc>
          <w:tcPr>
            <w:tcW w:w="916" w:type="dxa"/>
            <w:vAlign w:val="top"/>
          </w:tcPr>
          <w:p w14:paraId="4C27689D">
            <w:pPr>
              <w:pStyle w:val="14"/>
              <w:rPr>
                <w:color w:val="auto"/>
                <w:highlight w:val="none"/>
              </w:rPr>
            </w:pPr>
          </w:p>
        </w:tc>
        <w:tc>
          <w:tcPr>
            <w:tcW w:w="1142" w:type="dxa"/>
            <w:vAlign w:val="top"/>
          </w:tcPr>
          <w:p w14:paraId="5D1ADE48">
            <w:pPr>
              <w:pStyle w:val="14"/>
              <w:rPr>
                <w:color w:val="auto"/>
                <w:highlight w:val="none"/>
              </w:rPr>
            </w:pPr>
          </w:p>
        </w:tc>
        <w:tc>
          <w:tcPr>
            <w:tcW w:w="1142" w:type="dxa"/>
            <w:vAlign w:val="top"/>
          </w:tcPr>
          <w:p w14:paraId="53DCF41F">
            <w:pPr>
              <w:pStyle w:val="14"/>
              <w:rPr>
                <w:color w:val="auto"/>
                <w:highlight w:val="none"/>
              </w:rPr>
            </w:pPr>
          </w:p>
        </w:tc>
        <w:tc>
          <w:tcPr>
            <w:tcW w:w="2777" w:type="dxa"/>
            <w:vAlign w:val="top"/>
          </w:tcPr>
          <w:p w14:paraId="1DEDAA4D">
            <w:pPr>
              <w:pStyle w:val="14"/>
              <w:rPr>
                <w:color w:val="auto"/>
                <w:highlight w:val="none"/>
              </w:rPr>
            </w:pPr>
          </w:p>
        </w:tc>
      </w:tr>
      <w:tr w14:paraId="0C3C3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65CCDA3D">
            <w:pPr>
              <w:spacing w:before="168"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6</w:t>
            </w:r>
          </w:p>
        </w:tc>
        <w:tc>
          <w:tcPr>
            <w:tcW w:w="831" w:type="dxa"/>
            <w:vAlign w:val="top"/>
          </w:tcPr>
          <w:p w14:paraId="356C4F27">
            <w:pPr>
              <w:pStyle w:val="14"/>
              <w:rPr>
                <w:color w:val="auto"/>
                <w:highlight w:val="none"/>
              </w:rPr>
            </w:pPr>
          </w:p>
        </w:tc>
        <w:tc>
          <w:tcPr>
            <w:tcW w:w="930" w:type="dxa"/>
            <w:vAlign w:val="top"/>
          </w:tcPr>
          <w:p w14:paraId="20E46D5F">
            <w:pPr>
              <w:pStyle w:val="14"/>
              <w:rPr>
                <w:color w:val="auto"/>
                <w:highlight w:val="none"/>
              </w:rPr>
            </w:pPr>
          </w:p>
        </w:tc>
        <w:tc>
          <w:tcPr>
            <w:tcW w:w="931" w:type="dxa"/>
            <w:vAlign w:val="top"/>
          </w:tcPr>
          <w:p w14:paraId="7FD9DEE8">
            <w:pPr>
              <w:pStyle w:val="14"/>
              <w:rPr>
                <w:color w:val="auto"/>
                <w:highlight w:val="none"/>
              </w:rPr>
            </w:pPr>
          </w:p>
        </w:tc>
        <w:tc>
          <w:tcPr>
            <w:tcW w:w="900" w:type="dxa"/>
            <w:vAlign w:val="top"/>
          </w:tcPr>
          <w:p w14:paraId="1A4B06B5">
            <w:pPr>
              <w:pStyle w:val="14"/>
              <w:rPr>
                <w:color w:val="auto"/>
                <w:highlight w:val="none"/>
              </w:rPr>
            </w:pPr>
          </w:p>
        </w:tc>
        <w:tc>
          <w:tcPr>
            <w:tcW w:w="1065" w:type="dxa"/>
            <w:vAlign w:val="top"/>
          </w:tcPr>
          <w:p w14:paraId="01802E4B">
            <w:pPr>
              <w:pStyle w:val="14"/>
              <w:rPr>
                <w:color w:val="auto"/>
                <w:highlight w:val="none"/>
              </w:rPr>
            </w:pPr>
          </w:p>
        </w:tc>
        <w:tc>
          <w:tcPr>
            <w:tcW w:w="854" w:type="dxa"/>
            <w:vAlign w:val="top"/>
          </w:tcPr>
          <w:p w14:paraId="3682BF4C">
            <w:pPr>
              <w:pStyle w:val="14"/>
              <w:rPr>
                <w:color w:val="auto"/>
                <w:highlight w:val="none"/>
              </w:rPr>
            </w:pPr>
          </w:p>
        </w:tc>
        <w:tc>
          <w:tcPr>
            <w:tcW w:w="1201" w:type="dxa"/>
            <w:vAlign w:val="top"/>
          </w:tcPr>
          <w:p w14:paraId="2C5DE5F5">
            <w:pPr>
              <w:pStyle w:val="14"/>
              <w:rPr>
                <w:color w:val="auto"/>
                <w:highlight w:val="none"/>
              </w:rPr>
            </w:pPr>
          </w:p>
        </w:tc>
        <w:tc>
          <w:tcPr>
            <w:tcW w:w="846" w:type="dxa"/>
            <w:vAlign w:val="top"/>
          </w:tcPr>
          <w:p w14:paraId="62919FA5">
            <w:pPr>
              <w:pStyle w:val="14"/>
              <w:rPr>
                <w:color w:val="auto"/>
                <w:highlight w:val="none"/>
              </w:rPr>
            </w:pPr>
          </w:p>
        </w:tc>
        <w:tc>
          <w:tcPr>
            <w:tcW w:w="916" w:type="dxa"/>
            <w:vAlign w:val="top"/>
          </w:tcPr>
          <w:p w14:paraId="7897E886">
            <w:pPr>
              <w:pStyle w:val="14"/>
              <w:rPr>
                <w:color w:val="auto"/>
                <w:highlight w:val="none"/>
              </w:rPr>
            </w:pPr>
          </w:p>
        </w:tc>
        <w:tc>
          <w:tcPr>
            <w:tcW w:w="1142" w:type="dxa"/>
            <w:vAlign w:val="top"/>
          </w:tcPr>
          <w:p w14:paraId="08E95D6F">
            <w:pPr>
              <w:pStyle w:val="14"/>
              <w:rPr>
                <w:color w:val="auto"/>
                <w:highlight w:val="none"/>
              </w:rPr>
            </w:pPr>
          </w:p>
        </w:tc>
        <w:tc>
          <w:tcPr>
            <w:tcW w:w="1142" w:type="dxa"/>
            <w:vAlign w:val="top"/>
          </w:tcPr>
          <w:p w14:paraId="568F1EB9">
            <w:pPr>
              <w:pStyle w:val="14"/>
              <w:rPr>
                <w:color w:val="auto"/>
                <w:highlight w:val="none"/>
              </w:rPr>
            </w:pPr>
          </w:p>
        </w:tc>
        <w:tc>
          <w:tcPr>
            <w:tcW w:w="2777" w:type="dxa"/>
            <w:vAlign w:val="top"/>
          </w:tcPr>
          <w:p w14:paraId="1BB2AA25">
            <w:pPr>
              <w:pStyle w:val="14"/>
              <w:rPr>
                <w:color w:val="auto"/>
                <w:highlight w:val="none"/>
              </w:rPr>
            </w:pPr>
          </w:p>
        </w:tc>
      </w:tr>
      <w:tr w14:paraId="621BC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0D235815">
            <w:pPr>
              <w:spacing w:before="171" w:line="178" w:lineRule="auto"/>
              <w:ind w:left="261"/>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7</w:t>
            </w:r>
          </w:p>
        </w:tc>
        <w:tc>
          <w:tcPr>
            <w:tcW w:w="831" w:type="dxa"/>
            <w:vAlign w:val="top"/>
          </w:tcPr>
          <w:p w14:paraId="0E34DC40">
            <w:pPr>
              <w:pStyle w:val="14"/>
              <w:rPr>
                <w:color w:val="auto"/>
                <w:highlight w:val="none"/>
              </w:rPr>
            </w:pPr>
          </w:p>
        </w:tc>
        <w:tc>
          <w:tcPr>
            <w:tcW w:w="930" w:type="dxa"/>
            <w:vAlign w:val="top"/>
          </w:tcPr>
          <w:p w14:paraId="38BBD0CB">
            <w:pPr>
              <w:pStyle w:val="14"/>
              <w:rPr>
                <w:color w:val="auto"/>
                <w:highlight w:val="none"/>
              </w:rPr>
            </w:pPr>
          </w:p>
        </w:tc>
        <w:tc>
          <w:tcPr>
            <w:tcW w:w="931" w:type="dxa"/>
            <w:vAlign w:val="top"/>
          </w:tcPr>
          <w:p w14:paraId="18B9804A">
            <w:pPr>
              <w:pStyle w:val="14"/>
              <w:rPr>
                <w:color w:val="auto"/>
                <w:highlight w:val="none"/>
              </w:rPr>
            </w:pPr>
          </w:p>
        </w:tc>
        <w:tc>
          <w:tcPr>
            <w:tcW w:w="900" w:type="dxa"/>
            <w:vAlign w:val="top"/>
          </w:tcPr>
          <w:p w14:paraId="51523B2F">
            <w:pPr>
              <w:pStyle w:val="14"/>
              <w:rPr>
                <w:color w:val="auto"/>
                <w:highlight w:val="none"/>
              </w:rPr>
            </w:pPr>
          </w:p>
        </w:tc>
        <w:tc>
          <w:tcPr>
            <w:tcW w:w="1065" w:type="dxa"/>
            <w:vAlign w:val="top"/>
          </w:tcPr>
          <w:p w14:paraId="48FBAB26">
            <w:pPr>
              <w:pStyle w:val="14"/>
              <w:rPr>
                <w:color w:val="auto"/>
                <w:highlight w:val="none"/>
              </w:rPr>
            </w:pPr>
          </w:p>
        </w:tc>
        <w:tc>
          <w:tcPr>
            <w:tcW w:w="854" w:type="dxa"/>
            <w:vAlign w:val="top"/>
          </w:tcPr>
          <w:p w14:paraId="1E4B69C7">
            <w:pPr>
              <w:pStyle w:val="14"/>
              <w:rPr>
                <w:color w:val="auto"/>
                <w:highlight w:val="none"/>
              </w:rPr>
            </w:pPr>
          </w:p>
        </w:tc>
        <w:tc>
          <w:tcPr>
            <w:tcW w:w="1201" w:type="dxa"/>
            <w:vAlign w:val="top"/>
          </w:tcPr>
          <w:p w14:paraId="2736E7A4">
            <w:pPr>
              <w:pStyle w:val="14"/>
              <w:rPr>
                <w:color w:val="auto"/>
                <w:highlight w:val="none"/>
              </w:rPr>
            </w:pPr>
          </w:p>
        </w:tc>
        <w:tc>
          <w:tcPr>
            <w:tcW w:w="846" w:type="dxa"/>
            <w:vAlign w:val="top"/>
          </w:tcPr>
          <w:p w14:paraId="03665C29">
            <w:pPr>
              <w:pStyle w:val="14"/>
              <w:rPr>
                <w:color w:val="auto"/>
                <w:highlight w:val="none"/>
              </w:rPr>
            </w:pPr>
          </w:p>
        </w:tc>
        <w:tc>
          <w:tcPr>
            <w:tcW w:w="916" w:type="dxa"/>
            <w:vAlign w:val="top"/>
          </w:tcPr>
          <w:p w14:paraId="77FDF304">
            <w:pPr>
              <w:pStyle w:val="14"/>
              <w:rPr>
                <w:color w:val="auto"/>
                <w:highlight w:val="none"/>
              </w:rPr>
            </w:pPr>
          </w:p>
        </w:tc>
        <w:tc>
          <w:tcPr>
            <w:tcW w:w="1142" w:type="dxa"/>
            <w:vAlign w:val="top"/>
          </w:tcPr>
          <w:p w14:paraId="3335B326">
            <w:pPr>
              <w:pStyle w:val="14"/>
              <w:rPr>
                <w:color w:val="auto"/>
                <w:highlight w:val="none"/>
              </w:rPr>
            </w:pPr>
          </w:p>
        </w:tc>
        <w:tc>
          <w:tcPr>
            <w:tcW w:w="1142" w:type="dxa"/>
            <w:vAlign w:val="top"/>
          </w:tcPr>
          <w:p w14:paraId="2D6029B4">
            <w:pPr>
              <w:pStyle w:val="14"/>
              <w:rPr>
                <w:color w:val="auto"/>
                <w:highlight w:val="none"/>
              </w:rPr>
            </w:pPr>
          </w:p>
        </w:tc>
        <w:tc>
          <w:tcPr>
            <w:tcW w:w="2777" w:type="dxa"/>
            <w:vAlign w:val="top"/>
          </w:tcPr>
          <w:p w14:paraId="6D1DDF3C">
            <w:pPr>
              <w:pStyle w:val="14"/>
              <w:rPr>
                <w:color w:val="auto"/>
                <w:highlight w:val="none"/>
              </w:rPr>
            </w:pPr>
          </w:p>
        </w:tc>
      </w:tr>
      <w:tr w14:paraId="523F7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659E7CAF">
            <w:pPr>
              <w:spacing w:before="290" w:line="99" w:lineRule="exact"/>
              <w:ind w:left="249"/>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2"/>
                <w:position w:val="2"/>
                <w:sz w:val="17"/>
                <w:szCs w:val="17"/>
                <w:highlight w:val="none"/>
              </w:rPr>
              <w:t>...</w:t>
            </w:r>
          </w:p>
        </w:tc>
        <w:tc>
          <w:tcPr>
            <w:tcW w:w="831" w:type="dxa"/>
            <w:vAlign w:val="top"/>
          </w:tcPr>
          <w:p w14:paraId="13C37C3D">
            <w:pPr>
              <w:pStyle w:val="14"/>
              <w:rPr>
                <w:color w:val="auto"/>
                <w:highlight w:val="none"/>
              </w:rPr>
            </w:pPr>
          </w:p>
        </w:tc>
        <w:tc>
          <w:tcPr>
            <w:tcW w:w="930" w:type="dxa"/>
            <w:vAlign w:val="top"/>
          </w:tcPr>
          <w:p w14:paraId="5E236A37">
            <w:pPr>
              <w:pStyle w:val="14"/>
              <w:rPr>
                <w:color w:val="auto"/>
                <w:highlight w:val="none"/>
              </w:rPr>
            </w:pPr>
          </w:p>
        </w:tc>
        <w:tc>
          <w:tcPr>
            <w:tcW w:w="931" w:type="dxa"/>
            <w:vAlign w:val="top"/>
          </w:tcPr>
          <w:p w14:paraId="55068E97">
            <w:pPr>
              <w:pStyle w:val="14"/>
              <w:rPr>
                <w:color w:val="auto"/>
                <w:highlight w:val="none"/>
              </w:rPr>
            </w:pPr>
          </w:p>
        </w:tc>
        <w:tc>
          <w:tcPr>
            <w:tcW w:w="900" w:type="dxa"/>
            <w:vAlign w:val="top"/>
          </w:tcPr>
          <w:p w14:paraId="494359BF">
            <w:pPr>
              <w:pStyle w:val="14"/>
              <w:rPr>
                <w:color w:val="auto"/>
                <w:highlight w:val="none"/>
              </w:rPr>
            </w:pPr>
          </w:p>
        </w:tc>
        <w:tc>
          <w:tcPr>
            <w:tcW w:w="1065" w:type="dxa"/>
            <w:vAlign w:val="top"/>
          </w:tcPr>
          <w:p w14:paraId="1144E89E">
            <w:pPr>
              <w:pStyle w:val="14"/>
              <w:rPr>
                <w:color w:val="auto"/>
                <w:highlight w:val="none"/>
              </w:rPr>
            </w:pPr>
          </w:p>
        </w:tc>
        <w:tc>
          <w:tcPr>
            <w:tcW w:w="854" w:type="dxa"/>
            <w:vAlign w:val="top"/>
          </w:tcPr>
          <w:p w14:paraId="4D3654EA">
            <w:pPr>
              <w:pStyle w:val="14"/>
              <w:rPr>
                <w:color w:val="auto"/>
                <w:highlight w:val="none"/>
              </w:rPr>
            </w:pPr>
          </w:p>
        </w:tc>
        <w:tc>
          <w:tcPr>
            <w:tcW w:w="1201" w:type="dxa"/>
            <w:vAlign w:val="top"/>
          </w:tcPr>
          <w:p w14:paraId="2B91DCDA">
            <w:pPr>
              <w:pStyle w:val="14"/>
              <w:rPr>
                <w:color w:val="auto"/>
                <w:highlight w:val="none"/>
              </w:rPr>
            </w:pPr>
          </w:p>
        </w:tc>
        <w:tc>
          <w:tcPr>
            <w:tcW w:w="846" w:type="dxa"/>
            <w:vAlign w:val="top"/>
          </w:tcPr>
          <w:p w14:paraId="669B39C6">
            <w:pPr>
              <w:pStyle w:val="14"/>
              <w:rPr>
                <w:color w:val="auto"/>
                <w:highlight w:val="none"/>
              </w:rPr>
            </w:pPr>
          </w:p>
        </w:tc>
        <w:tc>
          <w:tcPr>
            <w:tcW w:w="916" w:type="dxa"/>
            <w:vAlign w:val="top"/>
          </w:tcPr>
          <w:p w14:paraId="4C1E8908">
            <w:pPr>
              <w:pStyle w:val="14"/>
              <w:rPr>
                <w:color w:val="auto"/>
                <w:highlight w:val="none"/>
              </w:rPr>
            </w:pPr>
          </w:p>
        </w:tc>
        <w:tc>
          <w:tcPr>
            <w:tcW w:w="1142" w:type="dxa"/>
            <w:vAlign w:val="top"/>
          </w:tcPr>
          <w:p w14:paraId="2C2A654C">
            <w:pPr>
              <w:pStyle w:val="14"/>
              <w:rPr>
                <w:color w:val="auto"/>
                <w:highlight w:val="none"/>
              </w:rPr>
            </w:pPr>
          </w:p>
        </w:tc>
        <w:tc>
          <w:tcPr>
            <w:tcW w:w="1142" w:type="dxa"/>
            <w:vAlign w:val="top"/>
          </w:tcPr>
          <w:p w14:paraId="6DBD8BC6">
            <w:pPr>
              <w:pStyle w:val="14"/>
              <w:rPr>
                <w:color w:val="auto"/>
                <w:highlight w:val="none"/>
              </w:rPr>
            </w:pPr>
          </w:p>
        </w:tc>
        <w:tc>
          <w:tcPr>
            <w:tcW w:w="2777" w:type="dxa"/>
            <w:vAlign w:val="top"/>
          </w:tcPr>
          <w:p w14:paraId="43E19070">
            <w:pPr>
              <w:pStyle w:val="14"/>
              <w:rPr>
                <w:color w:val="auto"/>
                <w:highlight w:val="none"/>
              </w:rPr>
            </w:pPr>
          </w:p>
        </w:tc>
      </w:tr>
      <w:tr w14:paraId="05A51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172C21AA">
            <w:pPr>
              <w:pStyle w:val="14"/>
              <w:rPr>
                <w:color w:val="auto"/>
                <w:highlight w:val="none"/>
              </w:rPr>
            </w:pPr>
          </w:p>
        </w:tc>
        <w:tc>
          <w:tcPr>
            <w:tcW w:w="831" w:type="dxa"/>
            <w:vAlign w:val="top"/>
          </w:tcPr>
          <w:p w14:paraId="29382D81">
            <w:pPr>
              <w:pStyle w:val="14"/>
              <w:rPr>
                <w:color w:val="auto"/>
                <w:highlight w:val="none"/>
              </w:rPr>
            </w:pPr>
          </w:p>
        </w:tc>
        <w:tc>
          <w:tcPr>
            <w:tcW w:w="930" w:type="dxa"/>
            <w:vAlign w:val="top"/>
          </w:tcPr>
          <w:p w14:paraId="1142D8D7">
            <w:pPr>
              <w:pStyle w:val="14"/>
              <w:rPr>
                <w:color w:val="auto"/>
                <w:highlight w:val="none"/>
              </w:rPr>
            </w:pPr>
          </w:p>
        </w:tc>
        <w:tc>
          <w:tcPr>
            <w:tcW w:w="931" w:type="dxa"/>
            <w:vAlign w:val="top"/>
          </w:tcPr>
          <w:p w14:paraId="1161C1C1">
            <w:pPr>
              <w:pStyle w:val="14"/>
              <w:rPr>
                <w:color w:val="auto"/>
                <w:highlight w:val="none"/>
              </w:rPr>
            </w:pPr>
          </w:p>
        </w:tc>
        <w:tc>
          <w:tcPr>
            <w:tcW w:w="900" w:type="dxa"/>
            <w:vAlign w:val="top"/>
          </w:tcPr>
          <w:p w14:paraId="2B120C79">
            <w:pPr>
              <w:pStyle w:val="14"/>
              <w:rPr>
                <w:color w:val="auto"/>
                <w:highlight w:val="none"/>
              </w:rPr>
            </w:pPr>
          </w:p>
        </w:tc>
        <w:tc>
          <w:tcPr>
            <w:tcW w:w="1065" w:type="dxa"/>
            <w:vAlign w:val="top"/>
          </w:tcPr>
          <w:p w14:paraId="23134B72">
            <w:pPr>
              <w:pStyle w:val="14"/>
              <w:rPr>
                <w:color w:val="auto"/>
                <w:highlight w:val="none"/>
              </w:rPr>
            </w:pPr>
          </w:p>
        </w:tc>
        <w:tc>
          <w:tcPr>
            <w:tcW w:w="854" w:type="dxa"/>
            <w:vAlign w:val="top"/>
          </w:tcPr>
          <w:p w14:paraId="1B2E058F">
            <w:pPr>
              <w:pStyle w:val="14"/>
              <w:rPr>
                <w:color w:val="auto"/>
                <w:highlight w:val="none"/>
              </w:rPr>
            </w:pPr>
          </w:p>
        </w:tc>
        <w:tc>
          <w:tcPr>
            <w:tcW w:w="1201" w:type="dxa"/>
            <w:vAlign w:val="top"/>
          </w:tcPr>
          <w:p w14:paraId="59B46839">
            <w:pPr>
              <w:pStyle w:val="14"/>
              <w:rPr>
                <w:color w:val="auto"/>
                <w:highlight w:val="none"/>
              </w:rPr>
            </w:pPr>
          </w:p>
        </w:tc>
        <w:tc>
          <w:tcPr>
            <w:tcW w:w="846" w:type="dxa"/>
            <w:vAlign w:val="top"/>
          </w:tcPr>
          <w:p w14:paraId="2EABE091">
            <w:pPr>
              <w:pStyle w:val="14"/>
              <w:rPr>
                <w:color w:val="auto"/>
                <w:highlight w:val="none"/>
              </w:rPr>
            </w:pPr>
          </w:p>
        </w:tc>
        <w:tc>
          <w:tcPr>
            <w:tcW w:w="916" w:type="dxa"/>
            <w:vAlign w:val="top"/>
          </w:tcPr>
          <w:p w14:paraId="11338BC0">
            <w:pPr>
              <w:pStyle w:val="14"/>
              <w:rPr>
                <w:color w:val="auto"/>
                <w:highlight w:val="none"/>
              </w:rPr>
            </w:pPr>
          </w:p>
        </w:tc>
        <w:tc>
          <w:tcPr>
            <w:tcW w:w="1142" w:type="dxa"/>
            <w:vAlign w:val="top"/>
          </w:tcPr>
          <w:p w14:paraId="31964B58">
            <w:pPr>
              <w:pStyle w:val="14"/>
              <w:rPr>
                <w:color w:val="auto"/>
                <w:highlight w:val="none"/>
              </w:rPr>
            </w:pPr>
          </w:p>
        </w:tc>
        <w:tc>
          <w:tcPr>
            <w:tcW w:w="1142" w:type="dxa"/>
            <w:vAlign w:val="top"/>
          </w:tcPr>
          <w:p w14:paraId="6CE1DE36">
            <w:pPr>
              <w:pStyle w:val="14"/>
              <w:rPr>
                <w:color w:val="auto"/>
                <w:highlight w:val="none"/>
              </w:rPr>
            </w:pPr>
          </w:p>
        </w:tc>
        <w:tc>
          <w:tcPr>
            <w:tcW w:w="2777" w:type="dxa"/>
            <w:vAlign w:val="top"/>
          </w:tcPr>
          <w:p w14:paraId="25D9AB71">
            <w:pPr>
              <w:pStyle w:val="14"/>
              <w:rPr>
                <w:color w:val="auto"/>
                <w:highlight w:val="none"/>
              </w:rPr>
            </w:pPr>
          </w:p>
        </w:tc>
      </w:tr>
      <w:tr w14:paraId="1F5FF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07" w:type="dxa"/>
            <w:vAlign w:val="top"/>
          </w:tcPr>
          <w:p w14:paraId="2BE14185">
            <w:pPr>
              <w:spacing w:before="158" w:line="190" w:lineRule="auto"/>
              <w:ind w:left="124"/>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合计</w:t>
            </w:r>
          </w:p>
        </w:tc>
        <w:tc>
          <w:tcPr>
            <w:tcW w:w="831" w:type="dxa"/>
            <w:vAlign w:val="top"/>
          </w:tcPr>
          <w:p w14:paraId="3CBCBB20">
            <w:pPr>
              <w:pStyle w:val="14"/>
              <w:rPr>
                <w:color w:val="auto"/>
                <w:highlight w:val="none"/>
              </w:rPr>
            </w:pPr>
          </w:p>
        </w:tc>
        <w:tc>
          <w:tcPr>
            <w:tcW w:w="930" w:type="dxa"/>
            <w:vAlign w:val="top"/>
          </w:tcPr>
          <w:p w14:paraId="72687C10">
            <w:pPr>
              <w:pStyle w:val="14"/>
              <w:rPr>
                <w:color w:val="auto"/>
                <w:highlight w:val="none"/>
              </w:rPr>
            </w:pPr>
          </w:p>
        </w:tc>
        <w:tc>
          <w:tcPr>
            <w:tcW w:w="931" w:type="dxa"/>
            <w:vAlign w:val="top"/>
          </w:tcPr>
          <w:p w14:paraId="25A5AB58">
            <w:pPr>
              <w:pStyle w:val="14"/>
              <w:rPr>
                <w:color w:val="auto"/>
                <w:highlight w:val="none"/>
              </w:rPr>
            </w:pPr>
          </w:p>
        </w:tc>
        <w:tc>
          <w:tcPr>
            <w:tcW w:w="900" w:type="dxa"/>
            <w:vAlign w:val="top"/>
          </w:tcPr>
          <w:p w14:paraId="25366B2A">
            <w:pPr>
              <w:pStyle w:val="14"/>
              <w:rPr>
                <w:color w:val="auto"/>
                <w:highlight w:val="none"/>
              </w:rPr>
            </w:pPr>
          </w:p>
        </w:tc>
        <w:tc>
          <w:tcPr>
            <w:tcW w:w="1065" w:type="dxa"/>
            <w:vAlign w:val="top"/>
          </w:tcPr>
          <w:p w14:paraId="7FB7920B">
            <w:pPr>
              <w:pStyle w:val="14"/>
              <w:rPr>
                <w:color w:val="auto"/>
                <w:highlight w:val="none"/>
              </w:rPr>
            </w:pPr>
          </w:p>
        </w:tc>
        <w:tc>
          <w:tcPr>
            <w:tcW w:w="854" w:type="dxa"/>
            <w:vAlign w:val="top"/>
          </w:tcPr>
          <w:p w14:paraId="0B977208">
            <w:pPr>
              <w:pStyle w:val="14"/>
              <w:rPr>
                <w:color w:val="auto"/>
                <w:highlight w:val="none"/>
              </w:rPr>
            </w:pPr>
          </w:p>
        </w:tc>
        <w:tc>
          <w:tcPr>
            <w:tcW w:w="1201" w:type="dxa"/>
            <w:vAlign w:val="top"/>
          </w:tcPr>
          <w:p w14:paraId="251783F8">
            <w:pPr>
              <w:pStyle w:val="14"/>
              <w:rPr>
                <w:color w:val="auto"/>
                <w:highlight w:val="none"/>
              </w:rPr>
            </w:pPr>
          </w:p>
        </w:tc>
        <w:tc>
          <w:tcPr>
            <w:tcW w:w="846" w:type="dxa"/>
            <w:vAlign w:val="top"/>
          </w:tcPr>
          <w:p w14:paraId="6D8636A9">
            <w:pPr>
              <w:pStyle w:val="14"/>
              <w:rPr>
                <w:color w:val="auto"/>
                <w:highlight w:val="none"/>
              </w:rPr>
            </w:pPr>
          </w:p>
        </w:tc>
        <w:tc>
          <w:tcPr>
            <w:tcW w:w="916" w:type="dxa"/>
            <w:vAlign w:val="top"/>
          </w:tcPr>
          <w:p w14:paraId="301EEA4A">
            <w:pPr>
              <w:pStyle w:val="14"/>
              <w:rPr>
                <w:color w:val="auto"/>
                <w:highlight w:val="none"/>
              </w:rPr>
            </w:pPr>
          </w:p>
        </w:tc>
        <w:tc>
          <w:tcPr>
            <w:tcW w:w="1142" w:type="dxa"/>
            <w:vAlign w:val="top"/>
          </w:tcPr>
          <w:p w14:paraId="3D412DAC">
            <w:pPr>
              <w:pStyle w:val="14"/>
              <w:rPr>
                <w:color w:val="auto"/>
                <w:highlight w:val="none"/>
              </w:rPr>
            </w:pPr>
          </w:p>
        </w:tc>
        <w:tc>
          <w:tcPr>
            <w:tcW w:w="1142" w:type="dxa"/>
            <w:vAlign w:val="top"/>
          </w:tcPr>
          <w:p w14:paraId="4CDB559B">
            <w:pPr>
              <w:pStyle w:val="14"/>
              <w:rPr>
                <w:color w:val="auto"/>
                <w:highlight w:val="none"/>
              </w:rPr>
            </w:pPr>
          </w:p>
        </w:tc>
        <w:tc>
          <w:tcPr>
            <w:tcW w:w="2777" w:type="dxa"/>
            <w:vAlign w:val="top"/>
          </w:tcPr>
          <w:p w14:paraId="1189FCF8">
            <w:pPr>
              <w:pStyle w:val="14"/>
              <w:rPr>
                <w:color w:val="auto"/>
                <w:highlight w:val="none"/>
              </w:rPr>
            </w:pPr>
          </w:p>
        </w:tc>
      </w:tr>
    </w:tbl>
    <w:p w14:paraId="6FF9BCF9">
      <w:pPr>
        <w:pStyle w:val="3"/>
        <w:spacing w:before="46" w:line="534" w:lineRule="exact"/>
        <w:ind w:left="68"/>
        <w:rPr>
          <w:rFonts w:hint="default" w:ascii="宋体" w:hAnsi="宋体" w:eastAsia="宋体" w:cs="宋体"/>
          <w:color w:val="auto"/>
          <w:spacing w:val="8"/>
          <w:position w:val="10"/>
          <w:sz w:val="20"/>
          <w:szCs w:val="20"/>
          <w:highlight w:val="none"/>
          <w:lang w:val="en-US" w:eastAsia="zh-CN"/>
        </w:rPr>
      </w:pPr>
      <w:r>
        <w:rPr>
          <w:rFonts w:hint="eastAsia" w:ascii="宋体" w:hAnsi="宋体" w:eastAsia="宋体" w:cs="宋体"/>
          <w:color w:val="auto"/>
          <w:spacing w:val="3"/>
          <w:position w:val="29"/>
          <w:sz w:val="18"/>
          <w:szCs w:val="18"/>
          <w:highlight w:val="none"/>
        </w:rPr>
        <w:t>说明：供应商根据对账需求可增加表头内容，不得删减表头内</w:t>
      </w:r>
      <w:r>
        <w:rPr>
          <w:rFonts w:hint="eastAsia" w:ascii="宋体" w:hAnsi="宋体" w:eastAsia="宋体" w:cs="宋体"/>
          <w:color w:val="auto"/>
          <w:spacing w:val="2"/>
          <w:position w:val="29"/>
          <w:sz w:val="18"/>
          <w:szCs w:val="18"/>
          <w:highlight w:val="none"/>
        </w:rPr>
        <w:t>容。</w:t>
      </w:r>
    </w:p>
    <w:p w14:paraId="378B6E54">
      <w:pPr>
        <w:spacing w:line="480" w:lineRule="auto"/>
        <w:jc w:val="both"/>
        <w:rPr>
          <w:rFonts w:hint="eastAsia" w:ascii="宋体" w:hAnsi="宋体" w:eastAsia="宋体" w:cs="宋体"/>
          <w:color w:val="auto"/>
          <w:spacing w:val="-5"/>
          <w:position w:val="-1"/>
          <w:sz w:val="24"/>
          <w:szCs w:val="24"/>
          <w:highlight w:val="none"/>
          <w:lang w:val="en-US" w:eastAsia="zh-CN"/>
        </w:rPr>
      </w:pPr>
      <w:r>
        <w:rPr>
          <w:rFonts w:hint="eastAsia" w:ascii="宋体" w:hAnsi="宋体" w:eastAsia="宋体" w:cs="宋体"/>
          <w:color w:val="auto"/>
          <w:spacing w:val="-5"/>
          <w:position w:val="-1"/>
          <w:sz w:val="24"/>
          <w:szCs w:val="24"/>
          <w:highlight w:val="none"/>
          <w:lang w:val="en-US" w:eastAsia="zh-CN"/>
        </w:rPr>
        <w:t>收货单位对账人员签收</w:t>
      </w:r>
      <w:r>
        <w:rPr>
          <w:rFonts w:hint="eastAsia" w:ascii="宋体" w:hAnsi="宋体" w:cs="宋体"/>
          <w:color w:val="auto"/>
          <w:spacing w:val="-5"/>
          <w:position w:val="-1"/>
          <w:sz w:val="24"/>
          <w:szCs w:val="24"/>
          <w:highlight w:val="none"/>
          <w:lang w:val="en-US" w:eastAsia="zh-CN"/>
        </w:rPr>
        <w:t xml:space="preserve">：                                                             </w:t>
      </w:r>
      <w:r>
        <w:rPr>
          <w:rFonts w:hint="eastAsia" w:ascii="宋体" w:hAnsi="宋体" w:eastAsia="宋体" w:cs="宋体"/>
          <w:color w:val="auto"/>
          <w:spacing w:val="8"/>
          <w:position w:val="-1"/>
          <w:sz w:val="24"/>
          <w:szCs w:val="24"/>
          <w:highlight w:val="none"/>
        </w:rPr>
        <w:t>供货单位签章</w:t>
      </w:r>
      <w:r>
        <w:rPr>
          <w:rFonts w:hint="eastAsia" w:ascii="宋体" w:hAnsi="宋体" w:cs="宋体"/>
          <w:color w:val="auto"/>
          <w:spacing w:val="8"/>
          <w:position w:val="-1"/>
          <w:sz w:val="24"/>
          <w:szCs w:val="24"/>
          <w:highlight w:val="none"/>
          <w:lang w:eastAsia="zh-CN"/>
        </w:rPr>
        <w:t>：</w:t>
      </w:r>
    </w:p>
    <w:p w14:paraId="3A12B153">
      <w:pPr>
        <w:spacing w:line="480" w:lineRule="auto"/>
        <w:jc w:val="both"/>
        <w:rPr>
          <w:rFonts w:hint="eastAsia" w:ascii="仿宋" w:hAnsi="仿宋" w:eastAsia="仿宋" w:cs="仿宋"/>
          <w:b/>
          <w:bCs/>
          <w:color w:val="auto"/>
          <w:sz w:val="44"/>
          <w:szCs w:val="44"/>
          <w:highlight w:val="none"/>
          <w:lang w:val="en-US" w:eastAsia="zh-CN"/>
        </w:rPr>
      </w:pPr>
      <w:r>
        <w:rPr>
          <w:rFonts w:hint="eastAsia" w:ascii="宋体" w:hAnsi="宋体" w:eastAsia="宋体" w:cs="宋体"/>
          <w:color w:val="auto"/>
          <w:spacing w:val="-5"/>
          <w:position w:val="-1"/>
          <w:sz w:val="24"/>
          <w:szCs w:val="24"/>
          <w:highlight w:val="none"/>
          <w:lang w:val="en-US" w:eastAsia="zh-CN"/>
        </w:rPr>
        <w:t>日期:</w:t>
      </w:r>
      <w:r>
        <w:rPr>
          <w:rFonts w:hint="eastAsia" w:ascii="宋体" w:hAnsi="宋体" w:cs="宋体"/>
          <w:color w:val="auto"/>
          <w:spacing w:val="-5"/>
          <w:position w:val="-1"/>
          <w:sz w:val="24"/>
          <w:szCs w:val="24"/>
          <w:highlight w:val="none"/>
          <w:lang w:val="en-US" w:eastAsia="zh-CN"/>
        </w:rPr>
        <w:t xml:space="preserve">                                                                              日期：</w:t>
      </w:r>
    </w:p>
    <w:p w14:paraId="4EF44B84">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sectPr>
          <w:pgSz w:w="16838" w:h="11906" w:orient="landscape"/>
          <w:pgMar w:top="850" w:right="1134" w:bottom="850" w:left="567"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7C667BBF">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附件六</w:t>
      </w:r>
    </w:p>
    <w:p w14:paraId="7D12064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sz w:val="40"/>
          <w:szCs w:val="36"/>
          <w:highlight w:val="none"/>
          <w:lang w:val="en-US" w:eastAsia="zh-CN"/>
        </w:rPr>
      </w:pPr>
    </w:p>
    <w:p w14:paraId="2383682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0"/>
          <w:szCs w:val="36"/>
          <w:highlight w:val="none"/>
          <w:lang w:val="en-US" w:eastAsia="zh-CN"/>
        </w:rPr>
      </w:pPr>
    </w:p>
    <w:p w14:paraId="4CCA578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甲方项目章样式</w:t>
      </w:r>
    </w:p>
    <w:p w14:paraId="5504591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0"/>
          <w:szCs w:val="36"/>
          <w:highlight w:val="none"/>
          <w:lang w:val="en-US" w:eastAsia="zh-CN"/>
        </w:rPr>
        <w:drawing>
          <wp:inline distT="0" distB="0" distL="114300" distR="114300">
            <wp:extent cx="4476750" cy="3238500"/>
            <wp:effectExtent l="0" t="0" r="0" b="0"/>
            <wp:docPr id="4" name="图片 1" descr="171980288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719802889972"/>
                    <pic:cNvPicPr>
                      <a:picLocks noChangeAspect="1"/>
                    </pic:cNvPicPr>
                  </pic:nvPicPr>
                  <pic:blipFill>
                    <a:blip r:embed="rId8"/>
                    <a:stretch>
                      <a:fillRect/>
                    </a:stretch>
                  </pic:blipFill>
                  <pic:spPr>
                    <a:xfrm>
                      <a:off x="0" y="0"/>
                      <a:ext cx="4476750" cy="3238500"/>
                    </a:xfrm>
                    <a:prstGeom prst="rect">
                      <a:avLst/>
                    </a:prstGeom>
                    <a:noFill/>
                    <a:ln>
                      <a:noFill/>
                    </a:ln>
                  </pic:spPr>
                </pic:pic>
              </a:graphicData>
            </a:graphic>
          </wp:inline>
        </w:drawing>
      </w:r>
    </w:p>
    <w:p w14:paraId="1FCCD6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6F57A22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0B01E4C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1026DD9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042DC70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2E1B9DD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4C8EB2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7A9AE914">
      <w:pPr>
        <w:jc w:val="right"/>
        <w:rPr>
          <w:rFonts w:hint="default" w:eastAsia="宋体"/>
          <w:color w:val="auto"/>
          <w:sz w:val="36"/>
          <w:szCs w:val="36"/>
          <w:highlight w:val="yellow"/>
          <w:lang w:val="en-US" w:eastAsia="zh-CN"/>
        </w:rPr>
      </w:pPr>
      <w:r>
        <w:rPr>
          <w:rFonts w:hint="eastAsia"/>
          <w:color w:val="auto"/>
          <w:sz w:val="36"/>
          <w:szCs w:val="36"/>
          <w:highlight w:val="none"/>
          <w:lang w:val="en-US" w:eastAsia="zh-CN"/>
        </w:rPr>
        <w:t>附件七</w:t>
      </w:r>
    </w:p>
    <w:p w14:paraId="3C37F532">
      <w:pPr>
        <w:jc w:val="center"/>
        <w:rPr>
          <w:color w:val="auto"/>
        </w:rPr>
      </w:pPr>
      <w:r>
        <w:rPr>
          <w:color w:val="auto"/>
          <w:sz w:val="44"/>
        </w:rPr>
        <mc:AlternateContent>
          <mc:Choice Requires="wps">
            <w:drawing>
              <wp:anchor distT="0" distB="0" distL="114300" distR="114300" simplePos="0" relativeHeight="251662336" behindDoc="0" locked="0" layoutInCell="1" allowOverlap="1">
                <wp:simplePos x="0" y="0"/>
                <wp:positionH relativeFrom="column">
                  <wp:posOffset>8208645</wp:posOffset>
                </wp:positionH>
                <wp:positionV relativeFrom="paragraph">
                  <wp:posOffset>407035</wp:posOffset>
                </wp:positionV>
                <wp:extent cx="1208405" cy="3600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08405" cy="360045"/>
                        </a:xfrm>
                        <a:prstGeom prst="rect">
                          <a:avLst/>
                        </a:prstGeom>
                        <a:noFill/>
                        <a:ln w="6350">
                          <a:noFill/>
                        </a:ln>
                        <a:effectLst/>
                      </wps:spPr>
                      <wps:txbx>
                        <w:txbxContent>
                          <w:p w14:paraId="449AD431">
                            <w:pPr>
                              <w:rPr>
                                <w:b/>
                                <w:bCs/>
                                <w:sz w:val="30"/>
                                <w:szCs w:val="30"/>
                              </w:rPr>
                            </w:pPr>
                            <w:r>
                              <w:rPr>
                                <w:rFonts w:hint="eastAsia"/>
                                <w:b/>
                                <w:bCs/>
                                <w:sz w:val="30"/>
                                <w:szCs w:val="30"/>
                              </w:rPr>
                              <w:t>No.0000001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6.35pt;margin-top:32.05pt;height:28.35pt;width:95.15pt;z-index:251662336;mso-width-relative:page;mso-height-relative:page;" filled="f" stroked="f" coordsize="21600,21600" o:gfxdata="UEsDBAoAAAAAAIdO4kAAAAAAAAAAAAAAAAAEAAAAZHJzL1BLAwQUAAAACACHTuJA/MpncNsAAAAM&#10;AQAADwAAAGRycy9kb3ducmV2LnhtbE2PzU7DMBCE70i8g7VI3KidUNoQ4lQoUoWE4NDSS29OvE0i&#10;7HWI3R94epwTHEczmvmmWF2sYSccfe9IQjITwJAap3tqJew+1ncZMB8UaWUcoYRv9LAqr68KlWt3&#10;pg2etqFlsYR8riR0IQw5577p0Co/cwNS9A5utCpEObZcj+ocy63hqRALblVPcaFTA1YdNp/bo5Xw&#10;Wq3f1aZObfZjqpe3w/Pwtds/SHl7k4gnYAEv4S8ME35EhzIy1e5I2jMTdfqYLmNWwmKeAJsS8+w+&#10;3qsnT2TAy4L/P1H+AlBLAwQUAAAACACHTuJAgKdBfUECAAB0BAAADgAAAGRycy9lMm9Eb2MueG1s&#10;rVTBjtMwEL0j8Q+W7zRpty1L1XRVtipCWrErFcTZdewmku0xttukfAD8AScu3Pmufgdjp+1WC4c9&#10;cHHGnvGbeW/Gmd60WpGdcL4GU9B+L6dEGA5lbTYF/fRx+eqaEh+YKZkCIwq6F57ezF6+mDZ2IgZQ&#10;gSqFIwhi/KSxBa1CsJMs87wSmvkeWGHQKcFpFnDrNlnpWIPoWmWDPB9nDbjSOuDCezxddE56RHTP&#10;AQQpay4WwLdamNChOqFYQEq+qq2ns1StlIKHeym9CEQVFJmGtGIStNdxzWZTNtk4ZquaH0tgzynh&#10;CSfNaoNJz1ALFhjZuvovKF1zBx5k6HHQWUckKYIs+vkTbVYVsyJxQam9PYvu/x8s/7B7cKQuCzqi&#10;xDCNDT/8+H74+fvw6xsZRXka6ycYtbIYF9q30OLQnM49HkbWrXQ6fpEPQT+Kuz+LK9pAeLw0yK+H&#10;OWbh6Lsa5/kwwWePt63z4Z0ATaJRUIfNS5qy3Z0PWAmGnkJiMgPLWqnUQGVIU9Dx1ShPF84evKFM&#10;jBVpFI4wkVFXebRCu26PNNdQ7pGlg25MvOXLGku5Yz48MIdzgcTw5YR7XKQCTAlHi5IK3Nd/ncd4&#10;bBd6KWlwzgrqv2yZE5So9wYb+aY/HMbBTJvh6PUAN+7Ss770mK2+BRzlPr5Ry5MZ44M6mdKB/owP&#10;bB6zoosZjrkLGk7mbeimHx8oF/N5CsJRtCzcmZXlEboTd74NIOuke5Sp0wabEDc4jKkdx4cTp/1y&#10;n6Iefxa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zKZ3DbAAAADAEAAA8AAAAAAAAAAQAgAAAA&#10;IgAAAGRycy9kb3ducmV2LnhtbFBLAQIUABQAAAAIAIdO4kCAp0F9QQIAAHQEAAAOAAAAAAAAAAEA&#10;IAAAACoBAABkcnMvZTJvRG9jLnhtbFBLBQYAAAAABgAGAFkBAADdBQAAAAA=&#10;">
                <v:fill on="f" focussize="0,0"/>
                <v:stroke on="f" weight="0.5pt"/>
                <v:imagedata o:title=""/>
                <o:lock v:ext="edit" aspectratio="f"/>
                <v:textbox>
                  <w:txbxContent>
                    <w:p w14:paraId="449AD431">
                      <w:pPr>
                        <w:rPr>
                          <w:b/>
                          <w:bCs/>
                          <w:sz w:val="30"/>
                          <w:szCs w:val="30"/>
                        </w:rPr>
                      </w:pPr>
                      <w:r>
                        <w:rPr>
                          <w:rFonts w:hint="eastAsia"/>
                          <w:b/>
                          <w:bCs/>
                          <w:sz w:val="30"/>
                          <w:szCs w:val="30"/>
                        </w:rPr>
                        <w:t>No.0000001</w:t>
                      </w:r>
                    </w:p>
                  </w:txbxContent>
                </v:textbox>
              </v:shape>
            </w:pict>
          </mc:Fallback>
        </mc:AlternateContent>
      </w:r>
      <w:r>
        <w:rPr>
          <w:rFonts w:hint="eastAsia"/>
          <w:color w:val="auto"/>
          <w:sz w:val="44"/>
          <w:szCs w:val="44"/>
        </w:rPr>
        <w:drawing>
          <wp:inline distT="0" distB="0" distL="114300" distR="114300">
            <wp:extent cx="5977255" cy="673735"/>
            <wp:effectExtent l="0" t="0" r="4445" b="12065"/>
            <wp:docPr id="6" name="图片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1"/>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977255" cy="673735"/>
                    </a:xfrm>
                    <a:prstGeom prst="rect">
                      <a:avLst/>
                    </a:prstGeom>
                  </pic:spPr>
                </pic:pic>
              </a:graphicData>
            </a:graphic>
          </wp:inline>
        </w:drawing>
      </w:r>
    </w:p>
    <w:p w14:paraId="3BD8961F">
      <w:pPr>
        <w:spacing w:line="480" w:lineRule="exact"/>
        <w:jc w:val="center"/>
        <w:rPr>
          <w:color w:val="auto"/>
          <w:sz w:val="36"/>
          <w:szCs w:val="36"/>
        </w:rPr>
      </w:pPr>
      <w:r>
        <w:rPr>
          <w:rFonts w:hint="eastAsia"/>
          <w:color w:val="auto"/>
          <w:sz w:val="36"/>
          <w:szCs w:val="36"/>
        </w:rPr>
        <w:t>物 料 申 购 单</w:t>
      </w:r>
    </w:p>
    <w:p w14:paraId="55160861">
      <w:pPr>
        <w:jc w:val="left"/>
        <w:rPr>
          <w:color w:val="auto"/>
        </w:rPr>
      </w:pPr>
      <w:r>
        <w:rPr>
          <w:rFonts w:hint="eastAsia"/>
          <w:color w:val="auto"/>
        </w:rPr>
        <w:t xml:space="preserve">工程名称：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日 期 ：</w:t>
      </w:r>
      <w:r>
        <w:rPr>
          <w:rFonts w:hint="eastAsia"/>
          <w:color w:val="auto"/>
          <w:lang w:val="en-US" w:eastAsia="zh-CN"/>
        </w:rPr>
        <w:t xml:space="preserve">202 </w:t>
      </w:r>
      <w:r>
        <w:rPr>
          <w:rFonts w:hint="eastAsia"/>
          <w:color w:val="auto"/>
        </w:rPr>
        <w:t xml:space="preserve">年 </w:t>
      </w:r>
      <w:r>
        <w:rPr>
          <w:rFonts w:hint="eastAsia"/>
          <w:color w:val="auto"/>
          <w:lang w:val="en-US" w:eastAsia="zh-CN"/>
        </w:rPr>
        <w:t xml:space="preserve"> </w:t>
      </w:r>
      <w:r>
        <w:rPr>
          <w:rFonts w:hint="eastAsia"/>
          <w:color w:val="auto"/>
        </w:rPr>
        <w:t xml:space="preserve">月  日 </w:t>
      </w:r>
      <w:r>
        <w:rPr>
          <w:rFonts w:hint="eastAsia"/>
          <w:color w:val="auto"/>
          <w:lang w:val="en-US" w:eastAsia="zh-CN"/>
        </w:rPr>
        <w:t xml:space="preserve">             </w:t>
      </w:r>
      <w:r>
        <w:rPr>
          <w:rFonts w:hint="eastAsia"/>
          <w:color w:val="auto"/>
        </w:rPr>
        <w:t>第</w:t>
      </w:r>
      <w:r>
        <w:rPr>
          <w:rFonts w:hint="eastAsia"/>
          <w:color w:val="auto"/>
          <w:lang w:val="en-US" w:eastAsia="zh-CN"/>
        </w:rPr>
        <w:t xml:space="preserve">   </w:t>
      </w:r>
      <w:r>
        <w:rPr>
          <w:rFonts w:hint="eastAsia"/>
          <w:color w:val="auto"/>
        </w:rPr>
        <w:t xml:space="preserve">页                              </w:t>
      </w:r>
    </w:p>
    <w:tbl>
      <w:tblPr>
        <w:tblStyle w:val="10"/>
        <w:tblpPr w:leftFromText="180" w:rightFromText="180" w:vertAnchor="text" w:horzAnchor="page" w:tblpX="8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2174"/>
      </w:tblGrid>
      <w:tr w14:paraId="7344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vAlign w:val="center"/>
          </w:tcPr>
          <w:p w14:paraId="2D3368C9">
            <w:pPr>
              <w:jc w:val="center"/>
              <w:rPr>
                <w:rFonts w:eastAsiaTheme="minorEastAsia"/>
                <w:color w:val="auto"/>
              </w:rPr>
            </w:pPr>
            <w:r>
              <w:rPr>
                <w:rFonts w:hint="eastAsia"/>
                <w:color w:val="auto"/>
              </w:rPr>
              <w:t>序号</w:t>
            </w:r>
          </w:p>
        </w:tc>
        <w:tc>
          <w:tcPr>
            <w:tcW w:w="2603" w:type="dxa"/>
            <w:vAlign w:val="center"/>
          </w:tcPr>
          <w:p w14:paraId="0F673096">
            <w:pPr>
              <w:jc w:val="center"/>
              <w:rPr>
                <w:color w:val="auto"/>
              </w:rPr>
            </w:pPr>
            <w:r>
              <w:rPr>
                <w:rFonts w:hint="eastAsia"/>
                <w:color w:val="auto"/>
              </w:rPr>
              <w:t>材料名称/规格</w:t>
            </w:r>
          </w:p>
        </w:tc>
        <w:tc>
          <w:tcPr>
            <w:tcW w:w="1560" w:type="dxa"/>
            <w:vAlign w:val="center"/>
          </w:tcPr>
          <w:p w14:paraId="67C3F057">
            <w:pPr>
              <w:jc w:val="center"/>
              <w:rPr>
                <w:color w:val="auto"/>
              </w:rPr>
            </w:pPr>
            <w:r>
              <w:rPr>
                <w:rFonts w:hint="eastAsia"/>
                <w:color w:val="auto"/>
              </w:rPr>
              <w:t>数量/单位</w:t>
            </w:r>
          </w:p>
        </w:tc>
        <w:tc>
          <w:tcPr>
            <w:tcW w:w="1335" w:type="dxa"/>
            <w:vAlign w:val="center"/>
          </w:tcPr>
          <w:p w14:paraId="0AB3F358">
            <w:pPr>
              <w:jc w:val="center"/>
              <w:rPr>
                <w:color w:val="auto"/>
              </w:rPr>
            </w:pPr>
            <w:r>
              <w:rPr>
                <w:rFonts w:hint="eastAsia"/>
                <w:color w:val="auto"/>
              </w:rPr>
              <w:t>到货日期</w:t>
            </w:r>
          </w:p>
        </w:tc>
        <w:tc>
          <w:tcPr>
            <w:tcW w:w="1515" w:type="dxa"/>
            <w:vAlign w:val="center"/>
          </w:tcPr>
          <w:p w14:paraId="7FD38CD7">
            <w:pPr>
              <w:jc w:val="center"/>
              <w:rPr>
                <w:color w:val="auto"/>
              </w:rPr>
            </w:pPr>
            <w:r>
              <w:rPr>
                <w:rFonts w:hint="eastAsia"/>
                <w:color w:val="auto"/>
              </w:rPr>
              <w:t>质量要求</w:t>
            </w:r>
          </w:p>
        </w:tc>
        <w:tc>
          <w:tcPr>
            <w:tcW w:w="2174" w:type="dxa"/>
            <w:vAlign w:val="center"/>
          </w:tcPr>
          <w:p w14:paraId="4DB2D45B">
            <w:pPr>
              <w:jc w:val="center"/>
              <w:rPr>
                <w:color w:val="auto"/>
              </w:rPr>
            </w:pPr>
            <w:r>
              <w:rPr>
                <w:rFonts w:hint="eastAsia"/>
                <w:color w:val="auto"/>
              </w:rPr>
              <w:t>用途等备注</w:t>
            </w:r>
          </w:p>
        </w:tc>
      </w:tr>
      <w:tr w14:paraId="546E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045D1746">
            <w:pPr>
              <w:jc w:val="center"/>
              <w:rPr>
                <w:rFonts w:hint="eastAsia" w:eastAsia="宋体"/>
                <w:color w:val="auto"/>
                <w:lang w:val="en-US" w:eastAsia="zh-CN"/>
              </w:rPr>
            </w:pPr>
            <w:r>
              <w:rPr>
                <w:rFonts w:hint="eastAsia"/>
                <w:color w:val="auto"/>
                <w:lang w:val="en-US" w:eastAsia="zh-CN"/>
              </w:rPr>
              <w:t>1</w:t>
            </w:r>
          </w:p>
        </w:tc>
        <w:tc>
          <w:tcPr>
            <w:tcW w:w="2603" w:type="dxa"/>
            <w:vAlign w:val="center"/>
          </w:tcPr>
          <w:p w14:paraId="0F98AEF6">
            <w:pPr>
              <w:tabs>
                <w:tab w:val="left" w:pos="910"/>
              </w:tabs>
              <w:jc w:val="center"/>
              <w:rPr>
                <w:rFonts w:hint="default" w:ascii="宋体" w:hAnsi="宋体" w:eastAsia="宋体" w:cs="宋体"/>
                <w:color w:val="auto"/>
                <w:kern w:val="2"/>
                <w:sz w:val="21"/>
                <w:szCs w:val="24"/>
                <w:lang w:val="en-US" w:eastAsia="zh-CN" w:bidi="ar-SA"/>
              </w:rPr>
            </w:pPr>
          </w:p>
        </w:tc>
        <w:tc>
          <w:tcPr>
            <w:tcW w:w="1560" w:type="dxa"/>
            <w:vAlign w:val="center"/>
          </w:tcPr>
          <w:p w14:paraId="47678031">
            <w:pPr>
              <w:jc w:val="center"/>
              <w:rPr>
                <w:rFonts w:hint="default" w:eastAsia="宋体"/>
                <w:color w:val="auto"/>
                <w:lang w:val="en-US" w:eastAsia="zh-CN"/>
              </w:rPr>
            </w:pPr>
          </w:p>
        </w:tc>
        <w:tc>
          <w:tcPr>
            <w:tcW w:w="1335" w:type="dxa"/>
            <w:vAlign w:val="center"/>
          </w:tcPr>
          <w:p w14:paraId="2C7D4C97">
            <w:pPr>
              <w:jc w:val="center"/>
              <w:rPr>
                <w:rFonts w:hint="default" w:eastAsia="宋体"/>
                <w:color w:val="auto"/>
                <w:lang w:val="en-US" w:eastAsia="zh-CN"/>
              </w:rPr>
            </w:pPr>
          </w:p>
        </w:tc>
        <w:tc>
          <w:tcPr>
            <w:tcW w:w="1515" w:type="dxa"/>
            <w:vAlign w:val="center"/>
          </w:tcPr>
          <w:p w14:paraId="53C0C68C">
            <w:pPr>
              <w:jc w:val="center"/>
              <w:rPr>
                <w:rFonts w:hint="default" w:eastAsia="宋体"/>
                <w:color w:val="auto"/>
                <w:lang w:val="en-US" w:eastAsia="zh-CN"/>
              </w:rPr>
            </w:pPr>
          </w:p>
        </w:tc>
        <w:tc>
          <w:tcPr>
            <w:tcW w:w="2174" w:type="dxa"/>
            <w:vMerge w:val="restart"/>
            <w:vAlign w:val="center"/>
          </w:tcPr>
          <w:p w14:paraId="4FBF91C1">
            <w:pPr>
              <w:jc w:val="both"/>
              <w:rPr>
                <w:rFonts w:hint="default" w:ascii="Calibri" w:hAnsi="Calibri" w:eastAsia="宋体" w:cs="宋体"/>
                <w:color w:val="auto"/>
                <w:kern w:val="2"/>
                <w:sz w:val="21"/>
                <w:szCs w:val="24"/>
                <w:lang w:val="en-US" w:eastAsia="zh-CN" w:bidi="ar-SA"/>
              </w:rPr>
            </w:pPr>
          </w:p>
        </w:tc>
      </w:tr>
      <w:tr w14:paraId="45A2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80" w:type="dxa"/>
            <w:vAlign w:val="center"/>
          </w:tcPr>
          <w:p w14:paraId="2BCD8DE8">
            <w:pPr>
              <w:jc w:val="center"/>
              <w:rPr>
                <w:rFonts w:hint="eastAsia" w:eastAsia="宋体"/>
                <w:color w:val="auto"/>
                <w:lang w:val="en-US" w:eastAsia="zh-CN"/>
              </w:rPr>
            </w:pPr>
            <w:r>
              <w:rPr>
                <w:rFonts w:hint="eastAsia"/>
                <w:color w:val="auto"/>
                <w:lang w:val="en-US" w:eastAsia="zh-CN"/>
              </w:rPr>
              <w:t>2</w:t>
            </w:r>
          </w:p>
        </w:tc>
        <w:tc>
          <w:tcPr>
            <w:tcW w:w="2603" w:type="dxa"/>
            <w:vAlign w:val="center"/>
          </w:tcPr>
          <w:p w14:paraId="27D871B0">
            <w:pPr>
              <w:jc w:val="center"/>
              <w:rPr>
                <w:rFonts w:hint="default" w:ascii="宋体" w:hAnsi="宋体" w:eastAsia="宋体" w:cs="宋体"/>
                <w:color w:val="auto"/>
                <w:kern w:val="2"/>
                <w:sz w:val="21"/>
                <w:szCs w:val="24"/>
                <w:lang w:val="en-US" w:eastAsia="zh-CN" w:bidi="ar-SA"/>
              </w:rPr>
            </w:pPr>
          </w:p>
        </w:tc>
        <w:tc>
          <w:tcPr>
            <w:tcW w:w="1560" w:type="dxa"/>
            <w:vAlign w:val="center"/>
          </w:tcPr>
          <w:p w14:paraId="19E71AAA">
            <w:pPr>
              <w:jc w:val="center"/>
              <w:rPr>
                <w:rFonts w:hint="default" w:eastAsia="宋体"/>
                <w:color w:val="auto"/>
                <w:lang w:val="en-US" w:eastAsia="zh-CN"/>
              </w:rPr>
            </w:pPr>
          </w:p>
        </w:tc>
        <w:tc>
          <w:tcPr>
            <w:tcW w:w="1335" w:type="dxa"/>
            <w:vAlign w:val="center"/>
          </w:tcPr>
          <w:p w14:paraId="477AE862">
            <w:pPr>
              <w:jc w:val="center"/>
              <w:rPr>
                <w:rFonts w:hint="default" w:eastAsia="宋体"/>
                <w:color w:val="auto"/>
                <w:lang w:val="en-US" w:eastAsia="zh-CN"/>
              </w:rPr>
            </w:pPr>
          </w:p>
        </w:tc>
        <w:tc>
          <w:tcPr>
            <w:tcW w:w="1515" w:type="dxa"/>
            <w:vAlign w:val="center"/>
          </w:tcPr>
          <w:p w14:paraId="4BE0DFF4">
            <w:pPr>
              <w:jc w:val="center"/>
              <w:rPr>
                <w:rFonts w:hint="eastAsia" w:eastAsia="宋体"/>
                <w:color w:val="auto"/>
                <w:lang w:eastAsia="zh-CN"/>
              </w:rPr>
            </w:pPr>
          </w:p>
        </w:tc>
        <w:tc>
          <w:tcPr>
            <w:tcW w:w="2174" w:type="dxa"/>
            <w:vMerge w:val="continue"/>
            <w:vAlign w:val="center"/>
          </w:tcPr>
          <w:p w14:paraId="27826503">
            <w:pPr>
              <w:jc w:val="center"/>
              <w:rPr>
                <w:rFonts w:hint="default" w:ascii="Calibri" w:hAnsi="Calibri" w:eastAsia="宋体" w:cs="宋体"/>
                <w:color w:val="auto"/>
                <w:kern w:val="2"/>
                <w:sz w:val="21"/>
                <w:szCs w:val="24"/>
                <w:lang w:val="en-US" w:eastAsia="zh-CN" w:bidi="ar-SA"/>
              </w:rPr>
            </w:pPr>
          </w:p>
        </w:tc>
      </w:tr>
      <w:tr w14:paraId="3930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67396A67">
            <w:pPr>
              <w:jc w:val="center"/>
              <w:rPr>
                <w:rFonts w:hint="eastAsia" w:eastAsia="宋体"/>
                <w:color w:val="auto"/>
                <w:lang w:val="en-US" w:eastAsia="zh-CN"/>
              </w:rPr>
            </w:pPr>
            <w:r>
              <w:rPr>
                <w:rFonts w:hint="eastAsia"/>
                <w:color w:val="auto"/>
                <w:lang w:val="en-US" w:eastAsia="zh-CN"/>
              </w:rPr>
              <w:t>3</w:t>
            </w:r>
          </w:p>
        </w:tc>
        <w:tc>
          <w:tcPr>
            <w:tcW w:w="2603" w:type="dxa"/>
            <w:vAlign w:val="center"/>
          </w:tcPr>
          <w:p w14:paraId="2D6C43E5">
            <w:pPr>
              <w:jc w:val="center"/>
              <w:rPr>
                <w:rFonts w:hint="default" w:ascii="宋体" w:hAnsi="宋体" w:eastAsia="宋体" w:cs="宋体"/>
                <w:color w:val="auto"/>
                <w:kern w:val="2"/>
                <w:sz w:val="21"/>
                <w:szCs w:val="24"/>
                <w:lang w:val="en-US" w:eastAsia="zh-CN" w:bidi="ar-SA"/>
              </w:rPr>
            </w:pPr>
          </w:p>
        </w:tc>
        <w:tc>
          <w:tcPr>
            <w:tcW w:w="1560" w:type="dxa"/>
            <w:vAlign w:val="center"/>
          </w:tcPr>
          <w:p w14:paraId="51D5EF7E">
            <w:pPr>
              <w:jc w:val="center"/>
              <w:rPr>
                <w:rFonts w:hint="default" w:eastAsia="宋体"/>
                <w:color w:val="auto"/>
                <w:lang w:val="en-US" w:eastAsia="zh-CN"/>
              </w:rPr>
            </w:pPr>
          </w:p>
        </w:tc>
        <w:tc>
          <w:tcPr>
            <w:tcW w:w="1335" w:type="dxa"/>
            <w:vAlign w:val="center"/>
          </w:tcPr>
          <w:p w14:paraId="050DAB8C">
            <w:pPr>
              <w:jc w:val="center"/>
              <w:rPr>
                <w:rFonts w:hint="default" w:ascii="Calibri" w:hAnsi="Calibri" w:eastAsia="宋体" w:cs="宋体"/>
                <w:color w:val="auto"/>
                <w:kern w:val="2"/>
                <w:sz w:val="21"/>
                <w:szCs w:val="24"/>
                <w:lang w:val="en-US" w:eastAsia="zh-CN" w:bidi="ar-SA"/>
              </w:rPr>
            </w:pPr>
          </w:p>
        </w:tc>
        <w:tc>
          <w:tcPr>
            <w:tcW w:w="1515" w:type="dxa"/>
            <w:vAlign w:val="center"/>
          </w:tcPr>
          <w:p w14:paraId="33FC6583">
            <w:pPr>
              <w:jc w:val="center"/>
              <w:rPr>
                <w:rFonts w:hint="eastAsia" w:eastAsia="宋体"/>
                <w:color w:val="auto"/>
                <w:lang w:val="en-US" w:eastAsia="zh-CN"/>
              </w:rPr>
            </w:pPr>
          </w:p>
        </w:tc>
        <w:tc>
          <w:tcPr>
            <w:tcW w:w="2174" w:type="dxa"/>
            <w:vMerge w:val="continue"/>
            <w:vAlign w:val="center"/>
          </w:tcPr>
          <w:p w14:paraId="2896F8FF">
            <w:pPr>
              <w:jc w:val="center"/>
              <w:rPr>
                <w:rFonts w:hint="default" w:ascii="Calibri" w:hAnsi="Calibri" w:eastAsia="宋体" w:cs="宋体"/>
                <w:color w:val="auto"/>
                <w:kern w:val="2"/>
                <w:sz w:val="21"/>
                <w:szCs w:val="24"/>
                <w:lang w:val="en-US" w:eastAsia="zh-CN" w:bidi="ar-SA"/>
              </w:rPr>
            </w:pPr>
          </w:p>
        </w:tc>
      </w:tr>
      <w:tr w14:paraId="5A22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0" w:type="dxa"/>
            <w:vAlign w:val="center"/>
          </w:tcPr>
          <w:p w14:paraId="096E87A2">
            <w:pPr>
              <w:jc w:val="center"/>
              <w:rPr>
                <w:rFonts w:hint="eastAsia" w:eastAsia="宋体"/>
                <w:color w:val="auto"/>
                <w:lang w:val="en-US" w:eastAsia="zh-CN"/>
              </w:rPr>
            </w:pPr>
            <w:r>
              <w:rPr>
                <w:rFonts w:hint="eastAsia"/>
                <w:color w:val="auto"/>
                <w:lang w:val="en-US" w:eastAsia="zh-CN"/>
              </w:rPr>
              <w:t>4</w:t>
            </w:r>
          </w:p>
        </w:tc>
        <w:tc>
          <w:tcPr>
            <w:tcW w:w="2603" w:type="dxa"/>
            <w:vAlign w:val="center"/>
          </w:tcPr>
          <w:p w14:paraId="0AE617C6">
            <w:pPr>
              <w:jc w:val="center"/>
              <w:rPr>
                <w:rFonts w:hint="default" w:ascii="宋体" w:hAnsi="宋体" w:eastAsia="宋体" w:cs="宋体"/>
                <w:color w:val="auto"/>
                <w:kern w:val="2"/>
                <w:sz w:val="21"/>
                <w:szCs w:val="24"/>
                <w:lang w:val="en-US" w:eastAsia="zh-CN" w:bidi="ar-SA"/>
              </w:rPr>
            </w:pPr>
          </w:p>
        </w:tc>
        <w:tc>
          <w:tcPr>
            <w:tcW w:w="1560" w:type="dxa"/>
            <w:vAlign w:val="center"/>
          </w:tcPr>
          <w:p w14:paraId="07150577">
            <w:pPr>
              <w:jc w:val="center"/>
              <w:rPr>
                <w:rFonts w:hint="default" w:ascii="Calibri" w:hAnsi="Calibri" w:eastAsia="宋体" w:cs="宋体"/>
                <w:color w:val="auto"/>
                <w:kern w:val="2"/>
                <w:sz w:val="21"/>
                <w:szCs w:val="24"/>
                <w:lang w:val="en-US" w:eastAsia="zh-CN" w:bidi="ar-SA"/>
              </w:rPr>
            </w:pPr>
          </w:p>
        </w:tc>
        <w:tc>
          <w:tcPr>
            <w:tcW w:w="1335" w:type="dxa"/>
            <w:vAlign w:val="center"/>
          </w:tcPr>
          <w:p w14:paraId="51470F62">
            <w:pPr>
              <w:jc w:val="center"/>
              <w:rPr>
                <w:rFonts w:hint="default" w:ascii="Calibri" w:hAnsi="Calibri" w:eastAsia="宋体" w:cs="宋体"/>
                <w:color w:val="auto"/>
                <w:kern w:val="2"/>
                <w:sz w:val="21"/>
                <w:szCs w:val="24"/>
                <w:lang w:val="en-US" w:eastAsia="zh-CN" w:bidi="ar-SA"/>
              </w:rPr>
            </w:pPr>
          </w:p>
        </w:tc>
        <w:tc>
          <w:tcPr>
            <w:tcW w:w="1515" w:type="dxa"/>
            <w:vAlign w:val="center"/>
          </w:tcPr>
          <w:p w14:paraId="6F286131">
            <w:pPr>
              <w:jc w:val="center"/>
              <w:rPr>
                <w:rFonts w:hint="eastAsia" w:eastAsia="宋体"/>
                <w:color w:val="auto"/>
                <w:lang w:eastAsia="zh-CN"/>
              </w:rPr>
            </w:pPr>
          </w:p>
        </w:tc>
        <w:tc>
          <w:tcPr>
            <w:tcW w:w="2174" w:type="dxa"/>
            <w:vMerge w:val="continue"/>
            <w:vAlign w:val="center"/>
          </w:tcPr>
          <w:p w14:paraId="311BB23A">
            <w:pPr>
              <w:jc w:val="center"/>
              <w:rPr>
                <w:rFonts w:hint="default" w:ascii="Calibri" w:hAnsi="Calibri" w:eastAsia="宋体" w:cs="宋体"/>
                <w:color w:val="auto"/>
                <w:kern w:val="2"/>
                <w:sz w:val="21"/>
                <w:szCs w:val="24"/>
                <w:lang w:val="en-US" w:eastAsia="zh-CN" w:bidi="ar-SA"/>
              </w:rPr>
            </w:pPr>
          </w:p>
        </w:tc>
      </w:tr>
      <w:tr w14:paraId="0286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0" w:type="dxa"/>
            <w:vAlign w:val="center"/>
          </w:tcPr>
          <w:p w14:paraId="7F44A1E3">
            <w:pPr>
              <w:jc w:val="center"/>
              <w:rPr>
                <w:rFonts w:hint="default"/>
                <w:color w:val="auto"/>
                <w:lang w:val="en-US" w:eastAsia="zh-CN"/>
              </w:rPr>
            </w:pPr>
            <w:r>
              <w:rPr>
                <w:rFonts w:hint="eastAsia"/>
                <w:color w:val="auto"/>
                <w:lang w:val="en-US" w:eastAsia="zh-CN"/>
              </w:rPr>
              <w:t>5</w:t>
            </w:r>
          </w:p>
        </w:tc>
        <w:tc>
          <w:tcPr>
            <w:tcW w:w="2603" w:type="dxa"/>
            <w:vAlign w:val="center"/>
          </w:tcPr>
          <w:p w14:paraId="2ABCEE19">
            <w:pPr>
              <w:jc w:val="center"/>
              <w:rPr>
                <w:rFonts w:hint="default" w:ascii="Calibri" w:hAnsi="Calibri" w:eastAsia="宋体" w:cs="Calibri"/>
                <w:color w:val="auto"/>
                <w:kern w:val="2"/>
                <w:sz w:val="21"/>
                <w:szCs w:val="24"/>
                <w:lang w:val="en-US" w:eastAsia="zh-CN" w:bidi="ar-SA"/>
              </w:rPr>
            </w:pPr>
          </w:p>
        </w:tc>
        <w:tc>
          <w:tcPr>
            <w:tcW w:w="1560" w:type="dxa"/>
            <w:vAlign w:val="center"/>
          </w:tcPr>
          <w:p w14:paraId="30D139B4">
            <w:pPr>
              <w:jc w:val="center"/>
              <w:rPr>
                <w:rFonts w:hint="eastAsia" w:ascii="Calibri" w:hAnsi="Calibri" w:eastAsia="宋体" w:cs="宋体"/>
                <w:color w:val="auto"/>
                <w:kern w:val="2"/>
                <w:sz w:val="21"/>
                <w:szCs w:val="24"/>
                <w:lang w:val="en-US" w:eastAsia="zh-CN" w:bidi="ar-SA"/>
              </w:rPr>
            </w:pPr>
          </w:p>
        </w:tc>
        <w:tc>
          <w:tcPr>
            <w:tcW w:w="1335" w:type="dxa"/>
            <w:vAlign w:val="center"/>
          </w:tcPr>
          <w:p w14:paraId="6CB7CFB7">
            <w:pPr>
              <w:jc w:val="center"/>
              <w:rPr>
                <w:rFonts w:hint="default" w:ascii="Calibri" w:hAnsi="Calibri" w:eastAsia="宋体" w:cs="宋体"/>
                <w:color w:val="auto"/>
                <w:kern w:val="2"/>
                <w:sz w:val="21"/>
                <w:szCs w:val="24"/>
                <w:lang w:val="en-US" w:eastAsia="zh-CN" w:bidi="ar-SA"/>
              </w:rPr>
            </w:pPr>
          </w:p>
        </w:tc>
        <w:tc>
          <w:tcPr>
            <w:tcW w:w="1515" w:type="dxa"/>
            <w:vAlign w:val="center"/>
          </w:tcPr>
          <w:p w14:paraId="39B619CF">
            <w:pPr>
              <w:jc w:val="center"/>
              <w:rPr>
                <w:rFonts w:hint="eastAsia" w:ascii="Calibri" w:hAnsi="Calibri" w:eastAsia="宋体" w:cs="宋体"/>
                <w:color w:val="auto"/>
                <w:kern w:val="2"/>
                <w:sz w:val="21"/>
                <w:szCs w:val="24"/>
                <w:lang w:val="en-US" w:eastAsia="zh-CN" w:bidi="ar-SA"/>
              </w:rPr>
            </w:pPr>
          </w:p>
        </w:tc>
        <w:tc>
          <w:tcPr>
            <w:tcW w:w="2174" w:type="dxa"/>
            <w:vMerge w:val="continue"/>
            <w:vAlign w:val="center"/>
          </w:tcPr>
          <w:p w14:paraId="59584047">
            <w:pPr>
              <w:jc w:val="center"/>
              <w:rPr>
                <w:rFonts w:hint="default" w:ascii="Calibri" w:hAnsi="Calibri" w:eastAsia="宋体" w:cs="宋体"/>
                <w:color w:val="auto"/>
                <w:kern w:val="2"/>
                <w:sz w:val="21"/>
                <w:szCs w:val="24"/>
                <w:lang w:val="en-US" w:eastAsia="zh-CN" w:bidi="ar-SA"/>
              </w:rPr>
            </w:pPr>
          </w:p>
        </w:tc>
      </w:tr>
      <w:tr w14:paraId="7545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80" w:type="dxa"/>
            <w:vAlign w:val="center"/>
          </w:tcPr>
          <w:p w14:paraId="1DCF052E">
            <w:pPr>
              <w:jc w:val="center"/>
              <w:rPr>
                <w:rFonts w:hint="default" w:eastAsia="宋体"/>
                <w:color w:val="auto"/>
                <w:lang w:val="en-US" w:eastAsia="zh-CN"/>
              </w:rPr>
            </w:pPr>
            <w:r>
              <w:rPr>
                <w:rFonts w:hint="eastAsia"/>
                <w:color w:val="auto"/>
                <w:lang w:val="en-US" w:eastAsia="zh-CN"/>
              </w:rPr>
              <w:t>6</w:t>
            </w:r>
          </w:p>
        </w:tc>
        <w:tc>
          <w:tcPr>
            <w:tcW w:w="2603" w:type="dxa"/>
            <w:vAlign w:val="center"/>
          </w:tcPr>
          <w:p w14:paraId="08BC6004">
            <w:pPr>
              <w:jc w:val="center"/>
              <w:rPr>
                <w:rFonts w:hint="default" w:ascii="宋体" w:hAnsi="宋体" w:eastAsia="宋体" w:cs="宋体"/>
                <w:color w:val="auto"/>
                <w:kern w:val="2"/>
                <w:sz w:val="21"/>
                <w:szCs w:val="24"/>
                <w:lang w:val="en-US" w:eastAsia="zh-CN" w:bidi="ar-SA"/>
              </w:rPr>
            </w:pPr>
          </w:p>
        </w:tc>
        <w:tc>
          <w:tcPr>
            <w:tcW w:w="1560" w:type="dxa"/>
            <w:vAlign w:val="center"/>
          </w:tcPr>
          <w:p w14:paraId="127D0117">
            <w:pPr>
              <w:jc w:val="center"/>
              <w:rPr>
                <w:rFonts w:hint="default" w:eastAsia="宋体"/>
                <w:color w:val="auto"/>
                <w:lang w:val="en-US" w:eastAsia="zh-CN"/>
              </w:rPr>
            </w:pPr>
          </w:p>
        </w:tc>
        <w:tc>
          <w:tcPr>
            <w:tcW w:w="1335" w:type="dxa"/>
            <w:vAlign w:val="center"/>
          </w:tcPr>
          <w:p w14:paraId="45BDCF3A">
            <w:pPr>
              <w:jc w:val="center"/>
              <w:rPr>
                <w:rFonts w:hint="eastAsia" w:ascii="Calibri" w:hAnsi="Calibri" w:eastAsia="宋体" w:cs="宋体"/>
                <w:color w:val="auto"/>
                <w:kern w:val="2"/>
                <w:sz w:val="21"/>
                <w:szCs w:val="24"/>
                <w:lang w:val="en-US" w:eastAsia="zh-CN" w:bidi="ar-SA"/>
              </w:rPr>
            </w:pPr>
          </w:p>
        </w:tc>
        <w:tc>
          <w:tcPr>
            <w:tcW w:w="1515" w:type="dxa"/>
            <w:vAlign w:val="center"/>
          </w:tcPr>
          <w:p w14:paraId="6A7DB780">
            <w:pPr>
              <w:jc w:val="center"/>
              <w:rPr>
                <w:rFonts w:hint="eastAsia" w:eastAsia="宋体"/>
                <w:color w:val="auto"/>
                <w:lang w:eastAsia="zh-CN"/>
              </w:rPr>
            </w:pPr>
          </w:p>
        </w:tc>
        <w:tc>
          <w:tcPr>
            <w:tcW w:w="2174" w:type="dxa"/>
            <w:vMerge w:val="restart"/>
            <w:vAlign w:val="center"/>
          </w:tcPr>
          <w:p w14:paraId="6A3479EB">
            <w:pPr>
              <w:jc w:val="center"/>
              <w:rPr>
                <w:rFonts w:hint="default" w:eastAsia="宋体"/>
                <w:color w:val="auto"/>
                <w:lang w:val="en-US" w:eastAsia="zh-CN"/>
              </w:rPr>
            </w:pPr>
          </w:p>
        </w:tc>
      </w:tr>
      <w:tr w14:paraId="590F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0A719E21">
            <w:pPr>
              <w:jc w:val="center"/>
              <w:rPr>
                <w:rFonts w:hint="default"/>
                <w:color w:val="auto"/>
                <w:lang w:val="en-US" w:eastAsia="zh-CN"/>
              </w:rPr>
            </w:pPr>
            <w:r>
              <w:rPr>
                <w:rFonts w:hint="eastAsia"/>
                <w:color w:val="auto"/>
                <w:lang w:val="en-US" w:eastAsia="zh-CN"/>
              </w:rPr>
              <w:t>7</w:t>
            </w:r>
          </w:p>
        </w:tc>
        <w:tc>
          <w:tcPr>
            <w:tcW w:w="2603" w:type="dxa"/>
            <w:vAlign w:val="center"/>
          </w:tcPr>
          <w:p w14:paraId="7EC6C69A">
            <w:pPr>
              <w:jc w:val="center"/>
              <w:rPr>
                <w:rFonts w:hint="default" w:eastAsia="宋体"/>
                <w:color w:val="auto"/>
                <w:lang w:val="en-US" w:eastAsia="zh-CN"/>
              </w:rPr>
            </w:pPr>
          </w:p>
        </w:tc>
        <w:tc>
          <w:tcPr>
            <w:tcW w:w="1560" w:type="dxa"/>
            <w:vAlign w:val="center"/>
          </w:tcPr>
          <w:p w14:paraId="1E4FC8E8">
            <w:pPr>
              <w:jc w:val="center"/>
              <w:rPr>
                <w:rFonts w:hint="default" w:eastAsia="宋体"/>
                <w:color w:val="auto"/>
                <w:lang w:val="en-US" w:eastAsia="zh-CN"/>
              </w:rPr>
            </w:pPr>
          </w:p>
        </w:tc>
        <w:tc>
          <w:tcPr>
            <w:tcW w:w="1335" w:type="dxa"/>
            <w:vAlign w:val="center"/>
          </w:tcPr>
          <w:p w14:paraId="24B60A37">
            <w:pPr>
              <w:jc w:val="center"/>
              <w:rPr>
                <w:rFonts w:hint="default" w:ascii="Calibri" w:hAnsi="Calibri" w:eastAsia="宋体" w:cs="宋体"/>
                <w:color w:val="auto"/>
                <w:kern w:val="2"/>
                <w:sz w:val="21"/>
                <w:szCs w:val="24"/>
                <w:lang w:val="en-US" w:eastAsia="zh-CN" w:bidi="ar-SA"/>
              </w:rPr>
            </w:pPr>
          </w:p>
        </w:tc>
        <w:tc>
          <w:tcPr>
            <w:tcW w:w="1515" w:type="dxa"/>
            <w:vAlign w:val="center"/>
          </w:tcPr>
          <w:p w14:paraId="6E86D1AA">
            <w:pPr>
              <w:jc w:val="center"/>
              <w:rPr>
                <w:rFonts w:hint="default" w:eastAsia="宋体"/>
                <w:color w:val="auto"/>
                <w:lang w:val="en-US" w:eastAsia="zh-CN"/>
              </w:rPr>
            </w:pPr>
          </w:p>
        </w:tc>
        <w:tc>
          <w:tcPr>
            <w:tcW w:w="2174" w:type="dxa"/>
            <w:vMerge w:val="continue"/>
            <w:vAlign w:val="center"/>
          </w:tcPr>
          <w:p w14:paraId="5457A373">
            <w:pPr>
              <w:jc w:val="center"/>
              <w:rPr>
                <w:rFonts w:hint="eastAsia" w:ascii="Calibri" w:hAnsi="Calibri" w:eastAsia="宋体" w:cs="宋体"/>
                <w:color w:val="auto"/>
                <w:kern w:val="2"/>
                <w:sz w:val="21"/>
                <w:szCs w:val="24"/>
                <w:lang w:val="en-US" w:eastAsia="zh-CN" w:bidi="ar-SA"/>
              </w:rPr>
            </w:pPr>
          </w:p>
        </w:tc>
      </w:tr>
      <w:tr w14:paraId="6412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0" w:type="dxa"/>
            <w:vAlign w:val="center"/>
          </w:tcPr>
          <w:p w14:paraId="78C95CAF">
            <w:pPr>
              <w:jc w:val="center"/>
              <w:rPr>
                <w:rFonts w:hint="default"/>
                <w:color w:val="auto"/>
                <w:lang w:val="en-US" w:eastAsia="zh-CN"/>
              </w:rPr>
            </w:pPr>
            <w:r>
              <w:rPr>
                <w:rFonts w:hint="eastAsia"/>
                <w:color w:val="auto"/>
                <w:lang w:val="en-US" w:eastAsia="zh-CN"/>
              </w:rPr>
              <w:t>8</w:t>
            </w:r>
          </w:p>
        </w:tc>
        <w:tc>
          <w:tcPr>
            <w:tcW w:w="2603" w:type="dxa"/>
            <w:vAlign w:val="center"/>
          </w:tcPr>
          <w:p w14:paraId="3FF6558F">
            <w:pPr>
              <w:jc w:val="center"/>
              <w:rPr>
                <w:rFonts w:hint="eastAsia" w:eastAsia="宋体"/>
                <w:color w:val="auto"/>
                <w:lang w:val="en-US" w:eastAsia="zh-CN"/>
              </w:rPr>
            </w:pPr>
          </w:p>
        </w:tc>
        <w:tc>
          <w:tcPr>
            <w:tcW w:w="1560" w:type="dxa"/>
            <w:vAlign w:val="center"/>
          </w:tcPr>
          <w:p w14:paraId="0CFBFDB2">
            <w:pPr>
              <w:jc w:val="center"/>
              <w:rPr>
                <w:rFonts w:hint="default" w:eastAsia="宋体"/>
                <w:color w:val="auto"/>
                <w:lang w:val="en-US" w:eastAsia="zh-CN"/>
              </w:rPr>
            </w:pPr>
          </w:p>
        </w:tc>
        <w:tc>
          <w:tcPr>
            <w:tcW w:w="1335" w:type="dxa"/>
            <w:vAlign w:val="center"/>
          </w:tcPr>
          <w:p w14:paraId="2C3D1C78">
            <w:pPr>
              <w:jc w:val="center"/>
              <w:rPr>
                <w:rFonts w:hint="default" w:ascii="Calibri" w:hAnsi="Calibri" w:eastAsia="宋体" w:cs="宋体"/>
                <w:color w:val="auto"/>
                <w:kern w:val="2"/>
                <w:sz w:val="21"/>
                <w:szCs w:val="24"/>
                <w:lang w:val="en-US" w:eastAsia="zh-CN" w:bidi="ar-SA"/>
              </w:rPr>
            </w:pPr>
          </w:p>
        </w:tc>
        <w:tc>
          <w:tcPr>
            <w:tcW w:w="1515" w:type="dxa"/>
            <w:vAlign w:val="center"/>
          </w:tcPr>
          <w:p w14:paraId="242A25E6">
            <w:pPr>
              <w:jc w:val="center"/>
              <w:rPr>
                <w:rFonts w:hint="default" w:eastAsia="宋体"/>
                <w:color w:val="auto"/>
                <w:lang w:val="en-US" w:eastAsia="zh-CN"/>
              </w:rPr>
            </w:pPr>
          </w:p>
        </w:tc>
        <w:tc>
          <w:tcPr>
            <w:tcW w:w="2174" w:type="dxa"/>
            <w:vMerge w:val="continue"/>
            <w:vAlign w:val="center"/>
          </w:tcPr>
          <w:p w14:paraId="6DBAD2B7">
            <w:pPr>
              <w:jc w:val="center"/>
              <w:rPr>
                <w:rFonts w:hint="eastAsia" w:ascii="Calibri" w:hAnsi="Calibri" w:eastAsia="宋体" w:cs="宋体"/>
                <w:color w:val="auto"/>
                <w:kern w:val="2"/>
                <w:sz w:val="21"/>
                <w:szCs w:val="24"/>
                <w:lang w:val="en-US" w:eastAsia="zh-CN" w:bidi="ar-SA"/>
              </w:rPr>
            </w:pPr>
          </w:p>
        </w:tc>
      </w:tr>
      <w:tr w14:paraId="1310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Align w:val="center"/>
          </w:tcPr>
          <w:p w14:paraId="5B800F7D">
            <w:pPr>
              <w:jc w:val="center"/>
              <w:rPr>
                <w:rFonts w:hint="default"/>
                <w:color w:val="auto"/>
                <w:lang w:val="en-US" w:eastAsia="zh-CN"/>
              </w:rPr>
            </w:pPr>
            <w:r>
              <w:rPr>
                <w:rFonts w:hint="eastAsia"/>
                <w:color w:val="auto"/>
                <w:lang w:val="en-US" w:eastAsia="zh-CN"/>
              </w:rPr>
              <w:t>9</w:t>
            </w:r>
          </w:p>
        </w:tc>
        <w:tc>
          <w:tcPr>
            <w:tcW w:w="2603" w:type="dxa"/>
            <w:vAlign w:val="center"/>
          </w:tcPr>
          <w:p w14:paraId="6D46F897">
            <w:pPr>
              <w:jc w:val="center"/>
              <w:rPr>
                <w:rFonts w:hint="eastAsia" w:eastAsia="宋体"/>
                <w:color w:val="auto"/>
                <w:lang w:val="en-US" w:eastAsia="zh-CN"/>
              </w:rPr>
            </w:pPr>
          </w:p>
        </w:tc>
        <w:tc>
          <w:tcPr>
            <w:tcW w:w="1560" w:type="dxa"/>
            <w:vAlign w:val="center"/>
          </w:tcPr>
          <w:p w14:paraId="14AB0C95">
            <w:pPr>
              <w:jc w:val="center"/>
              <w:rPr>
                <w:rFonts w:hint="default" w:eastAsia="宋体"/>
                <w:color w:val="auto"/>
                <w:lang w:val="en-US" w:eastAsia="zh-CN"/>
              </w:rPr>
            </w:pPr>
          </w:p>
        </w:tc>
        <w:tc>
          <w:tcPr>
            <w:tcW w:w="1335" w:type="dxa"/>
            <w:vAlign w:val="center"/>
          </w:tcPr>
          <w:p w14:paraId="311A0052">
            <w:pPr>
              <w:jc w:val="center"/>
              <w:rPr>
                <w:rFonts w:hint="default" w:ascii="Calibri" w:hAnsi="Calibri" w:eastAsia="宋体" w:cs="宋体"/>
                <w:color w:val="auto"/>
                <w:kern w:val="2"/>
                <w:sz w:val="21"/>
                <w:szCs w:val="24"/>
                <w:lang w:val="en-US" w:eastAsia="zh-CN" w:bidi="ar-SA"/>
              </w:rPr>
            </w:pPr>
          </w:p>
        </w:tc>
        <w:tc>
          <w:tcPr>
            <w:tcW w:w="1515" w:type="dxa"/>
            <w:vAlign w:val="center"/>
          </w:tcPr>
          <w:p w14:paraId="489282A5">
            <w:pPr>
              <w:jc w:val="center"/>
              <w:rPr>
                <w:rFonts w:hint="default" w:eastAsia="宋体"/>
                <w:color w:val="auto"/>
                <w:lang w:val="en-US" w:eastAsia="zh-CN"/>
              </w:rPr>
            </w:pPr>
          </w:p>
        </w:tc>
        <w:tc>
          <w:tcPr>
            <w:tcW w:w="2174" w:type="dxa"/>
            <w:vMerge w:val="continue"/>
            <w:vAlign w:val="center"/>
          </w:tcPr>
          <w:p w14:paraId="10288A58">
            <w:pPr>
              <w:jc w:val="center"/>
              <w:rPr>
                <w:rFonts w:hint="eastAsia" w:eastAsia="宋体"/>
                <w:color w:val="auto"/>
                <w:lang w:eastAsia="zh-CN"/>
              </w:rPr>
            </w:pPr>
          </w:p>
        </w:tc>
      </w:tr>
      <w:tr w14:paraId="6307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0" w:type="dxa"/>
            <w:vAlign w:val="center"/>
          </w:tcPr>
          <w:p w14:paraId="169F2310">
            <w:pPr>
              <w:jc w:val="center"/>
              <w:rPr>
                <w:rFonts w:hint="default"/>
                <w:color w:val="auto"/>
                <w:lang w:val="en-US" w:eastAsia="zh-CN"/>
              </w:rPr>
            </w:pPr>
            <w:r>
              <w:rPr>
                <w:rFonts w:hint="eastAsia"/>
                <w:color w:val="auto"/>
                <w:lang w:val="en-US" w:eastAsia="zh-CN"/>
              </w:rPr>
              <w:t>10</w:t>
            </w:r>
          </w:p>
        </w:tc>
        <w:tc>
          <w:tcPr>
            <w:tcW w:w="2603" w:type="dxa"/>
            <w:vAlign w:val="center"/>
          </w:tcPr>
          <w:p w14:paraId="39431C5C">
            <w:pPr>
              <w:jc w:val="center"/>
              <w:rPr>
                <w:rFonts w:hint="eastAsia" w:eastAsia="宋体"/>
                <w:color w:val="auto"/>
                <w:lang w:val="en-US" w:eastAsia="zh-CN"/>
              </w:rPr>
            </w:pPr>
          </w:p>
        </w:tc>
        <w:tc>
          <w:tcPr>
            <w:tcW w:w="1560" w:type="dxa"/>
            <w:vAlign w:val="center"/>
          </w:tcPr>
          <w:p w14:paraId="3E87F28D">
            <w:pPr>
              <w:jc w:val="center"/>
              <w:rPr>
                <w:rFonts w:hint="default" w:eastAsia="宋体"/>
                <w:color w:val="auto"/>
                <w:lang w:val="en-US" w:eastAsia="zh-CN"/>
              </w:rPr>
            </w:pPr>
          </w:p>
        </w:tc>
        <w:tc>
          <w:tcPr>
            <w:tcW w:w="1335" w:type="dxa"/>
            <w:vAlign w:val="center"/>
          </w:tcPr>
          <w:p w14:paraId="7153E556">
            <w:pPr>
              <w:jc w:val="center"/>
              <w:rPr>
                <w:rFonts w:hint="default" w:eastAsia="宋体"/>
                <w:color w:val="auto"/>
                <w:lang w:val="en-US" w:eastAsia="zh-CN"/>
              </w:rPr>
            </w:pPr>
          </w:p>
        </w:tc>
        <w:tc>
          <w:tcPr>
            <w:tcW w:w="1515" w:type="dxa"/>
            <w:vAlign w:val="center"/>
          </w:tcPr>
          <w:p w14:paraId="5EEB05C6">
            <w:pPr>
              <w:jc w:val="center"/>
              <w:rPr>
                <w:rFonts w:hint="default" w:eastAsia="宋体"/>
                <w:color w:val="auto"/>
                <w:lang w:val="en-US" w:eastAsia="zh-CN"/>
              </w:rPr>
            </w:pPr>
          </w:p>
        </w:tc>
        <w:tc>
          <w:tcPr>
            <w:tcW w:w="2174" w:type="dxa"/>
            <w:vMerge w:val="continue"/>
            <w:vAlign w:val="center"/>
          </w:tcPr>
          <w:p w14:paraId="2776BB3D">
            <w:pPr>
              <w:jc w:val="center"/>
              <w:rPr>
                <w:rFonts w:hint="eastAsia" w:eastAsia="宋体"/>
                <w:color w:val="auto"/>
                <w:lang w:eastAsia="zh-CN"/>
              </w:rPr>
            </w:pPr>
          </w:p>
        </w:tc>
      </w:tr>
      <w:tr w14:paraId="0F8E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00BD5289">
            <w:pPr>
              <w:jc w:val="center"/>
              <w:rPr>
                <w:rFonts w:hint="default"/>
                <w:color w:val="auto"/>
                <w:lang w:val="en-US" w:eastAsia="zh-CN"/>
              </w:rPr>
            </w:pPr>
            <w:r>
              <w:rPr>
                <w:rFonts w:hint="eastAsia"/>
                <w:color w:val="auto"/>
                <w:lang w:val="en-US" w:eastAsia="zh-CN"/>
              </w:rPr>
              <w:t>11</w:t>
            </w:r>
          </w:p>
        </w:tc>
        <w:tc>
          <w:tcPr>
            <w:tcW w:w="2603" w:type="dxa"/>
            <w:vAlign w:val="center"/>
          </w:tcPr>
          <w:p w14:paraId="6F62E3BE">
            <w:pPr>
              <w:jc w:val="center"/>
              <w:rPr>
                <w:rFonts w:hint="eastAsia" w:eastAsia="宋体"/>
                <w:color w:val="auto"/>
                <w:lang w:val="en-US" w:eastAsia="zh-CN"/>
              </w:rPr>
            </w:pPr>
          </w:p>
        </w:tc>
        <w:tc>
          <w:tcPr>
            <w:tcW w:w="1560" w:type="dxa"/>
            <w:vAlign w:val="center"/>
          </w:tcPr>
          <w:p w14:paraId="0AE67C09">
            <w:pPr>
              <w:jc w:val="center"/>
              <w:rPr>
                <w:rFonts w:hint="default"/>
                <w:color w:val="auto"/>
                <w:lang w:val="en-US" w:eastAsia="zh-CN"/>
              </w:rPr>
            </w:pPr>
          </w:p>
        </w:tc>
        <w:tc>
          <w:tcPr>
            <w:tcW w:w="1335" w:type="dxa"/>
            <w:vAlign w:val="center"/>
          </w:tcPr>
          <w:p w14:paraId="24216BB4">
            <w:pPr>
              <w:jc w:val="center"/>
              <w:rPr>
                <w:rFonts w:hint="default"/>
                <w:color w:val="auto"/>
                <w:lang w:val="en-US" w:eastAsia="zh-CN"/>
              </w:rPr>
            </w:pPr>
          </w:p>
        </w:tc>
        <w:tc>
          <w:tcPr>
            <w:tcW w:w="1515" w:type="dxa"/>
            <w:vAlign w:val="center"/>
          </w:tcPr>
          <w:p w14:paraId="2BC29EEC">
            <w:pPr>
              <w:jc w:val="center"/>
              <w:rPr>
                <w:rFonts w:hint="default" w:eastAsia="宋体"/>
                <w:color w:val="auto"/>
                <w:lang w:val="en-US" w:eastAsia="zh-CN"/>
              </w:rPr>
            </w:pPr>
          </w:p>
        </w:tc>
        <w:tc>
          <w:tcPr>
            <w:tcW w:w="2174" w:type="dxa"/>
            <w:vMerge w:val="continue"/>
            <w:vAlign w:val="center"/>
          </w:tcPr>
          <w:p w14:paraId="3399C6E0">
            <w:pPr>
              <w:jc w:val="center"/>
              <w:rPr>
                <w:rFonts w:hint="eastAsia" w:eastAsia="宋体"/>
                <w:color w:val="auto"/>
                <w:lang w:eastAsia="zh-CN"/>
              </w:rPr>
            </w:pPr>
          </w:p>
        </w:tc>
      </w:tr>
      <w:tr w14:paraId="78E7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145201F3">
            <w:pPr>
              <w:jc w:val="center"/>
              <w:rPr>
                <w:rFonts w:hint="default"/>
                <w:color w:val="auto"/>
                <w:lang w:val="en-US" w:eastAsia="zh-CN"/>
              </w:rPr>
            </w:pPr>
            <w:r>
              <w:rPr>
                <w:rFonts w:hint="eastAsia"/>
                <w:color w:val="auto"/>
                <w:lang w:val="en-US" w:eastAsia="zh-CN"/>
              </w:rPr>
              <w:t>12</w:t>
            </w:r>
          </w:p>
        </w:tc>
        <w:tc>
          <w:tcPr>
            <w:tcW w:w="2603" w:type="dxa"/>
            <w:vAlign w:val="center"/>
          </w:tcPr>
          <w:p w14:paraId="26218DDF">
            <w:pPr>
              <w:jc w:val="center"/>
              <w:rPr>
                <w:rFonts w:hint="eastAsia" w:eastAsia="宋体"/>
                <w:color w:val="auto"/>
                <w:lang w:val="en-US" w:eastAsia="zh-CN"/>
              </w:rPr>
            </w:pPr>
          </w:p>
        </w:tc>
        <w:tc>
          <w:tcPr>
            <w:tcW w:w="1560" w:type="dxa"/>
            <w:vAlign w:val="center"/>
          </w:tcPr>
          <w:p w14:paraId="01328DED">
            <w:pPr>
              <w:jc w:val="center"/>
              <w:rPr>
                <w:rFonts w:hint="default"/>
                <w:color w:val="auto"/>
                <w:lang w:val="en-US" w:eastAsia="zh-CN"/>
              </w:rPr>
            </w:pPr>
          </w:p>
        </w:tc>
        <w:tc>
          <w:tcPr>
            <w:tcW w:w="1335" w:type="dxa"/>
            <w:vAlign w:val="center"/>
          </w:tcPr>
          <w:p w14:paraId="2D789319">
            <w:pPr>
              <w:jc w:val="center"/>
              <w:rPr>
                <w:rFonts w:hint="default"/>
                <w:color w:val="auto"/>
                <w:lang w:val="en-US" w:eastAsia="zh-CN"/>
              </w:rPr>
            </w:pPr>
          </w:p>
        </w:tc>
        <w:tc>
          <w:tcPr>
            <w:tcW w:w="1515" w:type="dxa"/>
            <w:vAlign w:val="center"/>
          </w:tcPr>
          <w:p w14:paraId="1482AF35">
            <w:pPr>
              <w:jc w:val="center"/>
              <w:rPr>
                <w:rFonts w:hint="default" w:eastAsia="宋体"/>
                <w:color w:val="auto"/>
                <w:lang w:val="en-US" w:eastAsia="zh-CN"/>
              </w:rPr>
            </w:pPr>
          </w:p>
        </w:tc>
        <w:tc>
          <w:tcPr>
            <w:tcW w:w="2174" w:type="dxa"/>
            <w:vMerge w:val="continue"/>
            <w:vAlign w:val="center"/>
          </w:tcPr>
          <w:p w14:paraId="5C5EC801">
            <w:pPr>
              <w:jc w:val="center"/>
              <w:rPr>
                <w:rFonts w:hint="eastAsia" w:eastAsia="宋体"/>
                <w:color w:val="auto"/>
                <w:lang w:eastAsia="zh-CN"/>
              </w:rPr>
            </w:pPr>
          </w:p>
        </w:tc>
      </w:tr>
      <w:tr w14:paraId="1580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0" w:type="dxa"/>
            <w:vAlign w:val="center"/>
          </w:tcPr>
          <w:p w14:paraId="6DCD0207">
            <w:pPr>
              <w:jc w:val="center"/>
              <w:rPr>
                <w:rFonts w:hint="default"/>
                <w:color w:val="auto"/>
                <w:lang w:val="en-US" w:eastAsia="zh-CN"/>
              </w:rPr>
            </w:pPr>
            <w:r>
              <w:rPr>
                <w:rFonts w:hint="eastAsia"/>
                <w:color w:val="auto"/>
                <w:lang w:val="en-US" w:eastAsia="zh-CN"/>
              </w:rPr>
              <w:t>13</w:t>
            </w:r>
          </w:p>
        </w:tc>
        <w:tc>
          <w:tcPr>
            <w:tcW w:w="2603" w:type="dxa"/>
            <w:vAlign w:val="center"/>
          </w:tcPr>
          <w:p w14:paraId="55A80171">
            <w:pPr>
              <w:tabs>
                <w:tab w:val="left" w:pos="631"/>
              </w:tabs>
              <w:jc w:val="left"/>
              <w:rPr>
                <w:rFonts w:hint="eastAsia" w:eastAsia="宋体"/>
                <w:color w:val="auto"/>
                <w:lang w:val="en-US" w:eastAsia="zh-CN"/>
              </w:rPr>
            </w:pPr>
          </w:p>
        </w:tc>
        <w:tc>
          <w:tcPr>
            <w:tcW w:w="1560" w:type="dxa"/>
            <w:vAlign w:val="center"/>
          </w:tcPr>
          <w:p w14:paraId="0C51190E">
            <w:pPr>
              <w:jc w:val="center"/>
              <w:rPr>
                <w:rFonts w:hint="default"/>
                <w:color w:val="auto"/>
                <w:lang w:val="en-US" w:eastAsia="zh-CN"/>
              </w:rPr>
            </w:pPr>
          </w:p>
        </w:tc>
        <w:tc>
          <w:tcPr>
            <w:tcW w:w="1335" w:type="dxa"/>
            <w:vAlign w:val="center"/>
          </w:tcPr>
          <w:p w14:paraId="5832172F">
            <w:pPr>
              <w:jc w:val="center"/>
              <w:rPr>
                <w:rFonts w:hint="default"/>
                <w:color w:val="auto"/>
                <w:lang w:val="en-US" w:eastAsia="zh-CN"/>
              </w:rPr>
            </w:pPr>
          </w:p>
        </w:tc>
        <w:tc>
          <w:tcPr>
            <w:tcW w:w="1515" w:type="dxa"/>
            <w:vAlign w:val="center"/>
          </w:tcPr>
          <w:p w14:paraId="77147BCB">
            <w:pPr>
              <w:jc w:val="center"/>
              <w:rPr>
                <w:rFonts w:hint="default" w:eastAsia="宋体"/>
                <w:color w:val="auto"/>
                <w:lang w:val="en-US" w:eastAsia="zh-CN"/>
              </w:rPr>
            </w:pPr>
          </w:p>
        </w:tc>
        <w:tc>
          <w:tcPr>
            <w:tcW w:w="2174" w:type="dxa"/>
            <w:vMerge w:val="continue"/>
            <w:vAlign w:val="center"/>
          </w:tcPr>
          <w:p w14:paraId="0E1DAD9B">
            <w:pPr>
              <w:jc w:val="center"/>
              <w:rPr>
                <w:rFonts w:hint="eastAsia" w:eastAsia="宋体"/>
                <w:color w:val="auto"/>
                <w:lang w:eastAsia="zh-CN"/>
              </w:rPr>
            </w:pPr>
          </w:p>
        </w:tc>
      </w:tr>
      <w:tr w14:paraId="64DC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667F67AE">
            <w:pPr>
              <w:jc w:val="center"/>
              <w:rPr>
                <w:rFonts w:hint="default"/>
                <w:color w:val="auto"/>
                <w:lang w:val="en-US" w:eastAsia="zh-CN"/>
              </w:rPr>
            </w:pPr>
            <w:r>
              <w:rPr>
                <w:rFonts w:hint="eastAsia"/>
                <w:color w:val="auto"/>
                <w:lang w:val="en-US" w:eastAsia="zh-CN"/>
              </w:rPr>
              <w:t>14</w:t>
            </w:r>
          </w:p>
        </w:tc>
        <w:tc>
          <w:tcPr>
            <w:tcW w:w="2603" w:type="dxa"/>
            <w:vAlign w:val="center"/>
          </w:tcPr>
          <w:p w14:paraId="3016DEAA">
            <w:pPr>
              <w:jc w:val="center"/>
              <w:rPr>
                <w:rFonts w:hint="eastAsia" w:eastAsia="宋体"/>
                <w:color w:val="auto"/>
                <w:lang w:val="en-US" w:eastAsia="zh-CN"/>
              </w:rPr>
            </w:pPr>
          </w:p>
        </w:tc>
        <w:tc>
          <w:tcPr>
            <w:tcW w:w="1560" w:type="dxa"/>
            <w:vAlign w:val="center"/>
          </w:tcPr>
          <w:p w14:paraId="6B220175">
            <w:pPr>
              <w:jc w:val="center"/>
              <w:rPr>
                <w:rFonts w:hint="default"/>
                <w:color w:val="auto"/>
                <w:lang w:val="en-US" w:eastAsia="zh-CN"/>
              </w:rPr>
            </w:pPr>
          </w:p>
        </w:tc>
        <w:tc>
          <w:tcPr>
            <w:tcW w:w="1335" w:type="dxa"/>
            <w:vAlign w:val="center"/>
          </w:tcPr>
          <w:p w14:paraId="7AD5E346">
            <w:pPr>
              <w:jc w:val="center"/>
              <w:rPr>
                <w:rFonts w:hint="default"/>
                <w:color w:val="auto"/>
                <w:lang w:val="en-US" w:eastAsia="zh-CN"/>
              </w:rPr>
            </w:pPr>
          </w:p>
        </w:tc>
        <w:tc>
          <w:tcPr>
            <w:tcW w:w="1515" w:type="dxa"/>
            <w:vAlign w:val="center"/>
          </w:tcPr>
          <w:p w14:paraId="5EAC9599">
            <w:pPr>
              <w:jc w:val="center"/>
              <w:rPr>
                <w:rFonts w:hint="default" w:eastAsia="宋体"/>
                <w:color w:val="auto"/>
                <w:lang w:val="en-US" w:eastAsia="zh-CN"/>
              </w:rPr>
            </w:pPr>
          </w:p>
        </w:tc>
        <w:tc>
          <w:tcPr>
            <w:tcW w:w="2174" w:type="dxa"/>
            <w:vMerge w:val="continue"/>
            <w:vAlign w:val="center"/>
          </w:tcPr>
          <w:p w14:paraId="3FF26389">
            <w:pPr>
              <w:jc w:val="center"/>
              <w:rPr>
                <w:rFonts w:hint="default" w:eastAsia="宋体"/>
                <w:color w:val="auto"/>
                <w:lang w:val="en-US" w:eastAsia="zh-CN"/>
              </w:rPr>
            </w:pPr>
          </w:p>
        </w:tc>
      </w:tr>
      <w:tr w14:paraId="286E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44369597">
            <w:pPr>
              <w:jc w:val="center"/>
              <w:rPr>
                <w:rFonts w:hint="default"/>
                <w:color w:val="auto"/>
                <w:lang w:val="en-US" w:eastAsia="zh-CN"/>
              </w:rPr>
            </w:pPr>
            <w:r>
              <w:rPr>
                <w:rFonts w:hint="eastAsia"/>
                <w:color w:val="auto"/>
                <w:lang w:val="en-US" w:eastAsia="zh-CN"/>
              </w:rPr>
              <w:t>15</w:t>
            </w:r>
          </w:p>
        </w:tc>
        <w:tc>
          <w:tcPr>
            <w:tcW w:w="2603" w:type="dxa"/>
            <w:vAlign w:val="center"/>
          </w:tcPr>
          <w:p w14:paraId="13267CAA">
            <w:pPr>
              <w:jc w:val="center"/>
              <w:rPr>
                <w:rFonts w:hint="eastAsia" w:eastAsia="宋体"/>
                <w:color w:val="auto"/>
                <w:lang w:val="en-US" w:eastAsia="zh-CN"/>
              </w:rPr>
            </w:pPr>
          </w:p>
        </w:tc>
        <w:tc>
          <w:tcPr>
            <w:tcW w:w="1560" w:type="dxa"/>
            <w:vAlign w:val="center"/>
          </w:tcPr>
          <w:p w14:paraId="21F801DF">
            <w:pPr>
              <w:jc w:val="center"/>
              <w:rPr>
                <w:rFonts w:hint="default"/>
                <w:color w:val="auto"/>
                <w:lang w:val="en-US" w:eastAsia="zh-CN"/>
              </w:rPr>
            </w:pPr>
          </w:p>
        </w:tc>
        <w:tc>
          <w:tcPr>
            <w:tcW w:w="1335" w:type="dxa"/>
            <w:vAlign w:val="center"/>
          </w:tcPr>
          <w:p w14:paraId="6EA6247F">
            <w:pPr>
              <w:jc w:val="center"/>
              <w:rPr>
                <w:rFonts w:hint="default"/>
                <w:color w:val="auto"/>
                <w:lang w:val="en-US" w:eastAsia="zh-CN"/>
              </w:rPr>
            </w:pPr>
          </w:p>
        </w:tc>
        <w:tc>
          <w:tcPr>
            <w:tcW w:w="1515" w:type="dxa"/>
            <w:vAlign w:val="center"/>
          </w:tcPr>
          <w:p w14:paraId="7585DA99">
            <w:pPr>
              <w:jc w:val="center"/>
              <w:rPr>
                <w:rFonts w:hint="default" w:eastAsia="宋体"/>
                <w:color w:val="auto"/>
                <w:lang w:val="en-US" w:eastAsia="zh-CN"/>
              </w:rPr>
            </w:pPr>
          </w:p>
        </w:tc>
        <w:tc>
          <w:tcPr>
            <w:tcW w:w="2174" w:type="dxa"/>
            <w:vMerge w:val="continue"/>
            <w:vAlign w:val="center"/>
          </w:tcPr>
          <w:p w14:paraId="2F3E8E71">
            <w:pPr>
              <w:jc w:val="center"/>
              <w:rPr>
                <w:rFonts w:hint="eastAsia" w:eastAsia="宋体"/>
                <w:color w:val="auto"/>
                <w:lang w:val="en-US" w:eastAsia="zh-CN"/>
              </w:rPr>
            </w:pPr>
          </w:p>
        </w:tc>
      </w:tr>
      <w:tr w14:paraId="5223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0" w:type="dxa"/>
            <w:vAlign w:val="center"/>
          </w:tcPr>
          <w:p w14:paraId="0960E322">
            <w:pPr>
              <w:jc w:val="center"/>
              <w:rPr>
                <w:rFonts w:hint="default"/>
                <w:color w:val="auto"/>
                <w:lang w:val="en-US" w:eastAsia="zh-CN"/>
              </w:rPr>
            </w:pPr>
            <w:r>
              <w:rPr>
                <w:rFonts w:hint="eastAsia"/>
                <w:color w:val="auto"/>
                <w:lang w:val="en-US" w:eastAsia="zh-CN"/>
              </w:rPr>
              <w:t>16</w:t>
            </w:r>
          </w:p>
        </w:tc>
        <w:tc>
          <w:tcPr>
            <w:tcW w:w="2603" w:type="dxa"/>
            <w:vAlign w:val="center"/>
          </w:tcPr>
          <w:p w14:paraId="2096F7DF">
            <w:pPr>
              <w:jc w:val="center"/>
              <w:rPr>
                <w:rFonts w:hint="eastAsia" w:eastAsia="宋体"/>
                <w:color w:val="auto"/>
                <w:lang w:val="en-US" w:eastAsia="zh-CN"/>
              </w:rPr>
            </w:pPr>
          </w:p>
        </w:tc>
        <w:tc>
          <w:tcPr>
            <w:tcW w:w="1560" w:type="dxa"/>
            <w:vAlign w:val="center"/>
          </w:tcPr>
          <w:p w14:paraId="15134624">
            <w:pPr>
              <w:jc w:val="center"/>
              <w:rPr>
                <w:rFonts w:hint="default"/>
                <w:color w:val="auto"/>
                <w:lang w:val="en-US" w:eastAsia="zh-CN"/>
              </w:rPr>
            </w:pPr>
          </w:p>
        </w:tc>
        <w:tc>
          <w:tcPr>
            <w:tcW w:w="1335" w:type="dxa"/>
            <w:vAlign w:val="center"/>
          </w:tcPr>
          <w:p w14:paraId="487A9810">
            <w:pPr>
              <w:jc w:val="center"/>
              <w:rPr>
                <w:rFonts w:hint="default"/>
                <w:color w:val="auto"/>
                <w:lang w:val="en-US" w:eastAsia="zh-CN"/>
              </w:rPr>
            </w:pPr>
          </w:p>
        </w:tc>
        <w:tc>
          <w:tcPr>
            <w:tcW w:w="1515" w:type="dxa"/>
            <w:vAlign w:val="center"/>
          </w:tcPr>
          <w:p w14:paraId="7BCAFDCD">
            <w:pPr>
              <w:jc w:val="center"/>
              <w:rPr>
                <w:rFonts w:hint="default" w:eastAsia="宋体"/>
                <w:color w:val="auto"/>
                <w:lang w:val="en-US" w:eastAsia="zh-CN"/>
              </w:rPr>
            </w:pPr>
          </w:p>
        </w:tc>
        <w:tc>
          <w:tcPr>
            <w:tcW w:w="2174" w:type="dxa"/>
            <w:vMerge w:val="continue"/>
            <w:vAlign w:val="center"/>
          </w:tcPr>
          <w:p w14:paraId="4079C3DE">
            <w:pPr>
              <w:jc w:val="center"/>
              <w:rPr>
                <w:rFonts w:hint="eastAsia" w:eastAsia="宋体"/>
                <w:color w:val="auto"/>
                <w:lang w:eastAsia="zh-CN"/>
              </w:rPr>
            </w:pPr>
          </w:p>
        </w:tc>
      </w:tr>
      <w:tr w14:paraId="665C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17A7B463">
            <w:pPr>
              <w:jc w:val="center"/>
              <w:rPr>
                <w:rFonts w:hint="default"/>
                <w:color w:val="auto"/>
                <w:lang w:val="en-US" w:eastAsia="zh-CN"/>
              </w:rPr>
            </w:pPr>
            <w:r>
              <w:rPr>
                <w:rFonts w:hint="eastAsia"/>
                <w:color w:val="auto"/>
                <w:lang w:val="en-US" w:eastAsia="zh-CN"/>
              </w:rPr>
              <w:t>17</w:t>
            </w:r>
          </w:p>
        </w:tc>
        <w:tc>
          <w:tcPr>
            <w:tcW w:w="2603" w:type="dxa"/>
            <w:vAlign w:val="center"/>
          </w:tcPr>
          <w:p w14:paraId="437C9ACC">
            <w:pPr>
              <w:jc w:val="center"/>
              <w:rPr>
                <w:rFonts w:hint="eastAsia" w:eastAsia="宋体"/>
                <w:color w:val="auto"/>
                <w:lang w:val="en-US" w:eastAsia="zh-CN"/>
              </w:rPr>
            </w:pPr>
          </w:p>
        </w:tc>
        <w:tc>
          <w:tcPr>
            <w:tcW w:w="1560" w:type="dxa"/>
            <w:vAlign w:val="center"/>
          </w:tcPr>
          <w:p w14:paraId="09C4ECDB">
            <w:pPr>
              <w:jc w:val="center"/>
              <w:rPr>
                <w:rFonts w:hint="default"/>
                <w:color w:val="auto"/>
                <w:lang w:val="en-US" w:eastAsia="zh-CN"/>
              </w:rPr>
            </w:pPr>
          </w:p>
        </w:tc>
        <w:tc>
          <w:tcPr>
            <w:tcW w:w="1335" w:type="dxa"/>
            <w:vAlign w:val="center"/>
          </w:tcPr>
          <w:p w14:paraId="1E4CF223">
            <w:pPr>
              <w:jc w:val="center"/>
              <w:rPr>
                <w:rFonts w:hint="default"/>
                <w:color w:val="auto"/>
                <w:lang w:val="en-US" w:eastAsia="zh-CN"/>
              </w:rPr>
            </w:pPr>
          </w:p>
        </w:tc>
        <w:tc>
          <w:tcPr>
            <w:tcW w:w="1515" w:type="dxa"/>
            <w:vAlign w:val="center"/>
          </w:tcPr>
          <w:p w14:paraId="18A53C38">
            <w:pPr>
              <w:jc w:val="center"/>
              <w:rPr>
                <w:rFonts w:hint="default" w:eastAsia="宋体"/>
                <w:color w:val="auto"/>
                <w:lang w:val="en-US" w:eastAsia="zh-CN"/>
              </w:rPr>
            </w:pPr>
          </w:p>
        </w:tc>
        <w:tc>
          <w:tcPr>
            <w:tcW w:w="2174" w:type="dxa"/>
            <w:vMerge w:val="continue"/>
            <w:vAlign w:val="center"/>
          </w:tcPr>
          <w:p w14:paraId="69E9D83E">
            <w:pPr>
              <w:jc w:val="center"/>
              <w:rPr>
                <w:rFonts w:hint="eastAsia" w:eastAsia="宋体"/>
                <w:color w:val="auto"/>
                <w:lang w:eastAsia="zh-CN"/>
              </w:rPr>
            </w:pPr>
          </w:p>
        </w:tc>
      </w:tr>
      <w:tr w14:paraId="3814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5EEAB27D">
            <w:pPr>
              <w:jc w:val="center"/>
              <w:rPr>
                <w:rFonts w:hint="default"/>
                <w:color w:val="auto"/>
                <w:lang w:val="en-US" w:eastAsia="zh-CN"/>
              </w:rPr>
            </w:pPr>
            <w:r>
              <w:rPr>
                <w:rFonts w:hint="eastAsia"/>
                <w:color w:val="auto"/>
                <w:lang w:val="en-US" w:eastAsia="zh-CN"/>
              </w:rPr>
              <w:t>18</w:t>
            </w:r>
          </w:p>
        </w:tc>
        <w:tc>
          <w:tcPr>
            <w:tcW w:w="2603" w:type="dxa"/>
            <w:vAlign w:val="center"/>
          </w:tcPr>
          <w:p w14:paraId="20B60FD3">
            <w:pPr>
              <w:jc w:val="center"/>
              <w:rPr>
                <w:rFonts w:hint="default" w:ascii="Calibri" w:hAnsi="Calibri" w:cs="Calibri"/>
                <w:color w:val="auto"/>
                <w:kern w:val="2"/>
                <w:sz w:val="21"/>
                <w:szCs w:val="24"/>
                <w:lang w:val="en-US" w:eastAsia="zh-CN" w:bidi="ar-SA"/>
              </w:rPr>
            </w:pPr>
          </w:p>
        </w:tc>
        <w:tc>
          <w:tcPr>
            <w:tcW w:w="1560" w:type="dxa"/>
            <w:vAlign w:val="center"/>
          </w:tcPr>
          <w:p w14:paraId="76C942BF">
            <w:pPr>
              <w:jc w:val="center"/>
              <w:rPr>
                <w:rFonts w:hint="default"/>
                <w:color w:val="auto"/>
                <w:lang w:val="en-US" w:eastAsia="zh-CN"/>
              </w:rPr>
            </w:pPr>
          </w:p>
        </w:tc>
        <w:tc>
          <w:tcPr>
            <w:tcW w:w="1335" w:type="dxa"/>
            <w:vAlign w:val="center"/>
          </w:tcPr>
          <w:p w14:paraId="3B03B292">
            <w:pPr>
              <w:jc w:val="center"/>
              <w:rPr>
                <w:rFonts w:hint="default"/>
                <w:color w:val="auto"/>
                <w:lang w:val="en-US" w:eastAsia="zh-CN"/>
              </w:rPr>
            </w:pPr>
          </w:p>
        </w:tc>
        <w:tc>
          <w:tcPr>
            <w:tcW w:w="1515" w:type="dxa"/>
            <w:vAlign w:val="center"/>
          </w:tcPr>
          <w:p w14:paraId="04898167">
            <w:pPr>
              <w:jc w:val="center"/>
              <w:rPr>
                <w:rFonts w:hint="default" w:eastAsia="宋体"/>
                <w:color w:val="auto"/>
                <w:lang w:val="en-US" w:eastAsia="zh-CN"/>
              </w:rPr>
            </w:pPr>
          </w:p>
        </w:tc>
        <w:tc>
          <w:tcPr>
            <w:tcW w:w="2174" w:type="dxa"/>
            <w:vMerge w:val="continue"/>
            <w:vAlign w:val="center"/>
          </w:tcPr>
          <w:p w14:paraId="0D9AAEB4">
            <w:pPr>
              <w:jc w:val="center"/>
              <w:rPr>
                <w:rFonts w:hint="eastAsia" w:eastAsia="宋体"/>
                <w:color w:val="auto"/>
                <w:lang w:eastAsia="zh-CN"/>
              </w:rPr>
            </w:pPr>
          </w:p>
        </w:tc>
      </w:tr>
    </w:tbl>
    <w:p w14:paraId="2C2910C1">
      <w:pPr>
        <w:jc w:val="left"/>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9387840</wp:posOffset>
                </wp:positionH>
                <wp:positionV relativeFrom="paragraph">
                  <wp:posOffset>193040</wp:posOffset>
                </wp:positionV>
                <wp:extent cx="351790" cy="42767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51790" cy="4276725"/>
                        </a:xfrm>
                        <a:prstGeom prst="rect">
                          <a:avLst/>
                        </a:prstGeom>
                        <a:noFill/>
                        <a:ln w="6350">
                          <a:noFill/>
                        </a:ln>
                        <a:effectLst/>
                      </wps:spPr>
                      <wps:txbx>
                        <w:txbxContent>
                          <w:p w14:paraId="6549EA2D">
                            <w:pPr>
                              <w:jc w:val="center"/>
                              <w:rPr>
                                <w:rFonts w:eastAsiaTheme="minorEastAsia"/>
                                <w:szCs w:val="21"/>
                              </w:rPr>
                            </w:pPr>
                            <w:r>
                              <w:rPr>
                                <w:rFonts w:hint="eastAsia"/>
                                <w:szCs w:val="21"/>
                              </w:rPr>
                              <w:t>一 存根（白）二 财务（红）三 顾客（绿）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9.2pt;margin-top:15.2pt;height:336.75pt;width:27.7pt;z-index:251661312;mso-width-relative:page;mso-height-relative:page;" filled="f" stroked="f" coordsize="21600,21600" o:gfxdata="UEsDBAoAAAAAAIdO4kAAAAAAAAAAAAAAAAAEAAAAZHJzL1BLAwQUAAAACACHTuJAe2coXdoAAAAM&#10;AQAADwAAAGRycy9kb3ducmV2LnhtbE2PTUvDQBCG74L/YRnBm91tk9omZlNE6bVgLIi3TXZMQvcj&#10;ZDdt9Nc7PelpeJmH96PYzdawM46h907CciGAoWu87l0r4fi+f9gCC1E5rYx3KOEbA+zK25tC5dpf&#10;3Bueq9gyMnEhVxK6GIec89B0aFVY+AEd/b78aFUkObZcj+pC5tbwlRCP3KreUUKnBnzpsDlVk5Uw&#10;f2SHfZ0dns30+bpOVz/Hyk8nKe/vluIJWMQ5/sFwrU/VoaROtZ+cDsyQTjfblFgJiaB7JdZJQmtq&#10;CRuRZMDLgv8fUf4CUEsDBBQAAAAIAIdO4kAdTe7pRQIAAHYEAAAOAAAAZHJzL2Uyb0RvYy54bWyt&#10;VM2O2jAQvlfqO1i+lwALpIsIK7qIqtKquxL9ORvHIZFsj2sbEvoA7Rv01EvvfS6eo2MnsGjbwx56&#10;ccae8TfzfTPO7KZRkuyFdRXojA56fUqE5pBXepvRjx9Wr15T4jzTOZOgRUYPwtGb+csXs9pMxRBK&#10;kLmwBEG0m9Ymo6X3ZpokjpdCMdcDIzQ6C7CKedzabZJbViO6ksmw358kNdjcWODCOTxdtk7aIdrn&#10;AEJRVFwsge+U0L5FtUIyj5RcWRlH57HaohDc3xeFE57IjCJTH1dMgvYmrMl8xqZby0xZ8a4E9pwS&#10;nnBSrNKY9Ay1ZJ6Rna3+glIVt+Cg8D0OKmmJREWQxaD/RJt1yYyIXFBqZ86iu/8Hy9/vHyyp8oym&#10;lGimsOHHH9+PP38ff30jaZCnNm6KUWuDcb55Aw0Ozenc4WFg3RRWhS/yIehHcQ9ncUXjCcfDq/Eg&#10;vUYPR9domE7S4TjAJI+3jXX+rQBFgpFRi82LmrL9nfNt6CkkJNOwqqSMDZSa1BmdXI378cLZg+BS&#10;h1gRR6GDCYzayoPlm03T0dxAfkCWFtoxcYavKizljjn/wCzOBZaPL8ff41JIwJTQWZSUYL/+6zzE&#10;Z1SwT/ilpMZJy6j7smNWUCLfaWzl9WA0QmAfN6NxOsSNvfRsLj16p24Bh3mAr9TwaIZ4L09mYUF9&#10;xie2CHnRxTTH2jKK2Vvz1rfzj0+Ui8UiBuEwGubv9NrwAN3Ku9h5KKqofBCqVQc7FjY4jrF33dMJ&#10;8365j1GPv4v5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tnKF3aAAAADAEAAA8AAAAAAAAAAQAg&#10;AAAAIgAAAGRycy9kb3ducmV2LnhtbFBLAQIUABQAAAAIAIdO4kAdTe7pRQIAAHYEAAAOAAAAAAAA&#10;AAEAIAAAACkBAABkcnMvZTJvRG9jLnhtbFBLBQYAAAAABgAGAFkBAADgBQAAAAA=&#10;">
                <v:fill on="f" focussize="0,0"/>
                <v:stroke on="f" weight="0.5pt"/>
                <v:imagedata o:title=""/>
                <o:lock v:ext="edit" aspectratio="f"/>
                <v:textbox style="layout-flow:vertical-ideographic;">
                  <w:txbxContent>
                    <w:p w14:paraId="6549EA2D">
                      <w:pPr>
                        <w:jc w:val="center"/>
                        <w:rPr>
                          <w:rFonts w:eastAsiaTheme="minorEastAsia"/>
                          <w:szCs w:val="21"/>
                        </w:rPr>
                      </w:pPr>
                      <w:r>
                        <w:rPr>
                          <w:rFonts w:hint="eastAsia"/>
                          <w:szCs w:val="21"/>
                        </w:rPr>
                        <w:t>一 存根（白）二 财务（红）三 顾客（绿）</w:t>
                      </w:r>
                    </w:p>
                  </w:txbxContent>
                </v:textbox>
              </v:shape>
            </w:pict>
          </mc:Fallback>
        </mc:AlternateContent>
      </w:r>
    </w:p>
    <w:p w14:paraId="2067DF1C">
      <w:pPr>
        <w:tabs>
          <w:tab w:val="right" w:pos="15138"/>
        </w:tabs>
        <w:jc w:val="left"/>
        <w:rPr>
          <w:rFonts w:hint="eastAsia" w:ascii="仿宋" w:hAnsi="仿宋" w:eastAsia="仿宋" w:cs="仿宋"/>
          <w:b/>
          <w:bCs/>
          <w:color w:val="auto"/>
          <w:sz w:val="30"/>
          <w:highlight w:val="none"/>
          <w:lang w:val="en-US" w:eastAsia="zh-CN"/>
        </w:rPr>
      </w:pPr>
      <w:r>
        <w:rPr>
          <w:rFonts w:hint="eastAsia" w:ascii="宋体" w:hAnsi="宋体"/>
          <w:color w:val="auto"/>
          <w:sz w:val="18"/>
          <w:szCs w:val="18"/>
        </w:rPr>
        <w:t>审批人：（项目经理）           审核人：（项目副经理</w:t>
      </w:r>
      <w:r>
        <w:rPr>
          <w:rFonts w:hint="eastAsia" w:ascii="宋体" w:hAnsi="宋体"/>
          <w:color w:val="auto"/>
          <w:sz w:val="18"/>
          <w:szCs w:val="18"/>
          <w:lang w:val="en-US" w:eastAsia="zh-CN"/>
        </w:rPr>
        <w:t>/技术负责人</w:t>
      </w:r>
      <w:r>
        <w:rPr>
          <w:rFonts w:hint="eastAsia" w:ascii="宋体" w:hAnsi="宋体"/>
          <w:color w:val="auto"/>
          <w:sz w:val="18"/>
          <w:szCs w:val="18"/>
          <w:lang w:eastAsia="zh-CN"/>
        </w:rPr>
        <w:t>）</w:t>
      </w:r>
      <w:r>
        <w:rPr>
          <w:rFonts w:hint="eastAsia" w:ascii="宋体" w:hAnsi="宋体"/>
          <w:color w:val="auto"/>
          <w:sz w:val="18"/>
          <w:szCs w:val="18"/>
          <w:lang w:val="en-US" w:eastAsia="zh-CN"/>
        </w:rPr>
        <w:t xml:space="preserve">           </w:t>
      </w:r>
      <w:r>
        <w:rPr>
          <w:rFonts w:hint="eastAsia" w:ascii="宋体" w:hAnsi="宋体"/>
          <w:color w:val="auto"/>
          <w:sz w:val="18"/>
          <w:szCs w:val="18"/>
        </w:rPr>
        <w:t>编制人：（栋号施工员</w:t>
      </w:r>
      <w:r>
        <w:rPr>
          <w:rFonts w:hint="eastAsia" w:ascii="宋体" w:hAnsi="宋体"/>
          <w:color w:val="auto"/>
          <w:sz w:val="18"/>
          <w:szCs w:val="18"/>
          <w:lang w:val="en-US" w:eastAsia="zh-CN"/>
        </w:rPr>
        <w:t>/</w:t>
      </w:r>
      <w:r>
        <w:rPr>
          <w:rFonts w:hint="eastAsia" w:ascii="宋体" w:hAnsi="宋体"/>
          <w:color w:val="auto"/>
          <w:sz w:val="18"/>
          <w:szCs w:val="18"/>
          <w:lang w:eastAsia="zh-CN"/>
        </w:rPr>
        <w:t>仓管员</w:t>
      </w:r>
      <w:r>
        <w:rPr>
          <w:rFonts w:hint="eastAsia" w:ascii="宋体" w:hAnsi="宋体"/>
          <w:color w:val="auto"/>
          <w:sz w:val="18"/>
          <w:szCs w:val="18"/>
          <w:lang w:val="en-US" w:eastAsia="zh-CN"/>
        </w:rPr>
        <w:t>/</w:t>
      </w:r>
      <w:r>
        <w:rPr>
          <w:rFonts w:hint="eastAsia" w:ascii="宋体" w:hAnsi="宋体"/>
          <w:color w:val="auto"/>
          <w:sz w:val="18"/>
          <w:szCs w:val="18"/>
          <w:lang w:eastAsia="zh-CN"/>
        </w:rPr>
        <w:t>使用人</w:t>
      </w:r>
      <w:r>
        <w:rPr>
          <w:rFonts w:hint="eastAsia" w:ascii="宋体" w:hAnsi="宋体"/>
          <w:color w:val="auto"/>
        </w:rPr>
        <w:t xml:space="preserve">） </w:t>
      </w:r>
    </w:p>
    <w:sectPr>
      <w:pgSz w:w="11906" w:h="16838"/>
      <w:pgMar w:top="1134" w:right="850" w:bottom="567"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1612F">
    <w:pPr>
      <w:pStyle w:val="5"/>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F5F77">
    <w:pPr>
      <w:pStyle w:val="5"/>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0D2C16">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14:paraId="460D2C1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DC2EB">
    <w:pPr>
      <w:pStyle w:val="6"/>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4DFE4"/>
    <w:multiLevelType w:val="multilevel"/>
    <w:tmpl w:val="9004DFE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YmY2ZDY1ODcwNTVjZDk2NzAxZDhhYzI2ODlhNzcifQ=="/>
  </w:docVars>
  <w:rsids>
    <w:rsidRoot w:val="00000000"/>
    <w:rsid w:val="00133387"/>
    <w:rsid w:val="001D4206"/>
    <w:rsid w:val="0022181C"/>
    <w:rsid w:val="00240114"/>
    <w:rsid w:val="00247343"/>
    <w:rsid w:val="003F23CE"/>
    <w:rsid w:val="00494FFB"/>
    <w:rsid w:val="0055574E"/>
    <w:rsid w:val="006308AB"/>
    <w:rsid w:val="006911F9"/>
    <w:rsid w:val="00732078"/>
    <w:rsid w:val="007E18FF"/>
    <w:rsid w:val="00863B59"/>
    <w:rsid w:val="008878D1"/>
    <w:rsid w:val="00942D05"/>
    <w:rsid w:val="00A87DE8"/>
    <w:rsid w:val="00B0507A"/>
    <w:rsid w:val="00BC757B"/>
    <w:rsid w:val="00D72607"/>
    <w:rsid w:val="00DC2680"/>
    <w:rsid w:val="01037573"/>
    <w:rsid w:val="01286562"/>
    <w:rsid w:val="012F2443"/>
    <w:rsid w:val="012F2B13"/>
    <w:rsid w:val="01305439"/>
    <w:rsid w:val="01325A8F"/>
    <w:rsid w:val="01326F3B"/>
    <w:rsid w:val="01351803"/>
    <w:rsid w:val="0156177E"/>
    <w:rsid w:val="015D207C"/>
    <w:rsid w:val="016814B1"/>
    <w:rsid w:val="01791910"/>
    <w:rsid w:val="017B7436"/>
    <w:rsid w:val="019978BC"/>
    <w:rsid w:val="01A71FD9"/>
    <w:rsid w:val="01AD3795"/>
    <w:rsid w:val="0210376E"/>
    <w:rsid w:val="02217FDE"/>
    <w:rsid w:val="02471A55"/>
    <w:rsid w:val="024E06A7"/>
    <w:rsid w:val="02895B83"/>
    <w:rsid w:val="0290648C"/>
    <w:rsid w:val="02A52D67"/>
    <w:rsid w:val="03024286"/>
    <w:rsid w:val="03061542"/>
    <w:rsid w:val="031418F0"/>
    <w:rsid w:val="03416159"/>
    <w:rsid w:val="03495361"/>
    <w:rsid w:val="03562E11"/>
    <w:rsid w:val="035F2640"/>
    <w:rsid w:val="036115A8"/>
    <w:rsid w:val="036C617D"/>
    <w:rsid w:val="038C76D9"/>
    <w:rsid w:val="03A323C4"/>
    <w:rsid w:val="03AF2714"/>
    <w:rsid w:val="03AF33C7"/>
    <w:rsid w:val="03C86237"/>
    <w:rsid w:val="03D130C9"/>
    <w:rsid w:val="03D23A10"/>
    <w:rsid w:val="03EF5DB2"/>
    <w:rsid w:val="03FD05D6"/>
    <w:rsid w:val="04194CE4"/>
    <w:rsid w:val="041C3581"/>
    <w:rsid w:val="04206073"/>
    <w:rsid w:val="042711AF"/>
    <w:rsid w:val="045301F6"/>
    <w:rsid w:val="047F2F94"/>
    <w:rsid w:val="04C9670A"/>
    <w:rsid w:val="04D05CEB"/>
    <w:rsid w:val="0515604A"/>
    <w:rsid w:val="05235E1B"/>
    <w:rsid w:val="05241B93"/>
    <w:rsid w:val="05571F68"/>
    <w:rsid w:val="055E32F7"/>
    <w:rsid w:val="055E648D"/>
    <w:rsid w:val="0563090D"/>
    <w:rsid w:val="058F1702"/>
    <w:rsid w:val="05B00870"/>
    <w:rsid w:val="05B94582"/>
    <w:rsid w:val="05CF7D50"/>
    <w:rsid w:val="05DC29A4"/>
    <w:rsid w:val="05E7046B"/>
    <w:rsid w:val="062A142B"/>
    <w:rsid w:val="062A31D9"/>
    <w:rsid w:val="06456265"/>
    <w:rsid w:val="064C13A1"/>
    <w:rsid w:val="065F1493"/>
    <w:rsid w:val="066A43D4"/>
    <w:rsid w:val="06994288"/>
    <w:rsid w:val="069A3EBB"/>
    <w:rsid w:val="069D0714"/>
    <w:rsid w:val="06B3319E"/>
    <w:rsid w:val="06B524FE"/>
    <w:rsid w:val="06CB49BC"/>
    <w:rsid w:val="06DB3895"/>
    <w:rsid w:val="06DC0977"/>
    <w:rsid w:val="070B4DB8"/>
    <w:rsid w:val="071E2D3E"/>
    <w:rsid w:val="071F6AB6"/>
    <w:rsid w:val="07222102"/>
    <w:rsid w:val="072916E2"/>
    <w:rsid w:val="07351E35"/>
    <w:rsid w:val="074D44A4"/>
    <w:rsid w:val="076444C8"/>
    <w:rsid w:val="078F7797"/>
    <w:rsid w:val="079B2A89"/>
    <w:rsid w:val="079C1EB4"/>
    <w:rsid w:val="07E838FA"/>
    <w:rsid w:val="08005A40"/>
    <w:rsid w:val="084762C4"/>
    <w:rsid w:val="08564322"/>
    <w:rsid w:val="085D5AE7"/>
    <w:rsid w:val="087A1BF2"/>
    <w:rsid w:val="088C6DAF"/>
    <w:rsid w:val="08E04023"/>
    <w:rsid w:val="08EE7CFD"/>
    <w:rsid w:val="08EF01D5"/>
    <w:rsid w:val="08FD1E97"/>
    <w:rsid w:val="09261E03"/>
    <w:rsid w:val="094B5940"/>
    <w:rsid w:val="0960032A"/>
    <w:rsid w:val="09615163"/>
    <w:rsid w:val="096D58B6"/>
    <w:rsid w:val="097F1A8E"/>
    <w:rsid w:val="09886B94"/>
    <w:rsid w:val="09A56D66"/>
    <w:rsid w:val="09BA4874"/>
    <w:rsid w:val="09C5399F"/>
    <w:rsid w:val="09D73678"/>
    <w:rsid w:val="09DF42DA"/>
    <w:rsid w:val="09FA34EB"/>
    <w:rsid w:val="0A026946"/>
    <w:rsid w:val="0A200B7B"/>
    <w:rsid w:val="0A624FB9"/>
    <w:rsid w:val="0A692F6B"/>
    <w:rsid w:val="0A7635CA"/>
    <w:rsid w:val="0A905496"/>
    <w:rsid w:val="0AA30A0F"/>
    <w:rsid w:val="0AA95014"/>
    <w:rsid w:val="0AB72067"/>
    <w:rsid w:val="0ABF20F1"/>
    <w:rsid w:val="0ACC485F"/>
    <w:rsid w:val="0AD11E75"/>
    <w:rsid w:val="0AE127A9"/>
    <w:rsid w:val="0AFA761E"/>
    <w:rsid w:val="0B2E0F81"/>
    <w:rsid w:val="0B602DC9"/>
    <w:rsid w:val="0B61144B"/>
    <w:rsid w:val="0B732F2C"/>
    <w:rsid w:val="0B865355"/>
    <w:rsid w:val="0BC4514F"/>
    <w:rsid w:val="0BCB2D68"/>
    <w:rsid w:val="0BDB744F"/>
    <w:rsid w:val="0BFF07E0"/>
    <w:rsid w:val="0C0128E1"/>
    <w:rsid w:val="0C14470F"/>
    <w:rsid w:val="0C1E558E"/>
    <w:rsid w:val="0C2010AC"/>
    <w:rsid w:val="0C62191E"/>
    <w:rsid w:val="0CB90E13"/>
    <w:rsid w:val="0CC25F19"/>
    <w:rsid w:val="0CD2303E"/>
    <w:rsid w:val="0CDF02E8"/>
    <w:rsid w:val="0CF2453E"/>
    <w:rsid w:val="0D042E1A"/>
    <w:rsid w:val="0D4913C1"/>
    <w:rsid w:val="0D660F9A"/>
    <w:rsid w:val="0D6945E7"/>
    <w:rsid w:val="0D962F4D"/>
    <w:rsid w:val="0DBC6E0C"/>
    <w:rsid w:val="0DF77E44"/>
    <w:rsid w:val="0E1518A1"/>
    <w:rsid w:val="0E2350DD"/>
    <w:rsid w:val="0E262ED1"/>
    <w:rsid w:val="0E2714DC"/>
    <w:rsid w:val="0E4928DC"/>
    <w:rsid w:val="0E754C08"/>
    <w:rsid w:val="0E84109E"/>
    <w:rsid w:val="0E8B4260"/>
    <w:rsid w:val="0EBC4BEA"/>
    <w:rsid w:val="0ED85EC8"/>
    <w:rsid w:val="0EDA7072"/>
    <w:rsid w:val="0EDC11FC"/>
    <w:rsid w:val="0EE26D46"/>
    <w:rsid w:val="0EF12AE6"/>
    <w:rsid w:val="0F0C4A59"/>
    <w:rsid w:val="0F112C3E"/>
    <w:rsid w:val="0F1862C4"/>
    <w:rsid w:val="0F225395"/>
    <w:rsid w:val="0F24110D"/>
    <w:rsid w:val="0F2B249C"/>
    <w:rsid w:val="0F2C6214"/>
    <w:rsid w:val="0F2E5AE8"/>
    <w:rsid w:val="0F5D0A2F"/>
    <w:rsid w:val="0F607C6B"/>
    <w:rsid w:val="0F706100"/>
    <w:rsid w:val="0F784FB5"/>
    <w:rsid w:val="0F8A6A96"/>
    <w:rsid w:val="0F8C08E3"/>
    <w:rsid w:val="0F8D06EA"/>
    <w:rsid w:val="0FA53BB8"/>
    <w:rsid w:val="0FC149A6"/>
    <w:rsid w:val="0FC1695C"/>
    <w:rsid w:val="0FDF4E93"/>
    <w:rsid w:val="0FE03B0E"/>
    <w:rsid w:val="0FE4089C"/>
    <w:rsid w:val="0FEE34C9"/>
    <w:rsid w:val="0FF90784"/>
    <w:rsid w:val="10093E5F"/>
    <w:rsid w:val="100D7DF3"/>
    <w:rsid w:val="10145BC8"/>
    <w:rsid w:val="1054157E"/>
    <w:rsid w:val="105651B6"/>
    <w:rsid w:val="106A6FF4"/>
    <w:rsid w:val="10787323"/>
    <w:rsid w:val="10836E18"/>
    <w:rsid w:val="109C2F25"/>
    <w:rsid w:val="10AB142F"/>
    <w:rsid w:val="10AB4F16"/>
    <w:rsid w:val="10C06C14"/>
    <w:rsid w:val="10C36704"/>
    <w:rsid w:val="10CB4AD3"/>
    <w:rsid w:val="10E613C1"/>
    <w:rsid w:val="10EE19D3"/>
    <w:rsid w:val="11041F12"/>
    <w:rsid w:val="11095C2A"/>
    <w:rsid w:val="1154735C"/>
    <w:rsid w:val="1158509E"/>
    <w:rsid w:val="115A0AD0"/>
    <w:rsid w:val="11763776"/>
    <w:rsid w:val="117A14B8"/>
    <w:rsid w:val="118D7848"/>
    <w:rsid w:val="11A007F3"/>
    <w:rsid w:val="11AE31E0"/>
    <w:rsid w:val="11AE5258"/>
    <w:rsid w:val="11B147AE"/>
    <w:rsid w:val="11C646FD"/>
    <w:rsid w:val="11C9487C"/>
    <w:rsid w:val="11E95B94"/>
    <w:rsid w:val="11F56D91"/>
    <w:rsid w:val="12266F4A"/>
    <w:rsid w:val="12340406"/>
    <w:rsid w:val="123A0C48"/>
    <w:rsid w:val="124341AB"/>
    <w:rsid w:val="12521AED"/>
    <w:rsid w:val="12633CFA"/>
    <w:rsid w:val="12692EF2"/>
    <w:rsid w:val="12786986"/>
    <w:rsid w:val="12922832"/>
    <w:rsid w:val="12A3059B"/>
    <w:rsid w:val="12BD293A"/>
    <w:rsid w:val="12EF37E0"/>
    <w:rsid w:val="12F17558"/>
    <w:rsid w:val="12F2507E"/>
    <w:rsid w:val="12F46273"/>
    <w:rsid w:val="1301693A"/>
    <w:rsid w:val="1308124D"/>
    <w:rsid w:val="132C0590"/>
    <w:rsid w:val="133236CD"/>
    <w:rsid w:val="13370CE3"/>
    <w:rsid w:val="13386F35"/>
    <w:rsid w:val="13394A5B"/>
    <w:rsid w:val="134A56E4"/>
    <w:rsid w:val="13651CF4"/>
    <w:rsid w:val="13A9398F"/>
    <w:rsid w:val="13B3480E"/>
    <w:rsid w:val="13BD568C"/>
    <w:rsid w:val="13E44DAF"/>
    <w:rsid w:val="13FB325E"/>
    <w:rsid w:val="1470712F"/>
    <w:rsid w:val="14AF76CB"/>
    <w:rsid w:val="14B22D17"/>
    <w:rsid w:val="14B7032D"/>
    <w:rsid w:val="14BC1DE8"/>
    <w:rsid w:val="14C10EE2"/>
    <w:rsid w:val="14C201BA"/>
    <w:rsid w:val="14E31122"/>
    <w:rsid w:val="15036F45"/>
    <w:rsid w:val="152621F6"/>
    <w:rsid w:val="1529148F"/>
    <w:rsid w:val="1542409B"/>
    <w:rsid w:val="155301D7"/>
    <w:rsid w:val="1557566D"/>
    <w:rsid w:val="15610299"/>
    <w:rsid w:val="15671D54"/>
    <w:rsid w:val="15724254"/>
    <w:rsid w:val="157F7CAB"/>
    <w:rsid w:val="158C3568"/>
    <w:rsid w:val="158F270C"/>
    <w:rsid w:val="15B36931"/>
    <w:rsid w:val="15CF16A7"/>
    <w:rsid w:val="16197E6B"/>
    <w:rsid w:val="16281F12"/>
    <w:rsid w:val="16302145"/>
    <w:rsid w:val="16351E52"/>
    <w:rsid w:val="167043DB"/>
    <w:rsid w:val="16717081"/>
    <w:rsid w:val="167209B0"/>
    <w:rsid w:val="16750D36"/>
    <w:rsid w:val="16B014D8"/>
    <w:rsid w:val="16C17241"/>
    <w:rsid w:val="170B3EB5"/>
    <w:rsid w:val="171952CF"/>
    <w:rsid w:val="1719707D"/>
    <w:rsid w:val="171D2EE0"/>
    <w:rsid w:val="1730504B"/>
    <w:rsid w:val="17361868"/>
    <w:rsid w:val="17515EC2"/>
    <w:rsid w:val="175C420C"/>
    <w:rsid w:val="17740758"/>
    <w:rsid w:val="179D2E56"/>
    <w:rsid w:val="17A6044E"/>
    <w:rsid w:val="17BA0860"/>
    <w:rsid w:val="17BD20FF"/>
    <w:rsid w:val="17E44BFC"/>
    <w:rsid w:val="17E53404"/>
    <w:rsid w:val="17EF06F4"/>
    <w:rsid w:val="180A4C18"/>
    <w:rsid w:val="180D50C3"/>
    <w:rsid w:val="180D79FC"/>
    <w:rsid w:val="18310418"/>
    <w:rsid w:val="1864558B"/>
    <w:rsid w:val="187B6274"/>
    <w:rsid w:val="189D783A"/>
    <w:rsid w:val="18B2778A"/>
    <w:rsid w:val="18B904BA"/>
    <w:rsid w:val="18C03544"/>
    <w:rsid w:val="18EB67F8"/>
    <w:rsid w:val="18F90F15"/>
    <w:rsid w:val="19063790"/>
    <w:rsid w:val="19120228"/>
    <w:rsid w:val="191F6BF2"/>
    <w:rsid w:val="195720DF"/>
    <w:rsid w:val="19654B16"/>
    <w:rsid w:val="197E766C"/>
    <w:rsid w:val="1988190B"/>
    <w:rsid w:val="198A6011"/>
    <w:rsid w:val="198F1879"/>
    <w:rsid w:val="19A5109C"/>
    <w:rsid w:val="19B32869"/>
    <w:rsid w:val="19B74EE4"/>
    <w:rsid w:val="19C74A3D"/>
    <w:rsid w:val="19D11E91"/>
    <w:rsid w:val="19EC6CCB"/>
    <w:rsid w:val="19EE2A43"/>
    <w:rsid w:val="1A0C186A"/>
    <w:rsid w:val="1A2A3350"/>
    <w:rsid w:val="1A2C356C"/>
    <w:rsid w:val="1A3348FA"/>
    <w:rsid w:val="1A3D3083"/>
    <w:rsid w:val="1A946951"/>
    <w:rsid w:val="1A9F78F8"/>
    <w:rsid w:val="1AA66E7A"/>
    <w:rsid w:val="1ABC48F0"/>
    <w:rsid w:val="1AC11F06"/>
    <w:rsid w:val="1AC61965"/>
    <w:rsid w:val="1AF65494"/>
    <w:rsid w:val="1AF75928"/>
    <w:rsid w:val="1AFC1190"/>
    <w:rsid w:val="1B101184"/>
    <w:rsid w:val="1B16525A"/>
    <w:rsid w:val="1B1A1616"/>
    <w:rsid w:val="1B1D74DF"/>
    <w:rsid w:val="1B210BF7"/>
    <w:rsid w:val="1B2B45EC"/>
    <w:rsid w:val="1B512979"/>
    <w:rsid w:val="1B59213E"/>
    <w:rsid w:val="1B666609"/>
    <w:rsid w:val="1B724FAE"/>
    <w:rsid w:val="1B7A7441"/>
    <w:rsid w:val="1B83540D"/>
    <w:rsid w:val="1B8A78B2"/>
    <w:rsid w:val="1B9C202B"/>
    <w:rsid w:val="1BEA0FE8"/>
    <w:rsid w:val="1BEC2FB3"/>
    <w:rsid w:val="1C237506"/>
    <w:rsid w:val="1C2465A3"/>
    <w:rsid w:val="1C3B7A96"/>
    <w:rsid w:val="1C4F52EF"/>
    <w:rsid w:val="1C67088B"/>
    <w:rsid w:val="1C8B27CB"/>
    <w:rsid w:val="1C9571A6"/>
    <w:rsid w:val="1CD66BB0"/>
    <w:rsid w:val="1CF928A3"/>
    <w:rsid w:val="1D1C78C7"/>
    <w:rsid w:val="1D385E44"/>
    <w:rsid w:val="1D5A219E"/>
    <w:rsid w:val="1D6923E1"/>
    <w:rsid w:val="1D762D4C"/>
    <w:rsid w:val="1DB01F75"/>
    <w:rsid w:val="1DC92705"/>
    <w:rsid w:val="1DD51824"/>
    <w:rsid w:val="1DDA6E3B"/>
    <w:rsid w:val="1DDF12F2"/>
    <w:rsid w:val="1E0A5972"/>
    <w:rsid w:val="1E0A7720"/>
    <w:rsid w:val="1E0F4D36"/>
    <w:rsid w:val="1E291486"/>
    <w:rsid w:val="1E3824DF"/>
    <w:rsid w:val="1E4744D0"/>
    <w:rsid w:val="1E4C5F8A"/>
    <w:rsid w:val="1E596F15"/>
    <w:rsid w:val="1E5D7DE9"/>
    <w:rsid w:val="1E6E5AF7"/>
    <w:rsid w:val="1E6E6048"/>
    <w:rsid w:val="1E8A260F"/>
    <w:rsid w:val="1E952C15"/>
    <w:rsid w:val="1E967206"/>
    <w:rsid w:val="1E9B2EAC"/>
    <w:rsid w:val="1EAA33EB"/>
    <w:rsid w:val="1EAE6AE9"/>
    <w:rsid w:val="1EB55AAE"/>
    <w:rsid w:val="1EDE6925"/>
    <w:rsid w:val="1F066139"/>
    <w:rsid w:val="1F130856"/>
    <w:rsid w:val="1F2C36C6"/>
    <w:rsid w:val="1F2E743E"/>
    <w:rsid w:val="1F416D3C"/>
    <w:rsid w:val="1F4E71EE"/>
    <w:rsid w:val="1F576995"/>
    <w:rsid w:val="1F5F550C"/>
    <w:rsid w:val="1F63358C"/>
    <w:rsid w:val="1F6D61B8"/>
    <w:rsid w:val="1F6E66E3"/>
    <w:rsid w:val="1F871243"/>
    <w:rsid w:val="1F9F033C"/>
    <w:rsid w:val="1FBD2E59"/>
    <w:rsid w:val="1FBF278C"/>
    <w:rsid w:val="1FFE5062"/>
    <w:rsid w:val="2006231E"/>
    <w:rsid w:val="2007660D"/>
    <w:rsid w:val="200C6649"/>
    <w:rsid w:val="20124FB2"/>
    <w:rsid w:val="20191E9C"/>
    <w:rsid w:val="204A02A8"/>
    <w:rsid w:val="20692753"/>
    <w:rsid w:val="206C1BB2"/>
    <w:rsid w:val="207672EF"/>
    <w:rsid w:val="2080016D"/>
    <w:rsid w:val="208E288A"/>
    <w:rsid w:val="20D9162C"/>
    <w:rsid w:val="20E63F9F"/>
    <w:rsid w:val="21042B4C"/>
    <w:rsid w:val="21271BF9"/>
    <w:rsid w:val="212E1977"/>
    <w:rsid w:val="212E3725"/>
    <w:rsid w:val="213762CB"/>
    <w:rsid w:val="21425423"/>
    <w:rsid w:val="21645399"/>
    <w:rsid w:val="21696E53"/>
    <w:rsid w:val="21920158"/>
    <w:rsid w:val="21927F47"/>
    <w:rsid w:val="21A64783"/>
    <w:rsid w:val="21AD23A2"/>
    <w:rsid w:val="21CF315A"/>
    <w:rsid w:val="21DE514B"/>
    <w:rsid w:val="21E07116"/>
    <w:rsid w:val="21EF55AB"/>
    <w:rsid w:val="21EF63FF"/>
    <w:rsid w:val="21F20BF7"/>
    <w:rsid w:val="2217065D"/>
    <w:rsid w:val="22293AE7"/>
    <w:rsid w:val="22317971"/>
    <w:rsid w:val="223615FD"/>
    <w:rsid w:val="226E1396"/>
    <w:rsid w:val="22793056"/>
    <w:rsid w:val="22832569"/>
    <w:rsid w:val="22835CF3"/>
    <w:rsid w:val="22971AE5"/>
    <w:rsid w:val="22AE48F7"/>
    <w:rsid w:val="22DE026A"/>
    <w:rsid w:val="22E177D9"/>
    <w:rsid w:val="22E42C35"/>
    <w:rsid w:val="22EF3388"/>
    <w:rsid w:val="22F05754"/>
    <w:rsid w:val="22F46F43"/>
    <w:rsid w:val="23166844"/>
    <w:rsid w:val="232E1AC6"/>
    <w:rsid w:val="232F786B"/>
    <w:rsid w:val="23384D2F"/>
    <w:rsid w:val="234C768D"/>
    <w:rsid w:val="23671171"/>
    <w:rsid w:val="2369138D"/>
    <w:rsid w:val="236A568F"/>
    <w:rsid w:val="23812232"/>
    <w:rsid w:val="2387457D"/>
    <w:rsid w:val="23C46955"/>
    <w:rsid w:val="23D20CE0"/>
    <w:rsid w:val="23D507D0"/>
    <w:rsid w:val="23DC56BB"/>
    <w:rsid w:val="23F5677C"/>
    <w:rsid w:val="23F63C20"/>
    <w:rsid w:val="240115C5"/>
    <w:rsid w:val="241C63FF"/>
    <w:rsid w:val="24226F43"/>
    <w:rsid w:val="24247062"/>
    <w:rsid w:val="2435126F"/>
    <w:rsid w:val="243A6885"/>
    <w:rsid w:val="2479115B"/>
    <w:rsid w:val="247B4ED4"/>
    <w:rsid w:val="24853FA4"/>
    <w:rsid w:val="24A2174F"/>
    <w:rsid w:val="24AA1A26"/>
    <w:rsid w:val="24C513B8"/>
    <w:rsid w:val="24F80254"/>
    <w:rsid w:val="25070E5D"/>
    <w:rsid w:val="250A6257"/>
    <w:rsid w:val="250E5D48"/>
    <w:rsid w:val="25165925"/>
    <w:rsid w:val="25294857"/>
    <w:rsid w:val="252F3F10"/>
    <w:rsid w:val="25382DC5"/>
    <w:rsid w:val="255614AE"/>
    <w:rsid w:val="255676EF"/>
    <w:rsid w:val="255A71DF"/>
    <w:rsid w:val="255D0A7D"/>
    <w:rsid w:val="25735262"/>
    <w:rsid w:val="259B2F08"/>
    <w:rsid w:val="25AB2680"/>
    <w:rsid w:val="25AC3A6A"/>
    <w:rsid w:val="25D074A1"/>
    <w:rsid w:val="25D96C39"/>
    <w:rsid w:val="25ED0053"/>
    <w:rsid w:val="25FA451E"/>
    <w:rsid w:val="261964FD"/>
    <w:rsid w:val="262C38E5"/>
    <w:rsid w:val="263F14EC"/>
    <w:rsid w:val="264D0AF2"/>
    <w:rsid w:val="265C5712"/>
    <w:rsid w:val="265D05FD"/>
    <w:rsid w:val="26622EB6"/>
    <w:rsid w:val="26651F76"/>
    <w:rsid w:val="268A3AF4"/>
    <w:rsid w:val="26A10E3D"/>
    <w:rsid w:val="26A30712"/>
    <w:rsid w:val="26A51FB7"/>
    <w:rsid w:val="26A56238"/>
    <w:rsid w:val="26B5104E"/>
    <w:rsid w:val="26BA675A"/>
    <w:rsid w:val="26C55046"/>
    <w:rsid w:val="26C62A86"/>
    <w:rsid w:val="26ED5E31"/>
    <w:rsid w:val="26F47B11"/>
    <w:rsid w:val="26F61189"/>
    <w:rsid w:val="26F70A5D"/>
    <w:rsid w:val="270C62B7"/>
    <w:rsid w:val="27135897"/>
    <w:rsid w:val="2714160F"/>
    <w:rsid w:val="27174C5C"/>
    <w:rsid w:val="271B6D61"/>
    <w:rsid w:val="2728280B"/>
    <w:rsid w:val="272E26D1"/>
    <w:rsid w:val="27363334"/>
    <w:rsid w:val="27467B25"/>
    <w:rsid w:val="27475541"/>
    <w:rsid w:val="276C144B"/>
    <w:rsid w:val="27716A62"/>
    <w:rsid w:val="277976C4"/>
    <w:rsid w:val="277F098D"/>
    <w:rsid w:val="278170DB"/>
    <w:rsid w:val="27930786"/>
    <w:rsid w:val="279D4D50"/>
    <w:rsid w:val="27AB3D22"/>
    <w:rsid w:val="27D05536"/>
    <w:rsid w:val="28292E99"/>
    <w:rsid w:val="283005FE"/>
    <w:rsid w:val="28327F9F"/>
    <w:rsid w:val="28331A56"/>
    <w:rsid w:val="28434849"/>
    <w:rsid w:val="28456613"/>
    <w:rsid w:val="286D202F"/>
    <w:rsid w:val="28956780"/>
    <w:rsid w:val="28C52BC1"/>
    <w:rsid w:val="28C606E7"/>
    <w:rsid w:val="28CC69C1"/>
    <w:rsid w:val="29085DCB"/>
    <w:rsid w:val="290D6316"/>
    <w:rsid w:val="291807B8"/>
    <w:rsid w:val="29352E3A"/>
    <w:rsid w:val="293F15D2"/>
    <w:rsid w:val="294A756A"/>
    <w:rsid w:val="295B01BA"/>
    <w:rsid w:val="295B1778"/>
    <w:rsid w:val="296E7D76"/>
    <w:rsid w:val="298F31CF"/>
    <w:rsid w:val="29B260BA"/>
    <w:rsid w:val="29C6285B"/>
    <w:rsid w:val="29D37560"/>
    <w:rsid w:val="29DD3F3B"/>
    <w:rsid w:val="29EF6C8F"/>
    <w:rsid w:val="29F97E4E"/>
    <w:rsid w:val="2A04596B"/>
    <w:rsid w:val="2A261D85"/>
    <w:rsid w:val="2A2B739C"/>
    <w:rsid w:val="2A3505EE"/>
    <w:rsid w:val="2A383867"/>
    <w:rsid w:val="2A467D32"/>
    <w:rsid w:val="2A4949BA"/>
    <w:rsid w:val="2A53244F"/>
    <w:rsid w:val="2A5744DB"/>
    <w:rsid w:val="2A5B72A5"/>
    <w:rsid w:val="2A5F7045"/>
    <w:rsid w:val="2A76764D"/>
    <w:rsid w:val="2AA42CAA"/>
    <w:rsid w:val="2ABD3BC6"/>
    <w:rsid w:val="2ACD2201"/>
    <w:rsid w:val="2AE337D3"/>
    <w:rsid w:val="2AF7727E"/>
    <w:rsid w:val="2B04158B"/>
    <w:rsid w:val="2B150495"/>
    <w:rsid w:val="2B177920"/>
    <w:rsid w:val="2B312C19"/>
    <w:rsid w:val="2B5A1960"/>
    <w:rsid w:val="2B637489"/>
    <w:rsid w:val="2B6C01DB"/>
    <w:rsid w:val="2B726905"/>
    <w:rsid w:val="2B8209DE"/>
    <w:rsid w:val="2B8D272F"/>
    <w:rsid w:val="2BA72A52"/>
    <w:rsid w:val="2BD27F42"/>
    <w:rsid w:val="2BE94E19"/>
    <w:rsid w:val="2BE96E2D"/>
    <w:rsid w:val="2C3A38C6"/>
    <w:rsid w:val="2C4C16FF"/>
    <w:rsid w:val="2C6721E1"/>
    <w:rsid w:val="2C8608B9"/>
    <w:rsid w:val="2C9E20A7"/>
    <w:rsid w:val="2C9F63A9"/>
    <w:rsid w:val="2CBE62A5"/>
    <w:rsid w:val="2CC80A91"/>
    <w:rsid w:val="2CCE2260"/>
    <w:rsid w:val="2CDE06F5"/>
    <w:rsid w:val="2CE45CBD"/>
    <w:rsid w:val="2CE81574"/>
    <w:rsid w:val="2CF37F79"/>
    <w:rsid w:val="2D216834"/>
    <w:rsid w:val="2D3C541C"/>
    <w:rsid w:val="2D3C7997"/>
    <w:rsid w:val="2D480265"/>
    <w:rsid w:val="2D617625"/>
    <w:rsid w:val="2D7D6B19"/>
    <w:rsid w:val="2D9172A0"/>
    <w:rsid w:val="2DAA682A"/>
    <w:rsid w:val="2DAF2092"/>
    <w:rsid w:val="2DB5581A"/>
    <w:rsid w:val="2DB94CBF"/>
    <w:rsid w:val="2DC07527"/>
    <w:rsid w:val="2DD37B2E"/>
    <w:rsid w:val="2DE34362"/>
    <w:rsid w:val="2DE51610"/>
    <w:rsid w:val="2DEA34FB"/>
    <w:rsid w:val="2DEF20D7"/>
    <w:rsid w:val="2E261FD3"/>
    <w:rsid w:val="2E2A1718"/>
    <w:rsid w:val="2E3422F8"/>
    <w:rsid w:val="2E382ECE"/>
    <w:rsid w:val="2E5A120D"/>
    <w:rsid w:val="2E5E7CC5"/>
    <w:rsid w:val="2E6609A2"/>
    <w:rsid w:val="2E89343E"/>
    <w:rsid w:val="2E9A4AF0"/>
    <w:rsid w:val="2EA75C11"/>
    <w:rsid w:val="2EAE017D"/>
    <w:rsid w:val="2EB01C1E"/>
    <w:rsid w:val="2EB13C87"/>
    <w:rsid w:val="2EC67693"/>
    <w:rsid w:val="2ECE6063"/>
    <w:rsid w:val="2ED753FC"/>
    <w:rsid w:val="2EE70552"/>
    <w:rsid w:val="2EE8585B"/>
    <w:rsid w:val="2EF064BE"/>
    <w:rsid w:val="2EF20488"/>
    <w:rsid w:val="2F0119DF"/>
    <w:rsid w:val="2F2717B8"/>
    <w:rsid w:val="2F3A39D1"/>
    <w:rsid w:val="2F3A3BDD"/>
    <w:rsid w:val="2F452CAE"/>
    <w:rsid w:val="2F5051AF"/>
    <w:rsid w:val="2F5922B5"/>
    <w:rsid w:val="2F6F3887"/>
    <w:rsid w:val="2F8224C5"/>
    <w:rsid w:val="2FA06136"/>
    <w:rsid w:val="2FA32702"/>
    <w:rsid w:val="2FC8743B"/>
    <w:rsid w:val="2FCA31B3"/>
    <w:rsid w:val="2FD44032"/>
    <w:rsid w:val="30134B5A"/>
    <w:rsid w:val="302567CF"/>
    <w:rsid w:val="302723B3"/>
    <w:rsid w:val="303C40BD"/>
    <w:rsid w:val="3045283A"/>
    <w:rsid w:val="304E5B92"/>
    <w:rsid w:val="30590093"/>
    <w:rsid w:val="305F7D9F"/>
    <w:rsid w:val="307B625B"/>
    <w:rsid w:val="307D6477"/>
    <w:rsid w:val="309D08C8"/>
    <w:rsid w:val="30A13F14"/>
    <w:rsid w:val="30AD28D7"/>
    <w:rsid w:val="30B30980"/>
    <w:rsid w:val="30E6401D"/>
    <w:rsid w:val="310C55BA"/>
    <w:rsid w:val="31224929"/>
    <w:rsid w:val="31376626"/>
    <w:rsid w:val="315224D4"/>
    <w:rsid w:val="31717D8A"/>
    <w:rsid w:val="3176279D"/>
    <w:rsid w:val="319770C5"/>
    <w:rsid w:val="31A11CF2"/>
    <w:rsid w:val="31B55BDA"/>
    <w:rsid w:val="31C37EBA"/>
    <w:rsid w:val="31D15247"/>
    <w:rsid w:val="31D245A1"/>
    <w:rsid w:val="31D9148B"/>
    <w:rsid w:val="31E47BCC"/>
    <w:rsid w:val="320D6B1C"/>
    <w:rsid w:val="321109A1"/>
    <w:rsid w:val="321270E3"/>
    <w:rsid w:val="321E1594"/>
    <w:rsid w:val="322841C1"/>
    <w:rsid w:val="323668DE"/>
    <w:rsid w:val="323808A8"/>
    <w:rsid w:val="323B0093"/>
    <w:rsid w:val="323C7F64"/>
    <w:rsid w:val="323E39E4"/>
    <w:rsid w:val="32466E61"/>
    <w:rsid w:val="324A2760"/>
    <w:rsid w:val="32503556"/>
    <w:rsid w:val="325A081E"/>
    <w:rsid w:val="326649B8"/>
    <w:rsid w:val="3278743C"/>
    <w:rsid w:val="32827D75"/>
    <w:rsid w:val="328E0C7D"/>
    <w:rsid w:val="32911D66"/>
    <w:rsid w:val="329C4F37"/>
    <w:rsid w:val="32AB02BD"/>
    <w:rsid w:val="32C83D55"/>
    <w:rsid w:val="32DA184C"/>
    <w:rsid w:val="32E26A66"/>
    <w:rsid w:val="32E620B2"/>
    <w:rsid w:val="32F95CB7"/>
    <w:rsid w:val="33010C9A"/>
    <w:rsid w:val="33244988"/>
    <w:rsid w:val="334E5EA9"/>
    <w:rsid w:val="3356384F"/>
    <w:rsid w:val="33582236"/>
    <w:rsid w:val="33997124"/>
    <w:rsid w:val="33A65CE5"/>
    <w:rsid w:val="33AD7074"/>
    <w:rsid w:val="33B64277"/>
    <w:rsid w:val="33C76378"/>
    <w:rsid w:val="33D17B22"/>
    <w:rsid w:val="33D26ADA"/>
    <w:rsid w:val="33D62126"/>
    <w:rsid w:val="33DE722D"/>
    <w:rsid w:val="33E41C73"/>
    <w:rsid w:val="33F7717D"/>
    <w:rsid w:val="340C3D9A"/>
    <w:rsid w:val="34190265"/>
    <w:rsid w:val="342A6B27"/>
    <w:rsid w:val="34360E17"/>
    <w:rsid w:val="344D7F0F"/>
    <w:rsid w:val="3469049A"/>
    <w:rsid w:val="346E6B7F"/>
    <w:rsid w:val="34766B9C"/>
    <w:rsid w:val="349F41F7"/>
    <w:rsid w:val="350022EF"/>
    <w:rsid w:val="35020CF9"/>
    <w:rsid w:val="35074561"/>
    <w:rsid w:val="35132F06"/>
    <w:rsid w:val="3522139B"/>
    <w:rsid w:val="352B0250"/>
    <w:rsid w:val="352E1AEE"/>
    <w:rsid w:val="35325A82"/>
    <w:rsid w:val="35411821"/>
    <w:rsid w:val="3558300F"/>
    <w:rsid w:val="3566572C"/>
    <w:rsid w:val="3583585A"/>
    <w:rsid w:val="35904557"/>
    <w:rsid w:val="35935DF5"/>
    <w:rsid w:val="35987004"/>
    <w:rsid w:val="359C73A0"/>
    <w:rsid w:val="35B75970"/>
    <w:rsid w:val="35C8513F"/>
    <w:rsid w:val="35D040D0"/>
    <w:rsid w:val="35D11499"/>
    <w:rsid w:val="35E03756"/>
    <w:rsid w:val="3607320C"/>
    <w:rsid w:val="360E0992"/>
    <w:rsid w:val="361707D4"/>
    <w:rsid w:val="361E1B63"/>
    <w:rsid w:val="36271315"/>
    <w:rsid w:val="36296D8F"/>
    <w:rsid w:val="36394BEF"/>
    <w:rsid w:val="36454EF4"/>
    <w:rsid w:val="36480ED6"/>
    <w:rsid w:val="3667784E"/>
    <w:rsid w:val="366E687E"/>
    <w:rsid w:val="368049F0"/>
    <w:rsid w:val="36897924"/>
    <w:rsid w:val="369B1405"/>
    <w:rsid w:val="36C46BAE"/>
    <w:rsid w:val="36C56482"/>
    <w:rsid w:val="36F9612C"/>
    <w:rsid w:val="372C02AF"/>
    <w:rsid w:val="37427DCD"/>
    <w:rsid w:val="374D6BA3"/>
    <w:rsid w:val="376161AB"/>
    <w:rsid w:val="376E062B"/>
    <w:rsid w:val="378C1681"/>
    <w:rsid w:val="3793032E"/>
    <w:rsid w:val="37AB17B4"/>
    <w:rsid w:val="37C14E9C"/>
    <w:rsid w:val="37DB5A6F"/>
    <w:rsid w:val="38003C16"/>
    <w:rsid w:val="38037262"/>
    <w:rsid w:val="38211DDE"/>
    <w:rsid w:val="385B0E4C"/>
    <w:rsid w:val="386717C0"/>
    <w:rsid w:val="38723425"/>
    <w:rsid w:val="38974AF0"/>
    <w:rsid w:val="38C34C43"/>
    <w:rsid w:val="38C95885"/>
    <w:rsid w:val="390019F4"/>
    <w:rsid w:val="391F631E"/>
    <w:rsid w:val="39202096"/>
    <w:rsid w:val="393F5676"/>
    <w:rsid w:val="39422DEA"/>
    <w:rsid w:val="395D29A2"/>
    <w:rsid w:val="39CE1AF2"/>
    <w:rsid w:val="39E676B1"/>
    <w:rsid w:val="39F257E0"/>
    <w:rsid w:val="39F96B6F"/>
    <w:rsid w:val="3A030AC5"/>
    <w:rsid w:val="3A06128C"/>
    <w:rsid w:val="3A3E7A83"/>
    <w:rsid w:val="3A476A7B"/>
    <w:rsid w:val="3A542215"/>
    <w:rsid w:val="3AA82343"/>
    <w:rsid w:val="3AD924FC"/>
    <w:rsid w:val="3ADF1DF8"/>
    <w:rsid w:val="3AE315CD"/>
    <w:rsid w:val="3AEF1D20"/>
    <w:rsid w:val="3B29323F"/>
    <w:rsid w:val="3B2C6AD0"/>
    <w:rsid w:val="3B8033E1"/>
    <w:rsid w:val="3BA269FD"/>
    <w:rsid w:val="3BAB20EB"/>
    <w:rsid w:val="3BB13099"/>
    <w:rsid w:val="3BB379B1"/>
    <w:rsid w:val="3BBD3BCC"/>
    <w:rsid w:val="3BD11425"/>
    <w:rsid w:val="3BD6013A"/>
    <w:rsid w:val="3BF13876"/>
    <w:rsid w:val="3BFF2436"/>
    <w:rsid w:val="3C08753D"/>
    <w:rsid w:val="3C2C6246"/>
    <w:rsid w:val="3C6A3D54"/>
    <w:rsid w:val="3C9E1C4F"/>
    <w:rsid w:val="3CCF40AD"/>
    <w:rsid w:val="3CE05AB2"/>
    <w:rsid w:val="3D1B504E"/>
    <w:rsid w:val="3D22018A"/>
    <w:rsid w:val="3D295E51"/>
    <w:rsid w:val="3D3B124C"/>
    <w:rsid w:val="3D3B2FFA"/>
    <w:rsid w:val="3D485717"/>
    <w:rsid w:val="3D5B24BE"/>
    <w:rsid w:val="3D657A24"/>
    <w:rsid w:val="3D6B7484"/>
    <w:rsid w:val="3D791D75"/>
    <w:rsid w:val="3D7D76FE"/>
    <w:rsid w:val="3D900F90"/>
    <w:rsid w:val="3D967432"/>
    <w:rsid w:val="3DA17C5A"/>
    <w:rsid w:val="3DA94408"/>
    <w:rsid w:val="3DD82F3F"/>
    <w:rsid w:val="3DE6565C"/>
    <w:rsid w:val="3DE6740A"/>
    <w:rsid w:val="3DE93FE1"/>
    <w:rsid w:val="3DEF2039"/>
    <w:rsid w:val="3E38014F"/>
    <w:rsid w:val="3E483C21"/>
    <w:rsid w:val="3E5726C4"/>
    <w:rsid w:val="3E5C147A"/>
    <w:rsid w:val="3E66477A"/>
    <w:rsid w:val="3E6B5B61"/>
    <w:rsid w:val="3E7F160D"/>
    <w:rsid w:val="3EAA6689"/>
    <w:rsid w:val="3F0E2A92"/>
    <w:rsid w:val="3F0F2990"/>
    <w:rsid w:val="3F253F62"/>
    <w:rsid w:val="3F2921E6"/>
    <w:rsid w:val="3F5356B7"/>
    <w:rsid w:val="3F5F6009"/>
    <w:rsid w:val="3F7857D1"/>
    <w:rsid w:val="3F7D5A4F"/>
    <w:rsid w:val="3F9A21C7"/>
    <w:rsid w:val="3FB13A48"/>
    <w:rsid w:val="3FB41B8F"/>
    <w:rsid w:val="3FBF43B6"/>
    <w:rsid w:val="3FCA68B7"/>
    <w:rsid w:val="3FD37E62"/>
    <w:rsid w:val="402D0145"/>
    <w:rsid w:val="403C77B5"/>
    <w:rsid w:val="407D1B7C"/>
    <w:rsid w:val="40884444"/>
    <w:rsid w:val="40A3112D"/>
    <w:rsid w:val="40A35A86"/>
    <w:rsid w:val="40A73B61"/>
    <w:rsid w:val="40BF3F42"/>
    <w:rsid w:val="40D03769"/>
    <w:rsid w:val="40D53EF1"/>
    <w:rsid w:val="40FB141E"/>
    <w:rsid w:val="411B561D"/>
    <w:rsid w:val="412E12E8"/>
    <w:rsid w:val="4153338C"/>
    <w:rsid w:val="41581D4D"/>
    <w:rsid w:val="41656898"/>
    <w:rsid w:val="418D4040"/>
    <w:rsid w:val="41D028AB"/>
    <w:rsid w:val="41F95D14"/>
    <w:rsid w:val="42072045"/>
    <w:rsid w:val="42295B17"/>
    <w:rsid w:val="42336996"/>
    <w:rsid w:val="42447849"/>
    <w:rsid w:val="426217EC"/>
    <w:rsid w:val="429D6505"/>
    <w:rsid w:val="42CC4BAF"/>
    <w:rsid w:val="42CE4911"/>
    <w:rsid w:val="42DC527F"/>
    <w:rsid w:val="42E171C0"/>
    <w:rsid w:val="42E2739A"/>
    <w:rsid w:val="42ED4D97"/>
    <w:rsid w:val="42F97BDF"/>
    <w:rsid w:val="432A5FEB"/>
    <w:rsid w:val="43452E25"/>
    <w:rsid w:val="43613324"/>
    <w:rsid w:val="4364553F"/>
    <w:rsid w:val="4374370A"/>
    <w:rsid w:val="43853221"/>
    <w:rsid w:val="43C81360"/>
    <w:rsid w:val="43F07682"/>
    <w:rsid w:val="4416031D"/>
    <w:rsid w:val="44167F08"/>
    <w:rsid w:val="44175E76"/>
    <w:rsid w:val="44231A85"/>
    <w:rsid w:val="442A3DC9"/>
    <w:rsid w:val="443973A6"/>
    <w:rsid w:val="445E6A7B"/>
    <w:rsid w:val="44703ED1"/>
    <w:rsid w:val="447A4D50"/>
    <w:rsid w:val="448230D6"/>
    <w:rsid w:val="449C4CC6"/>
    <w:rsid w:val="449F6565"/>
    <w:rsid w:val="44C304A5"/>
    <w:rsid w:val="44C85ABB"/>
    <w:rsid w:val="44CD1324"/>
    <w:rsid w:val="45187B20"/>
    <w:rsid w:val="451C5E07"/>
    <w:rsid w:val="45237196"/>
    <w:rsid w:val="45275A63"/>
    <w:rsid w:val="4538249B"/>
    <w:rsid w:val="453942C3"/>
    <w:rsid w:val="453C0257"/>
    <w:rsid w:val="453E3FCF"/>
    <w:rsid w:val="45513D03"/>
    <w:rsid w:val="4565673D"/>
    <w:rsid w:val="4574077E"/>
    <w:rsid w:val="45765517"/>
    <w:rsid w:val="45795008"/>
    <w:rsid w:val="459E4A6E"/>
    <w:rsid w:val="45AA241A"/>
    <w:rsid w:val="45BE0C6C"/>
    <w:rsid w:val="45C30031"/>
    <w:rsid w:val="46192347"/>
    <w:rsid w:val="464F6181"/>
    <w:rsid w:val="46671304"/>
    <w:rsid w:val="467342B8"/>
    <w:rsid w:val="46963997"/>
    <w:rsid w:val="46B02CAB"/>
    <w:rsid w:val="46D36999"/>
    <w:rsid w:val="46DD3374"/>
    <w:rsid w:val="46E75FA1"/>
    <w:rsid w:val="47095F17"/>
    <w:rsid w:val="470D1EAB"/>
    <w:rsid w:val="47390D31"/>
    <w:rsid w:val="473B735A"/>
    <w:rsid w:val="47484C91"/>
    <w:rsid w:val="4749496A"/>
    <w:rsid w:val="474D04FA"/>
    <w:rsid w:val="475950F1"/>
    <w:rsid w:val="47633879"/>
    <w:rsid w:val="4766336A"/>
    <w:rsid w:val="47677A6F"/>
    <w:rsid w:val="47737D22"/>
    <w:rsid w:val="47942E2B"/>
    <w:rsid w:val="47C50090"/>
    <w:rsid w:val="47CB7671"/>
    <w:rsid w:val="47D41743"/>
    <w:rsid w:val="47E25E36"/>
    <w:rsid w:val="48172BDB"/>
    <w:rsid w:val="48223734"/>
    <w:rsid w:val="483B2A48"/>
    <w:rsid w:val="485960BF"/>
    <w:rsid w:val="486C71BD"/>
    <w:rsid w:val="4873378B"/>
    <w:rsid w:val="488A12DA"/>
    <w:rsid w:val="488E2B78"/>
    <w:rsid w:val="489A151D"/>
    <w:rsid w:val="48B40105"/>
    <w:rsid w:val="48B87BF5"/>
    <w:rsid w:val="48D72771"/>
    <w:rsid w:val="48DB64A5"/>
    <w:rsid w:val="48E56510"/>
    <w:rsid w:val="48FD385A"/>
    <w:rsid w:val="493A4AAE"/>
    <w:rsid w:val="495C057F"/>
    <w:rsid w:val="497004D0"/>
    <w:rsid w:val="497E0E3E"/>
    <w:rsid w:val="49836455"/>
    <w:rsid w:val="498668DA"/>
    <w:rsid w:val="49A10689"/>
    <w:rsid w:val="49A85EBB"/>
    <w:rsid w:val="49AB1508"/>
    <w:rsid w:val="49EA0597"/>
    <w:rsid w:val="49F41101"/>
    <w:rsid w:val="4A0961E3"/>
    <w:rsid w:val="4A183041"/>
    <w:rsid w:val="4A205A52"/>
    <w:rsid w:val="4A5B4CDC"/>
    <w:rsid w:val="4A5E3F5D"/>
    <w:rsid w:val="4A6A1427"/>
    <w:rsid w:val="4A730277"/>
    <w:rsid w:val="4A8C758B"/>
    <w:rsid w:val="4A965D14"/>
    <w:rsid w:val="4AE42F23"/>
    <w:rsid w:val="4AE83C54"/>
    <w:rsid w:val="4AF97A1B"/>
    <w:rsid w:val="4B06733D"/>
    <w:rsid w:val="4B0B6702"/>
    <w:rsid w:val="4B0C5FD6"/>
    <w:rsid w:val="4B1E0FA9"/>
    <w:rsid w:val="4B206D94"/>
    <w:rsid w:val="4B215F25"/>
    <w:rsid w:val="4B2C3CC2"/>
    <w:rsid w:val="4B321EE0"/>
    <w:rsid w:val="4B49722A"/>
    <w:rsid w:val="4B4C6376"/>
    <w:rsid w:val="4B6127C6"/>
    <w:rsid w:val="4B6776C2"/>
    <w:rsid w:val="4B751DCD"/>
    <w:rsid w:val="4B814C16"/>
    <w:rsid w:val="4B893ACB"/>
    <w:rsid w:val="4B9F32EE"/>
    <w:rsid w:val="4BAB3530"/>
    <w:rsid w:val="4BB548C0"/>
    <w:rsid w:val="4BC36D42"/>
    <w:rsid w:val="4BE40D01"/>
    <w:rsid w:val="4BEB6533"/>
    <w:rsid w:val="4BEC408D"/>
    <w:rsid w:val="4BF076A6"/>
    <w:rsid w:val="4BFF64CD"/>
    <w:rsid w:val="4C0A1121"/>
    <w:rsid w:val="4C161AF1"/>
    <w:rsid w:val="4C222B32"/>
    <w:rsid w:val="4C285091"/>
    <w:rsid w:val="4C416153"/>
    <w:rsid w:val="4C417B78"/>
    <w:rsid w:val="4C5365B2"/>
    <w:rsid w:val="4C87101B"/>
    <w:rsid w:val="4C924E2D"/>
    <w:rsid w:val="4C9359B0"/>
    <w:rsid w:val="4C9D5A7F"/>
    <w:rsid w:val="4CE74F4D"/>
    <w:rsid w:val="4D111FCA"/>
    <w:rsid w:val="4D1B2F53"/>
    <w:rsid w:val="4D4B54DB"/>
    <w:rsid w:val="4D565C2E"/>
    <w:rsid w:val="4D61085B"/>
    <w:rsid w:val="4D667004"/>
    <w:rsid w:val="4D6B0035"/>
    <w:rsid w:val="4D6D43F9"/>
    <w:rsid w:val="4D866514"/>
    <w:rsid w:val="4D930C30"/>
    <w:rsid w:val="4D9C7AE5"/>
    <w:rsid w:val="4DB210B7"/>
    <w:rsid w:val="4DC1754C"/>
    <w:rsid w:val="4DD54DA5"/>
    <w:rsid w:val="4DE33966"/>
    <w:rsid w:val="4DEB6377"/>
    <w:rsid w:val="4DF06083"/>
    <w:rsid w:val="4DFA2A5E"/>
    <w:rsid w:val="4DFA66E6"/>
    <w:rsid w:val="4E065CB6"/>
    <w:rsid w:val="4E200716"/>
    <w:rsid w:val="4E30022D"/>
    <w:rsid w:val="4E482208"/>
    <w:rsid w:val="4E4F2DA9"/>
    <w:rsid w:val="4E5401B4"/>
    <w:rsid w:val="4E5B57DC"/>
    <w:rsid w:val="4E6D5DEE"/>
    <w:rsid w:val="4E740A62"/>
    <w:rsid w:val="4E766588"/>
    <w:rsid w:val="4EA6788D"/>
    <w:rsid w:val="4EB470B0"/>
    <w:rsid w:val="4EC76DE4"/>
    <w:rsid w:val="4EFE6975"/>
    <w:rsid w:val="4F1815E2"/>
    <w:rsid w:val="4F183BE6"/>
    <w:rsid w:val="4F336227"/>
    <w:rsid w:val="4F4F73A1"/>
    <w:rsid w:val="4F8E7901"/>
    <w:rsid w:val="4F9B059D"/>
    <w:rsid w:val="4FCE41A2"/>
    <w:rsid w:val="4FD866CB"/>
    <w:rsid w:val="4FDC68BF"/>
    <w:rsid w:val="4FE94B38"/>
    <w:rsid w:val="4FEA5EB5"/>
    <w:rsid w:val="4FEB04D3"/>
    <w:rsid w:val="4FF9121F"/>
    <w:rsid w:val="501740DB"/>
    <w:rsid w:val="505B3C87"/>
    <w:rsid w:val="505D7058"/>
    <w:rsid w:val="507A1C34"/>
    <w:rsid w:val="509C7DFC"/>
    <w:rsid w:val="50B43398"/>
    <w:rsid w:val="50C00528"/>
    <w:rsid w:val="50C11611"/>
    <w:rsid w:val="50C25AB5"/>
    <w:rsid w:val="50C35389"/>
    <w:rsid w:val="50D137D5"/>
    <w:rsid w:val="50F84F5E"/>
    <w:rsid w:val="51112598"/>
    <w:rsid w:val="51206ED5"/>
    <w:rsid w:val="51422684"/>
    <w:rsid w:val="514C35D0"/>
    <w:rsid w:val="51667392"/>
    <w:rsid w:val="51825244"/>
    <w:rsid w:val="51B01DB1"/>
    <w:rsid w:val="51BC4CC0"/>
    <w:rsid w:val="51DA6E2E"/>
    <w:rsid w:val="51FC0A11"/>
    <w:rsid w:val="521C7446"/>
    <w:rsid w:val="52417FCB"/>
    <w:rsid w:val="526606C2"/>
    <w:rsid w:val="528172AA"/>
    <w:rsid w:val="529C1904"/>
    <w:rsid w:val="529F12A2"/>
    <w:rsid w:val="52B753C1"/>
    <w:rsid w:val="530138E1"/>
    <w:rsid w:val="530F0D59"/>
    <w:rsid w:val="531613D5"/>
    <w:rsid w:val="5324020D"/>
    <w:rsid w:val="532A5B93"/>
    <w:rsid w:val="533267F6"/>
    <w:rsid w:val="535E4700"/>
    <w:rsid w:val="536B2FE6"/>
    <w:rsid w:val="536E3CD2"/>
    <w:rsid w:val="5373753A"/>
    <w:rsid w:val="537D5CC3"/>
    <w:rsid w:val="53BB4A3D"/>
    <w:rsid w:val="53E24C4B"/>
    <w:rsid w:val="53F37C05"/>
    <w:rsid w:val="540B7EB5"/>
    <w:rsid w:val="540E1011"/>
    <w:rsid w:val="54297BF9"/>
    <w:rsid w:val="5436445F"/>
    <w:rsid w:val="543F7869"/>
    <w:rsid w:val="544B5DC1"/>
    <w:rsid w:val="545033D7"/>
    <w:rsid w:val="54D20290"/>
    <w:rsid w:val="54D67D81"/>
    <w:rsid w:val="54E2482B"/>
    <w:rsid w:val="54E56216"/>
    <w:rsid w:val="54F47B28"/>
    <w:rsid w:val="550F6DEF"/>
    <w:rsid w:val="553B73E2"/>
    <w:rsid w:val="554051FA"/>
    <w:rsid w:val="55473338"/>
    <w:rsid w:val="55833339"/>
    <w:rsid w:val="559429E6"/>
    <w:rsid w:val="55FC07CB"/>
    <w:rsid w:val="560721BC"/>
    <w:rsid w:val="561F12B3"/>
    <w:rsid w:val="562B7C58"/>
    <w:rsid w:val="563D798B"/>
    <w:rsid w:val="56561738"/>
    <w:rsid w:val="56602B8B"/>
    <w:rsid w:val="56617B1E"/>
    <w:rsid w:val="56763E09"/>
    <w:rsid w:val="568071EB"/>
    <w:rsid w:val="568E3A93"/>
    <w:rsid w:val="56B52D87"/>
    <w:rsid w:val="56BB26A7"/>
    <w:rsid w:val="56C1680E"/>
    <w:rsid w:val="56CC00BF"/>
    <w:rsid w:val="56EF6ED8"/>
    <w:rsid w:val="570979E2"/>
    <w:rsid w:val="571C3A45"/>
    <w:rsid w:val="571C57F3"/>
    <w:rsid w:val="571D1826"/>
    <w:rsid w:val="57362D58"/>
    <w:rsid w:val="573C5E95"/>
    <w:rsid w:val="5743331B"/>
    <w:rsid w:val="57541431"/>
    <w:rsid w:val="575431DF"/>
    <w:rsid w:val="576462DE"/>
    <w:rsid w:val="576B0713"/>
    <w:rsid w:val="576E2DF4"/>
    <w:rsid w:val="57737EC4"/>
    <w:rsid w:val="5785783C"/>
    <w:rsid w:val="57947A7F"/>
    <w:rsid w:val="57A86BE1"/>
    <w:rsid w:val="57CB5B25"/>
    <w:rsid w:val="57E44562"/>
    <w:rsid w:val="57EB4490"/>
    <w:rsid w:val="57EC1669"/>
    <w:rsid w:val="580449F9"/>
    <w:rsid w:val="582C5F09"/>
    <w:rsid w:val="58311772"/>
    <w:rsid w:val="58337298"/>
    <w:rsid w:val="58873140"/>
    <w:rsid w:val="58935F89"/>
    <w:rsid w:val="58A63441"/>
    <w:rsid w:val="58BF28DA"/>
    <w:rsid w:val="58D00AF4"/>
    <w:rsid w:val="58D74F65"/>
    <w:rsid w:val="58DE1D8C"/>
    <w:rsid w:val="58F06F37"/>
    <w:rsid w:val="58F44C79"/>
    <w:rsid w:val="5919648E"/>
    <w:rsid w:val="591A5DA5"/>
    <w:rsid w:val="59337D32"/>
    <w:rsid w:val="598A550B"/>
    <w:rsid w:val="599C09DC"/>
    <w:rsid w:val="599D70BF"/>
    <w:rsid w:val="59B47F65"/>
    <w:rsid w:val="59BA6FCD"/>
    <w:rsid w:val="59CC3500"/>
    <w:rsid w:val="59D14FBA"/>
    <w:rsid w:val="59EE3017"/>
    <w:rsid w:val="59F1323B"/>
    <w:rsid w:val="5A0D0436"/>
    <w:rsid w:val="5A2C0443"/>
    <w:rsid w:val="5A5B2AD6"/>
    <w:rsid w:val="5A7B0A82"/>
    <w:rsid w:val="5A86410C"/>
    <w:rsid w:val="5A9B2ED2"/>
    <w:rsid w:val="5AAE0E58"/>
    <w:rsid w:val="5AC32B55"/>
    <w:rsid w:val="5ADF3707"/>
    <w:rsid w:val="5AF56A87"/>
    <w:rsid w:val="5AFE1DDF"/>
    <w:rsid w:val="5B1433B1"/>
    <w:rsid w:val="5B1E5FDD"/>
    <w:rsid w:val="5B264B73"/>
    <w:rsid w:val="5B2A2BD4"/>
    <w:rsid w:val="5B5F1393"/>
    <w:rsid w:val="5B5F2152"/>
    <w:rsid w:val="5B6B6D49"/>
    <w:rsid w:val="5B9535F4"/>
    <w:rsid w:val="5B991B08"/>
    <w:rsid w:val="5B9938B6"/>
    <w:rsid w:val="5BC528FD"/>
    <w:rsid w:val="5BC8419B"/>
    <w:rsid w:val="5BD26DC8"/>
    <w:rsid w:val="5BDE576D"/>
    <w:rsid w:val="5C0B4CB9"/>
    <w:rsid w:val="5C0D0AE7"/>
    <w:rsid w:val="5C2018E1"/>
    <w:rsid w:val="5C2C0286"/>
    <w:rsid w:val="5C2C297C"/>
    <w:rsid w:val="5C2E2250"/>
    <w:rsid w:val="5C753B41"/>
    <w:rsid w:val="5C7D31D8"/>
    <w:rsid w:val="5C870D7B"/>
    <w:rsid w:val="5CC76A05"/>
    <w:rsid w:val="5CE05C01"/>
    <w:rsid w:val="5D1C654D"/>
    <w:rsid w:val="5D2015DA"/>
    <w:rsid w:val="5D213B63"/>
    <w:rsid w:val="5D226CFA"/>
    <w:rsid w:val="5D2C2695"/>
    <w:rsid w:val="5D2D69AC"/>
    <w:rsid w:val="5D912C18"/>
    <w:rsid w:val="5D9702C9"/>
    <w:rsid w:val="5DB91FED"/>
    <w:rsid w:val="5DC07B22"/>
    <w:rsid w:val="5DC2175C"/>
    <w:rsid w:val="5DF63972"/>
    <w:rsid w:val="5DFC012C"/>
    <w:rsid w:val="5E080D42"/>
    <w:rsid w:val="5E0A45F7"/>
    <w:rsid w:val="5E2E0A91"/>
    <w:rsid w:val="5E345B18"/>
    <w:rsid w:val="5E36132D"/>
    <w:rsid w:val="5E451AD3"/>
    <w:rsid w:val="5ED6597D"/>
    <w:rsid w:val="5EDD61AF"/>
    <w:rsid w:val="5EFC6636"/>
    <w:rsid w:val="5F076D88"/>
    <w:rsid w:val="5F5F532C"/>
    <w:rsid w:val="5F6D308F"/>
    <w:rsid w:val="5F7466FE"/>
    <w:rsid w:val="5F7A755A"/>
    <w:rsid w:val="5F863542"/>
    <w:rsid w:val="5FAE4D62"/>
    <w:rsid w:val="5FB20274"/>
    <w:rsid w:val="5FEB709A"/>
    <w:rsid w:val="5FF00AE9"/>
    <w:rsid w:val="5FFC7BC4"/>
    <w:rsid w:val="60182CB2"/>
    <w:rsid w:val="60287A9B"/>
    <w:rsid w:val="60326810"/>
    <w:rsid w:val="6042451C"/>
    <w:rsid w:val="60687CFB"/>
    <w:rsid w:val="60835BF8"/>
    <w:rsid w:val="60D62EB6"/>
    <w:rsid w:val="60F021CA"/>
    <w:rsid w:val="60FB0B6F"/>
    <w:rsid w:val="610619ED"/>
    <w:rsid w:val="613C6465"/>
    <w:rsid w:val="613D4CE3"/>
    <w:rsid w:val="61442516"/>
    <w:rsid w:val="614D13CA"/>
    <w:rsid w:val="61776447"/>
    <w:rsid w:val="618D5C6B"/>
    <w:rsid w:val="61CD42B9"/>
    <w:rsid w:val="61F555BE"/>
    <w:rsid w:val="62035F2D"/>
    <w:rsid w:val="62057D23"/>
    <w:rsid w:val="621C5BA9"/>
    <w:rsid w:val="62427522"/>
    <w:rsid w:val="624F23FA"/>
    <w:rsid w:val="62514EEA"/>
    <w:rsid w:val="62736350"/>
    <w:rsid w:val="62763D02"/>
    <w:rsid w:val="628506F0"/>
    <w:rsid w:val="629410CE"/>
    <w:rsid w:val="62CC2BB0"/>
    <w:rsid w:val="62EB3A25"/>
    <w:rsid w:val="63185A08"/>
    <w:rsid w:val="6320666B"/>
    <w:rsid w:val="632C5010"/>
    <w:rsid w:val="63712083"/>
    <w:rsid w:val="63936E3D"/>
    <w:rsid w:val="63BA479C"/>
    <w:rsid w:val="63C139AA"/>
    <w:rsid w:val="63D00091"/>
    <w:rsid w:val="63F35B2D"/>
    <w:rsid w:val="640A5918"/>
    <w:rsid w:val="640D6BEF"/>
    <w:rsid w:val="64265F03"/>
    <w:rsid w:val="6432550D"/>
    <w:rsid w:val="64371EBE"/>
    <w:rsid w:val="64426DE8"/>
    <w:rsid w:val="644F5459"/>
    <w:rsid w:val="64686B51"/>
    <w:rsid w:val="647C1FC7"/>
    <w:rsid w:val="648D7D30"/>
    <w:rsid w:val="649948E1"/>
    <w:rsid w:val="64B140D9"/>
    <w:rsid w:val="64B4710A"/>
    <w:rsid w:val="64B90B25"/>
    <w:rsid w:val="64BE613B"/>
    <w:rsid w:val="64C50E7F"/>
    <w:rsid w:val="64D771FD"/>
    <w:rsid w:val="64DB4F3F"/>
    <w:rsid w:val="65006754"/>
    <w:rsid w:val="651122B9"/>
    <w:rsid w:val="6515681C"/>
    <w:rsid w:val="65202952"/>
    <w:rsid w:val="652E506F"/>
    <w:rsid w:val="65406093"/>
    <w:rsid w:val="65420B1A"/>
    <w:rsid w:val="655C3587"/>
    <w:rsid w:val="65886897"/>
    <w:rsid w:val="659770B8"/>
    <w:rsid w:val="65A2780B"/>
    <w:rsid w:val="65B512EC"/>
    <w:rsid w:val="65C8329B"/>
    <w:rsid w:val="65F904A0"/>
    <w:rsid w:val="66044E06"/>
    <w:rsid w:val="66197FF3"/>
    <w:rsid w:val="66496A71"/>
    <w:rsid w:val="66967370"/>
    <w:rsid w:val="66C537B1"/>
    <w:rsid w:val="66E005EB"/>
    <w:rsid w:val="66E16111"/>
    <w:rsid w:val="66F37636"/>
    <w:rsid w:val="670A2DA3"/>
    <w:rsid w:val="671C2F0D"/>
    <w:rsid w:val="67472418"/>
    <w:rsid w:val="676273A8"/>
    <w:rsid w:val="677A0EB9"/>
    <w:rsid w:val="67B101D9"/>
    <w:rsid w:val="67B75B18"/>
    <w:rsid w:val="67B850C4"/>
    <w:rsid w:val="67C972D1"/>
    <w:rsid w:val="67CC0B6F"/>
    <w:rsid w:val="67DD2D7C"/>
    <w:rsid w:val="67E91721"/>
    <w:rsid w:val="68047157"/>
    <w:rsid w:val="68057461"/>
    <w:rsid w:val="680A680D"/>
    <w:rsid w:val="680E1188"/>
    <w:rsid w:val="68264723"/>
    <w:rsid w:val="6828049B"/>
    <w:rsid w:val="68460921"/>
    <w:rsid w:val="68531770"/>
    <w:rsid w:val="68531926"/>
    <w:rsid w:val="68866F70"/>
    <w:rsid w:val="688B4586"/>
    <w:rsid w:val="689A6532"/>
    <w:rsid w:val="689D73CB"/>
    <w:rsid w:val="68A044D6"/>
    <w:rsid w:val="68A35D74"/>
    <w:rsid w:val="68A4505F"/>
    <w:rsid w:val="68BC01F8"/>
    <w:rsid w:val="68E02A60"/>
    <w:rsid w:val="68EC771B"/>
    <w:rsid w:val="69015A74"/>
    <w:rsid w:val="6917406C"/>
    <w:rsid w:val="6942099E"/>
    <w:rsid w:val="695D4175"/>
    <w:rsid w:val="698931BC"/>
    <w:rsid w:val="699D0A15"/>
    <w:rsid w:val="69A00505"/>
    <w:rsid w:val="69A2427D"/>
    <w:rsid w:val="69BA1345"/>
    <w:rsid w:val="69D07FD1"/>
    <w:rsid w:val="69F566F5"/>
    <w:rsid w:val="69FA7C16"/>
    <w:rsid w:val="6A170B7C"/>
    <w:rsid w:val="6A2151A2"/>
    <w:rsid w:val="6A2627B9"/>
    <w:rsid w:val="6A2702BC"/>
    <w:rsid w:val="6A331379"/>
    <w:rsid w:val="6A3C1FDC"/>
    <w:rsid w:val="6A577A5F"/>
    <w:rsid w:val="6A647785"/>
    <w:rsid w:val="6A701C86"/>
    <w:rsid w:val="6A894DD0"/>
    <w:rsid w:val="6A8D0A8A"/>
    <w:rsid w:val="6A9E2C97"/>
    <w:rsid w:val="6AB763D1"/>
    <w:rsid w:val="6AB83C70"/>
    <w:rsid w:val="6AC01C35"/>
    <w:rsid w:val="6AC27BFE"/>
    <w:rsid w:val="6AC93F86"/>
    <w:rsid w:val="6ADB13C7"/>
    <w:rsid w:val="6AFE7291"/>
    <w:rsid w:val="6B0D2C0B"/>
    <w:rsid w:val="6B160A7F"/>
    <w:rsid w:val="6B1747F7"/>
    <w:rsid w:val="6B19231D"/>
    <w:rsid w:val="6B301415"/>
    <w:rsid w:val="6B5965FE"/>
    <w:rsid w:val="6B5C6B1E"/>
    <w:rsid w:val="6B5E41D4"/>
    <w:rsid w:val="6B8005EE"/>
    <w:rsid w:val="6B83272F"/>
    <w:rsid w:val="6B9B310B"/>
    <w:rsid w:val="6BA51E03"/>
    <w:rsid w:val="6BB65DBE"/>
    <w:rsid w:val="6BB67B6C"/>
    <w:rsid w:val="6BB802E4"/>
    <w:rsid w:val="6BEB5EDE"/>
    <w:rsid w:val="6BF16DF6"/>
    <w:rsid w:val="6C2E3BA6"/>
    <w:rsid w:val="6C375151"/>
    <w:rsid w:val="6C3C47B3"/>
    <w:rsid w:val="6C4909E0"/>
    <w:rsid w:val="6C496C32"/>
    <w:rsid w:val="6C832144"/>
    <w:rsid w:val="6C937EAD"/>
    <w:rsid w:val="6C9D0D2C"/>
    <w:rsid w:val="6CD01102"/>
    <w:rsid w:val="6CD75FEC"/>
    <w:rsid w:val="6CDE737B"/>
    <w:rsid w:val="6CE24244"/>
    <w:rsid w:val="6D176D30"/>
    <w:rsid w:val="6D1F7993"/>
    <w:rsid w:val="6D2232F1"/>
    <w:rsid w:val="6D4A0EB4"/>
    <w:rsid w:val="6D975A3E"/>
    <w:rsid w:val="6D9914F3"/>
    <w:rsid w:val="6DAD528E"/>
    <w:rsid w:val="6DBF7D15"/>
    <w:rsid w:val="6DDB21D3"/>
    <w:rsid w:val="6DDF5000"/>
    <w:rsid w:val="6DE24C48"/>
    <w:rsid w:val="6E160D96"/>
    <w:rsid w:val="6E1F3036"/>
    <w:rsid w:val="6E2C05BA"/>
    <w:rsid w:val="6E3000AA"/>
    <w:rsid w:val="6E3B3456"/>
    <w:rsid w:val="6E4E22DE"/>
    <w:rsid w:val="6E645FA5"/>
    <w:rsid w:val="6E751F61"/>
    <w:rsid w:val="6E810366"/>
    <w:rsid w:val="6E881C94"/>
    <w:rsid w:val="6E9218A4"/>
    <w:rsid w:val="6EC364B5"/>
    <w:rsid w:val="6EC407F2"/>
    <w:rsid w:val="6EE449F0"/>
    <w:rsid w:val="6EE831E7"/>
    <w:rsid w:val="6EF62128"/>
    <w:rsid w:val="6F3239AE"/>
    <w:rsid w:val="6F4C2993"/>
    <w:rsid w:val="6F5F0599"/>
    <w:rsid w:val="6F765F90"/>
    <w:rsid w:val="6F7B35A7"/>
    <w:rsid w:val="6FB22D40"/>
    <w:rsid w:val="6FBB68FC"/>
    <w:rsid w:val="6FDC1B6B"/>
    <w:rsid w:val="6FE0165C"/>
    <w:rsid w:val="6FE90800"/>
    <w:rsid w:val="701D465E"/>
    <w:rsid w:val="7023779A"/>
    <w:rsid w:val="702754DC"/>
    <w:rsid w:val="70281CF1"/>
    <w:rsid w:val="702F4391"/>
    <w:rsid w:val="705B0CE2"/>
    <w:rsid w:val="706C2EEF"/>
    <w:rsid w:val="706D1F44"/>
    <w:rsid w:val="706E4EB9"/>
    <w:rsid w:val="707B1384"/>
    <w:rsid w:val="70AA118A"/>
    <w:rsid w:val="70B97A34"/>
    <w:rsid w:val="70BE3020"/>
    <w:rsid w:val="70C42D2B"/>
    <w:rsid w:val="70E178AF"/>
    <w:rsid w:val="70E21403"/>
    <w:rsid w:val="70F84783"/>
    <w:rsid w:val="70F97914"/>
    <w:rsid w:val="71125845"/>
    <w:rsid w:val="7113780F"/>
    <w:rsid w:val="713752AB"/>
    <w:rsid w:val="71561E1E"/>
    <w:rsid w:val="716360A0"/>
    <w:rsid w:val="716F713B"/>
    <w:rsid w:val="719646C8"/>
    <w:rsid w:val="71A1306D"/>
    <w:rsid w:val="71A861A9"/>
    <w:rsid w:val="71D76A8E"/>
    <w:rsid w:val="720C2AB9"/>
    <w:rsid w:val="72182020"/>
    <w:rsid w:val="7218332F"/>
    <w:rsid w:val="72225F5B"/>
    <w:rsid w:val="72273572"/>
    <w:rsid w:val="72281098"/>
    <w:rsid w:val="7238752D"/>
    <w:rsid w:val="723F4D5F"/>
    <w:rsid w:val="72533BCF"/>
    <w:rsid w:val="725620A9"/>
    <w:rsid w:val="725B146D"/>
    <w:rsid w:val="725D3437"/>
    <w:rsid w:val="72CB03A1"/>
    <w:rsid w:val="72D03C09"/>
    <w:rsid w:val="72F37EB8"/>
    <w:rsid w:val="72F71196"/>
    <w:rsid w:val="73190D85"/>
    <w:rsid w:val="731F693F"/>
    <w:rsid w:val="732E6B82"/>
    <w:rsid w:val="734C3D25"/>
    <w:rsid w:val="73634A7D"/>
    <w:rsid w:val="736425A4"/>
    <w:rsid w:val="7372081D"/>
    <w:rsid w:val="738343C3"/>
    <w:rsid w:val="73F90F3E"/>
    <w:rsid w:val="7419338E"/>
    <w:rsid w:val="74341F76"/>
    <w:rsid w:val="74485A21"/>
    <w:rsid w:val="745D7A02"/>
    <w:rsid w:val="746E5488"/>
    <w:rsid w:val="747C35A9"/>
    <w:rsid w:val="747E794A"/>
    <w:rsid w:val="74BE7A92"/>
    <w:rsid w:val="74D42813"/>
    <w:rsid w:val="750D2EF3"/>
    <w:rsid w:val="751F654B"/>
    <w:rsid w:val="752D5343"/>
    <w:rsid w:val="75322959"/>
    <w:rsid w:val="753C5586"/>
    <w:rsid w:val="754528E3"/>
    <w:rsid w:val="75686BCC"/>
    <w:rsid w:val="75693EA1"/>
    <w:rsid w:val="75752846"/>
    <w:rsid w:val="75842A89"/>
    <w:rsid w:val="75932CCC"/>
    <w:rsid w:val="75AF45AE"/>
    <w:rsid w:val="75B275F6"/>
    <w:rsid w:val="75D237F5"/>
    <w:rsid w:val="75DE03EB"/>
    <w:rsid w:val="760D7FB3"/>
    <w:rsid w:val="76391AC6"/>
    <w:rsid w:val="764346F2"/>
    <w:rsid w:val="7645046A"/>
    <w:rsid w:val="764C557E"/>
    <w:rsid w:val="765C57B4"/>
    <w:rsid w:val="767174B1"/>
    <w:rsid w:val="76780840"/>
    <w:rsid w:val="76783F68"/>
    <w:rsid w:val="76793892"/>
    <w:rsid w:val="76941B1A"/>
    <w:rsid w:val="76AD7DBE"/>
    <w:rsid w:val="76DE441B"/>
    <w:rsid w:val="76E45ED5"/>
    <w:rsid w:val="770D1EB1"/>
    <w:rsid w:val="77147E3D"/>
    <w:rsid w:val="771A3ADA"/>
    <w:rsid w:val="7725204A"/>
    <w:rsid w:val="7730111A"/>
    <w:rsid w:val="77391FC6"/>
    <w:rsid w:val="773D3837"/>
    <w:rsid w:val="7746449A"/>
    <w:rsid w:val="77551879"/>
    <w:rsid w:val="776963DA"/>
    <w:rsid w:val="776D0DB5"/>
    <w:rsid w:val="779C40BA"/>
    <w:rsid w:val="779F1CDF"/>
    <w:rsid w:val="77AB69F3"/>
    <w:rsid w:val="77B07A95"/>
    <w:rsid w:val="77C6382D"/>
    <w:rsid w:val="77E048EF"/>
    <w:rsid w:val="780C3B22"/>
    <w:rsid w:val="787D038F"/>
    <w:rsid w:val="78960636"/>
    <w:rsid w:val="789F0530"/>
    <w:rsid w:val="78AC169E"/>
    <w:rsid w:val="78B96EEE"/>
    <w:rsid w:val="78C0027C"/>
    <w:rsid w:val="78CA55CE"/>
    <w:rsid w:val="78DC11E9"/>
    <w:rsid w:val="78EF46BD"/>
    <w:rsid w:val="78F9488B"/>
    <w:rsid w:val="78FB12B4"/>
    <w:rsid w:val="79074B53"/>
    <w:rsid w:val="790E7239"/>
    <w:rsid w:val="79257DFE"/>
    <w:rsid w:val="793A6280"/>
    <w:rsid w:val="794C5FB4"/>
    <w:rsid w:val="79716072"/>
    <w:rsid w:val="797A667D"/>
    <w:rsid w:val="797D43BF"/>
    <w:rsid w:val="79870D9A"/>
    <w:rsid w:val="79993610"/>
    <w:rsid w:val="79B81A3C"/>
    <w:rsid w:val="79C478F8"/>
    <w:rsid w:val="79DD60B2"/>
    <w:rsid w:val="79EA1A55"/>
    <w:rsid w:val="79FA5A10"/>
    <w:rsid w:val="79FF6B82"/>
    <w:rsid w:val="7A2D118F"/>
    <w:rsid w:val="7A356A48"/>
    <w:rsid w:val="7A454EDD"/>
    <w:rsid w:val="7A551C2F"/>
    <w:rsid w:val="7A5769BE"/>
    <w:rsid w:val="7A8157E9"/>
    <w:rsid w:val="7A833F3B"/>
    <w:rsid w:val="7AE26947"/>
    <w:rsid w:val="7AF661D7"/>
    <w:rsid w:val="7AF75AAB"/>
    <w:rsid w:val="7B220D7A"/>
    <w:rsid w:val="7B2F3497"/>
    <w:rsid w:val="7B2F5245"/>
    <w:rsid w:val="7B430CF1"/>
    <w:rsid w:val="7B5237E2"/>
    <w:rsid w:val="7B786BEC"/>
    <w:rsid w:val="7B940C71"/>
    <w:rsid w:val="7BA7127F"/>
    <w:rsid w:val="7BBA7D61"/>
    <w:rsid w:val="7BC24845"/>
    <w:rsid w:val="7C430CD5"/>
    <w:rsid w:val="7C4371FA"/>
    <w:rsid w:val="7C796B83"/>
    <w:rsid w:val="7C7C270C"/>
    <w:rsid w:val="7C913580"/>
    <w:rsid w:val="7CA659DB"/>
    <w:rsid w:val="7CCB222D"/>
    <w:rsid w:val="7CD24A22"/>
    <w:rsid w:val="7CD930BA"/>
    <w:rsid w:val="7CFE0C47"/>
    <w:rsid w:val="7D006E99"/>
    <w:rsid w:val="7D4F5B8A"/>
    <w:rsid w:val="7D517499"/>
    <w:rsid w:val="7D6F401F"/>
    <w:rsid w:val="7D752025"/>
    <w:rsid w:val="7D9D0B8C"/>
    <w:rsid w:val="7D9F1E09"/>
    <w:rsid w:val="7DA168CE"/>
    <w:rsid w:val="7DA56368"/>
    <w:rsid w:val="7DAC2017"/>
    <w:rsid w:val="7DBB54B6"/>
    <w:rsid w:val="7DDD542C"/>
    <w:rsid w:val="7E0368D8"/>
    <w:rsid w:val="7E4159BB"/>
    <w:rsid w:val="7E553215"/>
    <w:rsid w:val="7E7044F2"/>
    <w:rsid w:val="7E7B31DC"/>
    <w:rsid w:val="7E9235AA"/>
    <w:rsid w:val="7ED2135E"/>
    <w:rsid w:val="7EE01021"/>
    <w:rsid w:val="7EE5787B"/>
    <w:rsid w:val="7EED78F1"/>
    <w:rsid w:val="7EFB4FBB"/>
    <w:rsid w:val="7F07123A"/>
    <w:rsid w:val="7F2E23E3"/>
    <w:rsid w:val="7F2F641F"/>
    <w:rsid w:val="7F390F10"/>
    <w:rsid w:val="7F4E65E2"/>
    <w:rsid w:val="7F6C6A68"/>
    <w:rsid w:val="7F7153BB"/>
    <w:rsid w:val="7F871C42"/>
    <w:rsid w:val="7FBB79EF"/>
    <w:rsid w:val="7FBE3022"/>
    <w:rsid w:val="7FBF1CF8"/>
    <w:rsid w:val="7FF058EB"/>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1"/>
    <w:rPr>
      <w:rFonts w:ascii="仿宋" w:hAnsi="仿宋" w:eastAsia="仿宋" w:cs="仿宋"/>
      <w:sz w:val="30"/>
      <w:szCs w:val="30"/>
      <w:lang w:val="zh-CN" w:eastAsia="zh-CN" w:bidi="zh-CN"/>
    </w:rPr>
  </w:style>
  <w:style w:type="paragraph" w:styleId="4">
    <w:name w:val="Body Text Indent"/>
    <w:basedOn w:val="1"/>
    <w:autoRedefine/>
    <w:qFormat/>
    <w:uiPriority w:val="99"/>
    <w:pPr>
      <w:ind w:firstLine="525"/>
      <w:jc w:val="left"/>
    </w:pPr>
    <w:rPr>
      <w:rFonts w:ascii="宋体" w:hAnsi="Times New Roman" w:cs="Times New Roman"/>
      <w:sz w:val="28"/>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1"/>
    <w:pPr>
      <w:spacing w:before="240"/>
      <w:ind w:right="263"/>
      <w:jc w:val="right"/>
    </w:pPr>
    <w:rPr>
      <w:rFonts w:ascii="仿宋" w:hAnsi="仿宋" w:eastAsia="仿宋" w:cs="仿宋"/>
      <w:sz w:val="30"/>
      <w:szCs w:val="30"/>
      <w:lang w:val="zh-CN" w:eastAsia="zh-CN" w:bidi="zh-CN"/>
    </w:rPr>
  </w:style>
  <w:style w:type="paragraph" w:styleId="8">
    <w:name w:val="Body Text First Indent 2"/>
    <w:autoRedefine/>
    <w:qFormat/>
    <w:uiPriority w:val="0"/>
    <w:pPr>
      <w:widowControl w:val="0"/>
      <w:tabs>
        <w:tab w:val="left" w:pos="-116"/>
        <w:tab w:val="left" w:pos="420"/>
      </w:tabs>
      <w:ind w:firstLine="420" w:firstLineChars="200"/>
      <w:jc w:val="left"/>
    </w:pPr>
    <w:rPr>
      <w:rFonts w:ascii="宋体" w:hAnsi="Times New Roman" w:eastAsia="宋体" w:cs="Times New Roman"/>
      <w:kern w:val="2"/>
      <w:sz w:val="28"/>
      <w:szCs w:val="20"/>
      <w:lang w:val="en-US" w:eastAsia="zh-CN" w:bidi="ar-SA"/>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autoRedefine/>
    <w:qFormat/>
    <w:uiPriority w:val="0"/>
    <w:pPr>
      <w:ind w:leftChars="0"/>
    </w:pPr>
    <w:rPr>
      <w:rFonts w:ascii="Calibri" w:hAnsi="Calibri" w:eastAsia="宋体" w:cs="Times New Roman"/>
      <w:sz w:val="20"/>
      <w:szCs w:val="20"/>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10623</Words>
  <Characters>11085</Characters>
  <Lines>0</Lines>
  <Paragraphs>0</Paragraphs>
  <TotalTime>59</TotalTime>
  <ScaleCrop>false</ScaleCrop>
  <LinksUpToDate>false</LinksUpToDate>
  <CharactersWithSpaces>12119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2021-11-16T09:54:00Z</dcterms:created>
  <dc:creator>Administrator</dc:creator>
  <cp:lastModifiedBy>zt</cp:lastModifiedBy>
  <cp:lastPrinted>2023-05-22T02:04:00Z</cp:lastPrinted>
  <dcterms:modified xsi:type="dcterms:W3CDTF">2024-08-04T02:48:17Z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51C7472349484C72AB0D94E675D31F6B_13</vt:lpwstr>
  </property>
</Properties>
</file>