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ordWrap/>
        <w:topLinePunct w:val="0"/>
        <w:bidi w:val="0"/>
        <w:spacing w:line="360" w:lineRule="auto"/>
        <w:jc w:val="both"/>
        <w:rPr>
          <w:rFonts w:hint="default" w:eastAsia="宋体"/>
          <w:color w:val="auto"/>
          <w:highlight w:val="none"/>
          <w:lang w:val="en-US" w:eastAsia="zh-CN"/>
        </w:rPr>
      </w:pPr>
    </w:p>
    <w:p>
      <w:pPr>
        <w:pageBreakBefore w:val="0"/>
        <w:wordWrap/>
        <w:topLinePunct w:val="0"/>
        <w:bidi w:val="0"/>
        <w:spacing w:line="360" w:lineRule="auto"/>
        <w:jc w:val="both"/>
        <w:rPr>
          <w:rFonts w:hint="default" w:eastAsia="宋体"/>
          <w:color w:val="auto"/>
          <w:highlight w:val="none"/>
          <w:lang w:val="en-US" w:eastAsia="zh-CN"/>
        </w:rPr>
      </w:pPr>
    </w:p>
    <w:p>
      <w:pPr>
        <w:pageBreakBefore w:val="0"/>
        <w:wordWrap/>
        <w:topLinePunct w:val="0"/>
        <w:bidi w:val="0"/>
        <w:spacing w:line="360" w:lineRule="auto"/>
        <w:jc w:val="both"/>
        <w:rPr>
          <w:rFonts w:hint="default" w:eastAsia="宋体"/>
          <w:color w:val="auto"/>
          <w:highlight w:val="none"/>
          <w:lang w:val="en-US" w:eastAsia="zh-CN"/>
        </w:rPr>
      </w:pPr>
    </w:p>
    <w:p>
      <w:pPr>
        <w:pageBreakBefore w:val="0"/>
        <w:wordWrap/>
        <w:topLinePunct w:val="0"/>
        <w:bidi w:val="0"/>
        <w:spacing w:line="360" w:lineRule="auto"/>
        <w:jc w:val="both"/>
        <w:rPr>
          <w:rFonts w:hint="default" w:eastAsia="宋体"/>
          <w:color w:val="auto"/>
          <w:highlight w:val="none"/>
          <w:lang w:val="en-US" w:eastAsia="zh-CN"/>
        </w:rPr>
      </w:pPr>
    </w:p>
    <w:p>
      <w:pPr>
        <w:pageBreakBefore w:val="0"/>
        <w:wordWrap/>
        <w:topLinePunct w:val="0"/>
        <w:bidi w:val="0"/>
        <w:spacing w:line="360" w:lineRule="auto"/>
        <w:jc w:val="both"/>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114300" distR="11430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7"/>
                    <a:stretch>
                      <a:fillRect/>
                    </a:stretch>
                  </pic:blipFill>
                  <pic:spPr>
                    <a:xfrm>
                      <a:off x="0" y="0"/>
                      <a:ext cx="4288790" cy="690245"/>
                    </a:xfrm>
                    <a:prstGeom prst="rect">
                      <a:avLst/>
                    </a:prstGeom>
                    <a:noFill/>
                    <a:ln>
                      <a:noFill/>
                    </a:ln>
                  </pic:spPr>
                </pic:pic>
              </a:graphicData>
            </a:graphic>
          </wp:anchor>
        </w:drawing>
      </w:r>
    </w:p>
    <w:p>
      <w:pPr>
        <w:pageBreakBefore w:val="0"/>
        <w:wordWrap/>
        <w:topLinePunct w:val="0"/>
        <w:bidi w:val="0"/>
        <w:spacing w:line="360" w:lineRule="auto"/>
        <w:jc w:val="center"/>
        <w:rPr>
          <w:rFonts w:hint="default" w:eastAsia="宋体"/>
          <w:b/>
          <w:color w:val="auto"/>
          <w:sz w:val="72"/>
          <w:highlight w:val="none"/>
          <w:lang w:val="en-US" w:eastAsia="zh-CN"/>
        </w:rPr>
      </w:pPr>
    </w:p>
    <w:p>
      <w:pPr>
        <w:pageBreakBefore w:val="0"/>
        <w:wordWrap/>
        <w:topLinePunct w:val="0"/>
        <w:bidi w:val="0"/>
        <w:spacing w:line="360" w:lineRule="auto"/>
        <w:jc w:val="both"/>
        <w:rPr>
          <w:b/>
          <w:color w:val="auto"/>
          <w:sz w:val="7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single"/>
          <w:lang w:val="en-US" w:eastAsia="zh-CN"/>
        </w:rPr>
      </w:pPr>
      <w:r>
        <w:rPr>
          <w:rFonts w:hint="eastAsia" w:ascii="仿宋" w:hAnsi="仿宋" w:eastAsia="仿宋" w:cs="仿宋"/>
          <w:b/>
          <w:color w:val="auto"/>
          <w:sz w:val="52"/>
          <w:szCs w:val="52"/>
          <w:highlight w:val="none"/>
          <w:u w:val="single"/>
          <w:lang w:val="en-US" w:eastAsia="zh-CN"/>
        </w:rPr>
        <w:t>南京现代表面处理科技产业中心项目A地块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b/>
          <w:bCs/>
          <w:sz w:val="52"/>
          <w:szCs w:val="52"/>
          <w:u w:val="single"/>
          <w:lang w:eastAsia="zh-CN"/>
        </w:rPr>
        <w:t>建设工程砂、再生石子、砖渣、袋装水泥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highlight w:val="none"/>
          <w:lang w:val="en-US" w:eastAsia="zh-CN"/>
        </w:rPr>
      </w:pPr>
      <w:r>
        <w:rPr>
          <w:rFonts w:hint="eastAsia" w:ascii="仿宋" w:hAnsi="仿宋" w:eastAsia="仿宋" w:cs="仿宋"/>
          <w:b/>
          <w:color w:val="auto"/>
          <w:sz w:val="52"/>
          <w:szCs w:val="52"/>
          <w:highlight w:val="none"/>
          <w:lang w:val="en-US" w:eastAsia="zh-CN"/>
        </w:rPr>
        <w:t>同</w:t>
      </w:r>
    </w:p>
    <w:p>
      <w:pPr>
        <w:pageBreakBefore w:val="0"/>
        <w:wordWrap/>
        <w:topLinePunct w:val="0"/>
        <w:bidi w:val="0"/>
        <w:spacing w:line="360" w:lineRule="auto"/>
        <w:jc w:val="both"/>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合同编号：</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甲方（需方）：</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乙方（供方）：</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签订日期：</w:t>
      </w:r>
      <w:r>
        <w:rPr>
          <w:rFonts w:hint="eastAsia" w:ascii="宋体" w:hAnsi="宋体" w:eastAsia="宋体" w:cs="宋体"/>
          <w:b w:val="0"/>
          <w:bCs w:val="0"/>
          <w:color w:val="auto"/>
          <w:sz w:val="28"/>
          <w:szCs w:val="28"/>
          <w:highlight w:val="none"/>
          <w:u w:val="none"/>
          <w:lang w:val="en-US" w:eastAsia="zh-CN"/>
        </w:rPr>
        <w:t>202</w:t>
      </w:r>
      <w:r>
        <w:rPr>
          <w:rFonts w:hint="eastAsia" w:ascii="宋体" w:hAnsi="宋体" w:eastAsia="宋体" w:cs="宋体"/>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年</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月</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签订地点：广东东莞南城。</w:t>
      </w:r>
    </w:p>
    <w:p>
      <w:pPr>
        <w:pageBreakBefore w:val="0"/>
        <w:wordWrap/>
        <w:topLinePunct w:val="0"/>
        <w:bidi w:val="0"/>
        <w:spacing w:line="360" w:lineRule="auto"/>
        <w:jc w:val="both"/>
        <w:rPr>
          <w:rFonts w:hint="default" w:eastAsia="宋体"/>
          <w:color w:val="auto"/>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846" w:bottom="898" w:left="102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pPr>
        <w:pageBreakBefore w:val="0"/>
        <w:wordWrap/>
        <w:topLinePunct w:val="0"/>
        <w:bidi w:val="0"/>
        <w:spacing w:before="0" w:beforeLines="0" w:after="0" w:afterLines="0" w:line="36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目录</w:t>
      </w:r>
    </w:p>
    <w:p>
      <w:pPr>
        <w:pStyle w:val="7"/>
        <w:tabs>
          <w:tab w:val="right" w:leader="dot" w:pos="10206"/>
        </w:tabs>
        <w:rPr>
          <w:color w:val="auto"/>
          <w:highlight w:val="none"/>
        </w:rPr>
      </w:pPr>
      <w:bookmarkStart w:id="0" w:name="_Toc17662"/>
      <w:bookmarkStart w:id="1" w:name="_Toc14412"/>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TOC \o "1-1" \h \u </w:instrText>
      </w:r>
      <w:r>
        <w:rPr>
          <w:rFonts w:hint="eastAsia" w:cs="仿宋"/>
          <w:bCs/>
          <w:color w:val="auto"/>
          <w:kern w:val="2"/>
          <w:szCs w:val="28"/>
          <w:highlight w:val="none"/>
          <w:lang w:val="en-US" w:eastAsia="zh-CN" w:bidi="ar-SA"/>
        </w:rPr>
        <w:fldChar w:fldCharType="separate"/>
      </w: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_Toc17474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kern w:val="2"/>
          <w:szCs w:val="28"/>
          <w:highlight w:val="none"/>
          <w:lang w:val="en-US" w:eastAsia="zh-CN" w:bidi="ar-SA"/>
        </w:rPr>
        <w:t>第一章、</w:t>
      </w:r>
      <w:r>
        <w:rPr>
          <w:rFonts w:hint="eastAsia" w:ascii="仿宋" w:hAnsi="仿宋" w:eastAsia="仿宋" w:cs="仿宋"/>
          <w:bCs/>
          <w:color w:val="auto"/>
          <w:szCs w:val="28"/>
          <w:highlight w:val="none"/>
        </w:rPr>
        <w:t>产品内容</w:t>
      </w:r>
      <w:r>
        <w:rPr>
          <w:rFonts w:hint="eastAsia" w:ascii="仿宋" w:hAnsi="仿宋" w:eastAsia="仿宋" w:cs="仿宋"/>
          <w:bCs/>
          <w:color w:val="auto"/>
          <w:szCs w:val="28"/>
          <w:highlight w:val="none"/>
          <w:lang w:val="en-US" w:eastAsia="zh-CN"/>
        </w:rPr>
        <w:t>及合同价款</w:t>
      </w:r>
      <w:r>
        <w:rPr>
          <w:color w:val="auto"/>
          <w:highlight w:val="none"/>
        </w:rPr>
        <w:tab/>
      </w:r>
      <w:r>
        <w:rPr>
          <w:color w:val="auto"/>
          <w:highlight w:val="none"/>
        </w:rPr>
        <w:fldChar w:fldCharType="begin"/>
      </w:r>
      <w:r>
        <w:rPr>
          <w:color w:val="auto"/>
          <w:highlight w:val="none"/>
        </w:rPr>
        <w:instrText xml:space="preserve"> PAGEREF _Toc17474 \h </w:instrText>
      </w:r>
      <w:r>
        <w:rPr>
          <w:color w:val="auto"/>
          <w:highlight w:val="none"/>
        </w:rPr>
        <w:fldChar w:fldCharType="separate"/>
      </w:r>
      <w:r>
        <w:rPr>
          <w:color w:val="auto"/>
          <w:highlight w:val="none"/>
        </w:rPr>
        <w:t>3</w:t>
      </w:r>
      <w:r>
        <w:rPr>
          <w:color w:val="auto"/>
          <w:highlight w:val="none"/>
        </w:rPr>
        <w:fldChar w:fldCharType="end"/>
      </w:r>
      <w:r>
        <w:rPr>
          <w:rFonts w:hint="eastAsia" w:cs="仿宋"/>
          <w:bCs/>
          <w:color w:val="auto"/>
          <w:kern w:val="2"/>
          <w:szCs w:val="28"/>
          <w:highlight w:val="none"/>
          <w:lang w:val="en-US" w:eastAsia="zh-CN" w:bidi="ar-SA"/>
        </w:rPr>
        <w:fldChar w:fldCharType="end"/>
      </w:r>
    </w:p>
    <w:p>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_Toc32399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第二章、</w:t>
      </w:r>
      <w:r>
        <w:rPr>
          <w:rFonts w:hint="eastAsia" w:ascii="仿宋" w:hAnsi="仿宋" w:eastAsia="仿宋" w:cs="仿宋"/>
          <w:bCs/>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_Toc32399 \h </w:instrText>
      </w:r>
      <w:r>
        <w:rPr>
          <w:color w:val="auto"/>
          <w:highlight w:val="none"/>
        </w:rPr>
        <w:fldChar w:fldCharType="separate"/>
      </w:r>
      <w:r>
        <w:rPr>
          <w:color w:val="auto"/>
          <w:highlight w:val="none"/>
        </w:rPr>
        <w:t>4</w:t>
      </w:r>
      <w:r>
        <w:rPr>
          <w:color w:val="auto"/>
          <w:highlight w:val="none"/>
        </w:rPr>
        <w:fldChar w:fldCharType="end"/>
      </w:r>
      <w:r>
        <w:rPr>
          <w:rFonts w:hint="eastAsia" w:cs="仿宋"/>
          <w:bCs/>
          <w:color w:val="auto"/>
          <w:kern w:val="2"/>
          <w:szCs w:val="28"/>
          <w:highlight w:val="none"/>
          <w:lang w:val="en-US" w:eastAsia="zh-CN" w:bidi="ar-SA"/>
        </w:rPr>
        <w:fldChar w:fldCharType="end"/>
      </w:r>
    </w:p>
    <w:p>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_Toc20399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第三章、产品</w:t>
      </w:r>
      <w:r>
        <w:rPr>
          <w:rFonts w:hint="eastAsia" w:ascii="仿宋" w:hAnsi="仿宋" w:eastAsia="仿宋" w:cs="仿宋"/>
          <w:bCs/>
          <w:color w:val="auto"/>
          <w:highlight w:val="none"/>
        </w:rPr>
        <w:t>质量</w:t>
      </w:r>
      <w:r>
        <w:rPr>
          <w:rFonts w:hint="eastAsia" w:ascii="仿宋" w:hAnsi="仿宋" w:eastAsia="仿宋" w:cs="仿宋"/>
          <w:bCs/>
          <w:color w:val="auto"/>
          <w:highlight w:val="none"/>
          <w:lang w:val="en-US" w:eastAsia="zh-CN"/>
        </w:rPr>
        <w:t>及包装要求</w:t>
      </w:r>
      <w:r>
        <w:rPr>
          <w:color w:val="auto"/>
          <w:highlight w:val="none"/>
        </w:rPr>
        <w:tab/>
      </w:r>
      <w:r>
        <w:rPr>
          <w:color w:val="auto"/>
          <w:highlight w:val="none"/>
        </w:rPr>
        <w:fldChar w:fldCharType="begin"/>
      </w:r>
      <w:r>
        <w:rPr>
          <w:color w:val="auto"/>
          <w:highlight w:val="none"/>
        </w:rPr>
        <w:instrText xml:space="preserve"> PAGEREF _Toc20399 \h </w:instrText>
      </w:r>
      <w:r>
        <w:rPr>
          <w:color w:val="auto"/>
          <w:highlight w:val="none"/>
        </w:rPr>
        <w:fldChar w:fldCharType="separate"/>
      </w:r>
      <w:r>
        <w:rPr>
          <w:color w:val="auto"/>
          <w:highlight w:val="none"/>
        </w:rPr>
        <w:t>8</w:t>
      </w:r>
      <w:r>
        <w:rPr>
          <w:color w:val="auto"/>
          <w:highlight w:val="none"/>
        </w:rPr>
        <w:fldChar w:fldCharType="end"/>
      </w:r>
      <w:r>
        <w:rPr>
          <w:rFonts w:hint="eastAsia" w:cs="仿宋"/>
          <w:bCs/>
          <w:color w:val="auto"/>
          <w:kern w:val="2"/>
          <w:szCs w:val="28"/>
          <w:highlight w:val="none"/>
          <w:lang w:val="en-US" w:eastAsia="zh-CN" w:bidi="ar-SA"/>
        </w:rPr>
        <w:fldChar w:fldCharType="end"/>
      </w:r>
    </w:p>
    <w:p>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_Toc19751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第四章、</w:t>
      </w:r>
      <w:r>
        <w:rPr>
          <w:rFonts w:hint="eastAsia" w:ascii="仿宋" w:hAnsi="仿宋" w:eastAsia="仿宋" w:cs="仿宋"/>
          <w:bCs/>
          <w:color w:val="auto"/>
          <w:highlight w:val="none"/>
          <w:lang w:eastAsia="zh-CN"/>
        </w:rPr>
        <w:t>订货、</w:t>
      </w:r>
      <w:r>
        <w:rPr>
          <w:rFonts w:hint="eastAsia" w:ascii="仿宋" w:hAnsi="仿宋" w:eastAsia="仿宋" w:cs="仿宋"/>
          <w:bCs/>
          <w:color w:val="auto"/>
          <w:highlight w:val="none"/>
        </w:rPr>
        <w:t>交货</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验收</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包装物</w:t>
      </w:r>
      <w:r>
        <w:rPr>
          <w:rFonts w:hint="eastAsia" w:ascii="仿宋" w:hAnsi="仿宋" w:eastAsia="仿宋" w:cs="仿宋"/>
          <w:bCs/>
          <w:color w:val="auto"/>
          <w:highlight w:val="none"/>
          <w:lang w:eastAsia="zh-CN"/>
        </w:rPr>
        <w:t>及保修</w:t>
      </w:r>
      <w:r>
        <w:rPr>
          <w:color w:val="auto"/>
          <w:highlight w:val="none"/>
        </w:rPr>
        <w:tab/>
      </w:r>
      <w:r>
        <w:rPr>
          <w:color w:val="auto"/>
          <w:highlight w:val="none"/>
        </w:rPr>
        <w:fldChar w:fldCharType="begin"/>
      </w:r>
      <w:r>
        <w:rPr>
          <w:color w:val="auto"/>
          <w:highlight w:val="none"/>
        </w:rPr>
        <w:instrText xml:space="preserve"> PAGEREF _Toc19751 \h </w:instrText>
      </w:r>
      <w:r>
        <w:rPr>
          <w:color w:val="auto"/>
          <w:highlight w:val="none"/>
        </w:rPr>
        <w:fldChar w:fldCharType="separate"/>
      </w:r>
      <w:r>
        <w:rPr>
          <w:color w:val="auto"/>
          <w:highlight w:val="none"/>
        </w:rPr>
        <w:t>8</w:t>
      </w:r>
      <w:r>
        <w:rPr>
          <w:color w:val="auto"/>
          <w:highlight w:val="none"/>
        </w:rPr>
        <w:fldChar w:fldCharType="end"/>
      </w:r>
      <w:r>
        <w:rPr>
          <w:rFonts w:hint="eastAsia" w:cs="仿宋"/>
          <w:bCs/>
          <w:color w:val="auto"/>
          <w:kern w:val="2"/>
          <w:szCs w:val="28"/>
          <w:highlight w:val="none"/>
          <w:lang w:val="en-US" w:eastAsia="zh-CN" w:bidi="ar-SA"/>
        </w:rPr>
        <w:fldChar w:fldCharType="end"/>
      </w:r>
    </w:p>
    <w:p>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_Toc28514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第五章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_Toc28514 \h </w:instrText>
      </w:r>
      <w:r>
        <w:rPr>
          <w:color w:val="auto"/>
          <w:highlight w:val="none"/>
        </w:rPr>
        <w:fldChar w:fldCharType="separate"/>
      </w:r>
      <w:r>
        <w:rPr>
          <w:color w:val="auto"/>
          <w:highlight w:val="none"/>
        </w:rPr>
        <w:t>13</w:t>
      </w:r>
      <w:r>
        <w:rPr>
          <w:color w:val="auto"/>
          <w:highlight w:val="none"/>
        </w:rPr>
        <w:fldChar w:fldCharType="end"/>
      </w:r>
      <w:r>
        <w:rPr>
          <w:rFonts w:hint="eastAsia" w:cs="仿宋"/>
          <w:bCs/>
          <w:color w:val="auto"/>
          <w:kern w:val="2"/>
          <w:szCs w:val="28"/>
          <w:highlight w:val="none"/>
          <w:lang w:val="en-US" w:eastAsia="zh-CN" w:bidi="ar-SA"/>
        </w:rPr>
        <w:fldChar w:fldCharType="end"/>
      </w:r>
    </w:p>
    <w:p>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_Toc12600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第六章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廉洁条款</w:t>
      </w:r>
      <w:r>
        <w:rPr>
          <w:color w:val="auto"/>
          <w:highlight w:val="none"/>
        </w:rPr>
        <w:tab/>
      </w:r>
      <w:r>
        <w:rPr>
          <w:color w:val="auto"/>
          <w:highlight w:val="none"/>
        </w:rPr>
        <w:fldChar w:fldCharType="begin"/>
      </w:r>
      <w:r>
        <w:rPr>
          <w:color w:val="auto"/>
          <w:highlight w:val="none"/>
        </w:rPr>
        <w:instrText xml:space="preserve"> PAGEREF _Toc12600 \h </w:instrText>
      </w:r>
      <w:r>
        <w:rPr>
          <w:color w:val="auto"/>
          <w:highlight w:val="none"/>
        </w:rPr>
        <w:fldChar w:fldCharType="separate"/>
      </w:r>
      <w:r>
        <w:rPr>
          <w:color w:val="auto"/>
          <w:highlight w:val="none"/>
        </w:rPr>
        <w:t>15</w:t>
      </w:r>
      <w:r>
        <w:rPr>
          <w:color w:val="auto"/>
          <w:highlight w:val="none"/>
        </w:rPr>
        <w:fldChar w:fldCharType="end"/>
      </w:r>
      <w:r>
        <w:rPr>
          <w:rFonts w:hint="eastAsia" w:cs="仿宋"/>
          <w:bCs/>
          <w:color w:val="auto"/>
          <w:kern w:val="2"/>
          <w:szCs w:val="28"/>
          <w:highlight w:val="none"/>
          <w:lang w:val="en-US" w:eastAsia="zh-CN" w:bidi="ar-SA"/>
        </w:rPr>
        <w:fldChar w:fldCharType="end"/>
      </w:r>
    </w:p>
    <w:p>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_Toc18645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第七章</w:t>
      </w:r>
      <w:r>
        <w:rPr>
          <w:rFonts w:hint="eastAsia" w:ascii="仿宋" w:hAnsi="仿宋" w:eastAsia="仿宋" w:cs="仿宋"/>
          <w:bCs/>
          <w:color w:val="auto"/>
          <w:highlight w:val="none"/>
          <w:lang w:eastAsia="zh-CN"/>
        </w:rPr>
        <w:t>、其他</w:t>
      </w:r>
      <w:r>
        <w:rPr>
          <w:color w:val="auto"/>
          <w:highlight w:val="none"/>
        </w:rPr>
        <w:tab/>
      </w:r>
      <w:r>
        <w:rPr>
          <w:color w:val="auto"/>
          <w:highlight w:val="none"/>
        </w:rPr>
        <w:fldChar w:fldCharType="begin"/>
      </w:r>
      <w:r>
        <w:rPr>
          <w:color w:val="auto"/>
          <w:highlight w:val="none"/>
        </w:rPr>
        <w:instrText xml:space="preserve"> PAGEREF _Toc18645 \h </w:instrText>
      </w:r>
      <w:r>
        <w:rPr>
          <w:color w:val="auto"/>
          <w:highlight w:val="none"/>
        </w:rPr>
        <w:fldChar w:fldCharType="separate"/>
      </w:r>
      <w:r>
        <w:rPr>
          <w:color w:val="auto"/>
          <w:highlight w:val="none"/>
        </w:rPr>
        <w:t>15</w:t>
      </w:r>
      <w:r>
        <w:rPr>
          <w:color w:val="auto"/>
          <w:highlight w:val="none"/>
        </w:rPr>
        <w:fldChar w:fldCharType="end"/>
      </w:r>
      <w:r>
        <w:rPr>
          <w:rFonts w:hint="eastAsia" w:cs="仿宋"/>
          <w:bCs/>
          <w:color w:val="auto"/>
          <w:kern w:val="2"/>
          <w:szCs w:val="28"/>
          <w:highlight w:val="none"/>
          <w:lang w:val="en-US" w:eastAsia="zh-CN" w:bidi="ar-SA"/>
        </w:rPr>
        <w:fldChar w:fldCharType="end"/>
      </w:r>
    </w:p>
    <w:p>
      <w:pPr>
        <w:pStyle w:val="7"/>
        <w:pageBreakBefore w:val="0"/>
        <w:tabs>
          <w:tab w:val="right" w:leader="dot" w:pos="10206"/>
        </w:tabs>
        <w:wordWrap/>
        <w:topLinePunct w:val="0"/>
        <w:bidi w:val="0"/>
        <w:spacing w:line="360" w:lineRule="auto"/>
        <w:jc w:val="center"/>
        <w:rPr>
          <w:rFonts w:hint="eastAsia" w:cs="仿宋"/>
          <w:bCs/>
          <w:color w:val="auto"/>
          <w:kern w:val="2"/>
          <w:szCs w:val="28"/>
          <w:highlight w:val="none"/>
          <w:lang w:val="en-US" w:eastAsia="zh-CN" w:bidi="ar-SA"/>
        </w:rPr>
      </w:pPr>
      <w:r>
        <w:rPr>
          <w:rFonts w:hint="eastAsia" w:cs="仿宋"/>
          <w:bCs/>
          <w:color w:val="auto"/>
          <w:kern w:val="2"/>
          <w:szCs w:val="28"/>
          <w:highlight w:val="none"/>
          <w:lang w:val="en-US" w:eastAsia="zh-CN" w:bidi="ar-SA"/>
        </w:rPr>
        <w:fldChar w:fldCharType="end"/>
      </w:r>
      <w:bookmarkEnd w:id="0"/>
      <w:bookmarkEnd w:id="1"/>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甲、乙双方在平等、自愿、公平和诚实守信的原则上，依据《中华人民共和国民法典》《中华人民共和国产品质量法》及其他有关法律法规，就拟用于“</w:t>
      </w:r>
      <w:r>
        <w:rPr>
          <w:rFonts w:hint="eastAsia" w:ascii="仿宋" w:hAnsi="仿宋" w:eastAsia="仿宋" w:cs="仿宋"/>
          <w:b w:val="0"/>
          <w:bCs w:val="0"/>
          <w:color w:val="auto"/>
          <w:kern w:val="2"/>
          <w:sz w:val="28"/>
          <w:szCs w:val="28"/>
          <w:highlight w:val="none"/>
          <w:u w:val="single"/>
          <w:lang w:val="en-US" w:eastAsia="zh-CN" w:bidi="ar-SA"/>
        </w:rPr>
        <w:t>南京现代表面处理科技产业中心项目A地块建设工程</w:t>
      </w:r>
      <w:r>
        <w:rPr>
          <w:rFonts w:hint="eastAsia" w:ascii="仿宋" w:hAnsi="仿宋" w:eastAsia="仿宋" w:cs="仿宋"/>
          <w:b w:val="0"/>
          <w:bCs w:val="0"/>
          <w:color w:val="auto"/>
          <w:kern w:val="2"/>
          <w:sz w:val="28"/>
          <w:szCs w:val="28"/>
          <w:highlight w:val="none"/>
          <w:u w:val="none"/>
          <w:lang w:val="en-US" w:eastAsia="zh-CN" w:bidi="ar-SA"/>
        </w:rPr>
        <w:t>”（以下简称“本项目”）的</w:t>
      </w:r>
      <w:r>
        <w:rPr>
          <w:rFonts w:hint="eastAsia" w:ascii="仿宋" w:hAnsi="仿宋" w:eastAsia="仿宋" w:cs="仿宋"/>
          <w:b w:val="0"/>
          <w:bCs w:val="0"/>
          <w:color w:val="auto"/>
          <w:kern w:val="2"/>
          <w:sz w:val="28"/>
          <w:szCs w:val="28"/>
          <w:highlight w:val="none"/>
          <w:u w:val="single"/>
          <w:lang w:val="en-US" w:eastAsia="zh-CN" w:bidi="ar-SA"/>
        </w:rPr>
        <w:t>砂、再生石子、砖渣、袋装水泥</w:t>
      </w:r>
      <w:r>
        <w:rPr>
          <w:rFonts w:hint="eastAsia" w:ascii="仿宋" w:hAnsi="仿宋" w:eastAsia="仿宋" w:cs="仿宋"/>
          <w:b w:val="0"/>
          <w:bCs w:val="0"/>
          <w:color w:val="auto"/>
          <w:kern w:val="2"/>
          <w:sz w:val="28"/>
          <w:szCs w:val="28"/>
          <w:highlight w:val="none"/>
          <w:u w:val="none"/>
          <w:lang w:val="en-US" w:eastAsia="zh-CN" w:bidi="ar-SA"/>
        </w:rPr>
        <w:t>（以下简称“产品”）</w:t>
      </w:r>
      <w:r>
        <w:rPr>
          <w:rFonts w:hint="eastAsia" w:ascii="仿宋" w:hAnsi="仿宋" w:eastAsia="仿宋" w:cs="仿宋"/>
          <w:b w:val="0"/>
          <w:bCs w:val="0"/>
          <w:color w:val="auto"/>
          <w:kern w:val="2"/>
          <w:sz w:val="28"/>
          <w:szCs w:val="28"/>
          <w:highlight w:val="none"/>
          <w:u w:val="single"/>
          <w:lang w:val="en-US" w:eastAsia="zh-CN" w:bidi="ar-SA"/>
        </w:rPr>
        <w:t xml:space="preserve"> 购销</w:t>
      </w:r>
      <w:r>
        <w:rPr>
          <w:rFonts w:hint="eastAsia" w:ascii="仿宋" w:hAnsi="仿宋" w:eastAsia="仿宋" w:cs="仿宋"/>
          <w:b w:val="0"/>
          <w:bCs w:val="0"/>
          <w:color w:val="auto"/>
          <w:kern w:val="2"/>
          <w:sz w:val="28"/>
          <w:szCs w:val="28"/>
          <w:highlight w:val="none"/>
          <w:u w:val="none"/>
          <w:lang w:val="en-US" w:eastAsia="zh-CN" w:bidi="ar-SA"/>
        </w:rPr>
        <w:t>事宜协商一致，特签订本合同。（本合同范围内，对以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2" w:char="00A3"/>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开头的内容为准。）</w:t>
      </w:r>
      <w:r>
        <w:rPr>
          <w:rFonts w:hint="eastAsia" w:ascii="仿宋" w:hAnsi="仿宋" w:eastAsia="仿宋" w:cs="仿宋"/>
          <w:b w:val="0"/>
          <w:bCs w:val="0"/>
          <w:color w:val="auto"/>
          <w:kern w:val="2"/>
          <w:sz w:val="28"/>
          <w:szCs w:val="28"/>
          <w:highlight w:val="none"/>
          <w:u w:val="none"/>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szCs w:val="28"/>
          <w:highlight w:val="none"/>
        </w:rPr>
      </w:pPr>
      <w:bookmarkStart w:id="2" w:name="_Toc26009"/>
      <w:bookmarkStart w:id="3" w:name="_Toc17291"/>
      <w:bookmarkStart w:id="4" w:name="_Toc30517"/>
      <w:bookmarkStart w:id="5" w:name="_Toc17474"/>
      <w:r>
        <w:rPr>
          <w:rFonts w:hint="eastAsia" w:ascii="仿宋" w:hAnsi="仿宋" w:eastAsia="仿宋" w:cs="仿宋"/>
          <w:b/>
          <w:bCs/>
          <w:color w:val="auto"/>
          <w:kern w:val="2"/>
          <w:sz w:val="28"/>
          <w:szCs w:val="28"/>
          <w:highlight w:val="none"/>
          <w:u w:val="none"/>
          <w:lang w:val="en-US" w:eastAsia="zh-CN" w:bidi="ar-SA"/>
        </w:rPr>
        <w:t>第一章、</w:t>
      </w:r>
      <w:r>
        <w:rPr>
          <w:rFonts w:hint="eastAsia" w:ascii="仿宋" w:hAnsi="仿宋" w:eastAsia="仿宋" w:cs="仿宋"/>
          <w:b/>
          <w:bCs/>
          <w:color w:val="auto"/>
          <w:sz w:val="28"/>
          <w:szCs w:val="28"/>
          <w:highlight w:val="none"/>
        </w:rPr>
        <w:t>产品内容</w:t>
      </w:r>
      <w:bookmarkEnd w:id="2"/>
      <w:bookmarkEnd w:id="3"/>
      <w:bookmarkEnd w:id="4"/>
      <w:r>
        <w:rPr>
          <w:rFonts w:hint="eastAsia" w:ascii="仿宋" w:hAnsi="仿宋" w:eastAsia="仿宋" w:cs="仿宋"/>
          <w:b/>
          <w:bCs/>
          <w:color w:val="auto"/>
          <w:sz w:val="28"/>
          <w:szCs w:val="28"/>
          <w:highlight w:val="none"/>
          <w:lang w:val="en-US" w:eastAsia="zh-CN"/>
        </w:rPr>
        <w:t>及合同价款</w:t>
      </w:r>
      <w:bookmarkEnd w:id="5"/>
    </w:p>
    <w:tbl>
      <w:tblPr>
        <w:tblStyle w:val="10"/>
        <w:tblW w:w="5071" w:type="pc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875"/>
        <w:gridCol w:w="1216"/>
        <w:gridCol w:w="1032"/>
        <w:gridCol w:w="3005"/>
        <w:gridCol w:w="480"/>
        <w:gridCol w:w="821"/>
        <w:gridCol w:w="1037"/>
        <w:gridCol w:w="983"/>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序号</w:t>
            </w:r>
          </w:p>
        </w:tc>
        <w:tc>
          <w:tcPr>
            <w:tcW w:w="41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产品名称</w:t>
            </w:r>
          </w:p>
        </w:tc>
        <w:tc>
          <w:tcPr>
            <w:tcW w:w="57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品牌、</w:t>
            </w:r>
            <w:r>
              <w:rPr>
                <w:rFonts w:hint="eastAsia" w:ascii="仿宋" w:hAnsi="仿宋" w:eastAsia="仿宋" w:cs="仿宋"/>
                <w:color w:val="auto"/>
                <w:sz w:val="28"/>
                <w:szCs w:val="28"/>
                <w:highlight w:val="none"/>
                <w:vertAlign w:val="baseline"/>
                <w:lang w:val="en-US" w:eastAsia="zh-CN"/>
              </w:rPr>
              <w:t>制造商、产地</w:t>
            </w:r>
          </w:p>
        </w:tc>
        <w:tc>
          <w:tcPr>
            <w:tcW w:w="1909"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none"/>
                <w:vertAlign w:val="baseline"/>
                <w:lang w:eastAsia="zh-CN"/>
              </w:rPr>
              <w:t>型号、规格、</w:t>
            </w:r>
            <w:r>
              <w:rPr>
                <w:rFonts w:hint="eastAsia" w:ascii="仿宋" w:hAnsi="仿宋" w:eastAsia="仿宋" w:cs="仿宋"/>
                <w:color w:val="auto"/>
                <w:sz w:val="28"/>
                <w:szCs w:val="28"/>
                <w:highlight w:val="none"/>
                <w:vertAlign w:val="baseline"/>
                <w:lang w:val="en-US" w:eastAsia="zh-CN"/>
              </w:rPr>
              <w:t>尺寸、材质、颜色、质量等级等技术</w:t>
            </w:r>
            <w:r>
              <w:rPr>
                <w:rFonts w:hint="eastAsia" w:ascii="仿宋" w:hAnsi="仿宋" w:eastAsia="仿宋" w:cs="仿宋"/>
                <w:color w:val="auto"/>
                <w:sz w:val="28"/>
                <w:szCs w:val="28"/>
                <w:highlight w:val="none"/>
                <w:vertAlign w:val="baseline"/>
                <w:lang w:eastAsia="zh-CN"/>
              </w:rPr>
              <w:t>参数（</w:t>
            </w:r>
            <w:r>
              <w:rPr>
                <w:rFonts w:hint="eastAsia" w:ascii="仿宋" w:hAnsi="仿宋" w:eastAsia="仿宋" w:cs="仿宋"/>
                <w:color w:val="auto"/>
                <w:sz w:val="28"/>
                <w:szCs w:val="28"/>
                <w:highlight w:val="none"/>
                <w:vertAlign w:val="baseline"/>
                <w:lang w:val="en-US" w:eastAsia="zh-CN"/>
              </w:rPr>
              <w:t>如有图纸，详见附件</w:t>
            </w:r>
            <w:r>
              <w:rPr>
                <w:rFonts w:hint="eastAsia" w:ascii="仿宋" w:hAnsi="仿宋" w:eastAsia="仿宋" w:cs="仿宋"/>
                <w:color w:val="auto"/>
                <w:sz w:val="28"/>
                <w:szCs w:val="28"/>
                <w:highlight w:val="none"/>
                <w:vertAlign w:val="baseline"/>
                <w:lang w:eastAsia="zh-CN"/>
              </w:rPr>
              <w:t>）</w:t>
            </w:r>
          </w:p>
        </w:tc>
        <w:tc>
          <w:tcPr>
            <w:tcW w:w="2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单位</w:t>
            </w:r>
          </w:p>
        </w:tc>
        <w:tc>
          <w:tcPr>
            <w:tcW w:w="38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暂定数量</w:t>
            </w:r>
          </w:p>
        </w:tc>
        <w:tc>
          <w:tcPr>
            <w:tcW w:w="49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合同单价（元</w:t>
            </w:r>
            <w:r>
              <w:rPr>
                <w:rFonts w:hint="eastAsia" w:ascii="仿宋" w:hAnsi="仿宋" w:eastAsia="仿宋" w:cs="仿宋"/>
                <w:color w:val="auto"/>
                <w:sz w:val="28"/>
                <w:szCs w:val="28"/>
                <w:highlight w:val="none"/>
                <w:vertAlign w:val="baseline"/>
                <w:lang w:val="en-US" w:eastAsia="zh-CN"/>
              </w:rPr>
              <w:t>）</w:t>
            </w:r>
          </w:p>
        </w:tc>
        <w:tc>
          <w:tcPr>
            <w:tcW w:w="4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w:t>
            </w:r>
            <w:r>
              <w:rPr>
                <w:rFonts w:hint="eastAsia" w:ascii="仿宋" w:hAnsi="仿宋" w:eastAsia="仿宋" w:cs="仿宋"/>
                <w:color w:val="auto"/>
                <w:sz w:val="28"/>
                <w:szCs w:val="28"/>
                <w:highlight w:val="none"/>
                <w:vertAlign w:val="baseline"/>
                <w:lang w:val="en-US" w:eastAsia="zh-CN"/>
              </w:rPr>
              <w:t>合</w:t>
            </w:r>
            <w:r>
              <w:rPr>
                <w:rFonts w:hint="eastAsia" w:ascii="仿宋" w:hAnsi="仿宋" w:eastAsia="仿宋" w:cs="仿宋"/>
                <w:color w:val="auto"/>
                <w:sz w:val="28"/>
                <w:szCs w:val="28"/>
                <w:highlight w:val="none"/>
                <w:vertAlign w:val="baseline"/>
                <w:lang w:eastAsia="zh-CN"/>
              </w:rPr>
              <w:t>价（元）</w:t>
            </w:r>
          </w:p>
        </w:tc>
        <w:tc>
          <w:tcPr>
            <w:tcW w:w="32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1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41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p>
        </w:tc>
        <w:tc>
          <w:tcPr>
            <w:tcW w:w="57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val="0"/>
                <w:bCs w:val="0"/>
                <w:color w:val="auto"/>
                <w:kern w:val="2"/>
                <w:sz w:val="28"/>
                <w:szCs w:val="28"/>
                <w:highlight w:val="none"/>
                <w:vertAlign w:val="baseline"/>
                <w:lang w:val="en-US" w:eastAsia="zh-CN" w:bidi="ar-SA"/>
              </w:rPr>
            </w:pPr>
          </w:p>
        </w:tc>
        <w:tc>
          <w:tcPr>
            <w:tcW w:w="1909"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2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p>
        </w:tc>
        <w:tc>
          <w:tcPr>
            <w:tcW w:w="38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2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2</w:t>
            </w:r>
          </w:p>
        </w:tc>
        <w:tc>
          <w:tcPr>
            <w:tcW w:w="41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p>
        </w:tc>
        <w:tc>
          <w:tcPr>
            <w:tcW w:w="57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1909"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2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8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2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w:t>
            </w:r>
          </w:p>
        </w:tc>
        <w:tc>
          <w:tcPr>
            <w:tcW w:w="41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p>
        </w:tc>
        <w:tc>
          <w:tcPr>
            <w:tcW w:w="57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1909"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2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8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2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1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N</w:t>
            </w:r>
          </w:p>
        </w:tc>
        <w:tc>
          <w:tcPr>
            <w:tcW w:w="41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p>
        </w:tc>
        <w:tc>
          <w:tcPr>
            <w:tcW w:w="57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1909"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vertAlign w:val="baseline"/>
                <w:lang w:val="en-US" w:eastAsia="zh-CN"/>
              </w:rPr>
            </w:pPr>
          </w:p>
        </w:tc>
        <w:tc>
          <w:tcPr>
            <w:tcW w:w="22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8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6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32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687" w:type="pct"/>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lang w:val="en-US" w:eastAsia="zh-CN"/>
              </w:rPr>
              <w:t>合同暂定总价（1+2+…+N）</w:t>
            </w:r>
          </w:p>
        </w:tc>
        <w:tc>
          <w:tcPr>
            <w:tcW w:w="3312" w:type="pct"/>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u w:val="single"/>
                <w:vertAlign w:val="baseline"/>
                <w:lang w:val="en-US" w:eastAsia="zh-CN"/>
              </w:rPr>
              <w:t xml:space="preserve">          </w:t>
            </w:r>
            <w:r>
              <w:rPr>
                <w:rFonts w:hint="eastAsia" w:ascii="仿宋" w:hAnsi="仿宋" w:eastAsia="仿宋" w:cs="仿宋"/>
                <w:b/>
                <w:bCs/>
                <w:color w:val="auto"/>
                <w:sz w:val="28"/>
                <w:szCs w:val="28"/>
                <w:highlight w:val="none"/>
                <w:vertAlign w:val="baseline"/>
                <w:lang w:val="en-US" w:eastAsia="zh-CN"/>
              </w:rPr>
              <w:t xml:space="preserve">元 </w:t>
            </w:r>
          </w:p>
        </w:tc>
      </w:tr>
    </w:tbl>
    <w:p>
      <w:pPr>
        <w:keepNext w:val="0"/>
        <w:keepLines w:val="0"/>
        <w:pageBreakBefore w:val="0"/>
        <w:widowControl w:val="0"/>
        <w:numPr>
          <w:ilvl w:val="1"/>
          <w:numId w:val="1"/>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vertAlign w:val="baseline"/>
          <w:lang w:val="en-US" w:eastAsia="zh-CN"/>
        </w:rPr>
        <w:t>本合同为固定单价合同，</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color w:val="auto"/>
          <w:sz w:val="28"/>
          <w:szCs w:val="28"/>
          <w:highlight w:val="none"/>
          <w:vertAlign w:val="baseline"/>
          <w:lang w:eastAsia="zh-CN"/>
        </w:rPr>
        <w:t>装卸费（</w:t>
      </w:r>
      <w:r>
        <w:rPr>
          <w:rFonts w:hint="eastAsia" w:ascii="仿宋" w:hAnsi="仿宋" w:eastAsia="仿宋" w:cs="仿宋"/>
          <w:color w:val="auto"/>
          <w:sz w:val="28"/>
          <w:szCs w:val="28"/>
          <w:highlight w:val="none"/>
          <w:vertAlign w:val="baseline"/>
          <w:lang w:val="en-US" w:eastAsia="zh-CN"/>
        </w:rPr>
        <w:t>产品由乙方负责装车，卸车由：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）、安装费（</w:t>
      </w:r>
      <w:r>
        <w:rPr>
          <w:rFonts w:hint="eastAsia" w:ascii="仿宋" w:hAnsi="仿宋" w:eastAsia="仿宋" w:cs="仿宋"/>
          <w:color w:val="auto"/>
          <w:sz w:val="28"/>
          <w:szCs w:val="28"/>
          <w:highlight w:val="none"/>
          <w:vertAlign w:val="baseline"/>
          <w:lang w:val="en-US" w:eastAsia="zh-CN"/>
        </w:rPr>
        <w:t>产品安装由：</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调试费</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产品调试由：</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检验检测所需产品（数量按当地送检取样要求）及检验检测费（产品移交甲方前的所有检验检测费用，检验检测须符合产品使用地点政府主管部门要求）、</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%的增值税</w:t>
      </w:r>
      <w:r>
        <w:rPr>
          <w:rFonts w:hint="eastAsia" w:ascii="仿宋" w:hAnsi="仿宋" w:eastAsia="仿宋" w:cs="仿宋"/>
          <w:color w:val="auto"/>
          <w:sz w:val="28"/>
          <w:szCs w:val="28"/>
          <w:highlight w:val="none"/>
          <w:vertAlign w:val="baseline"/>
        </w:rPr>
        <w:sym w:font="Wingdings 2" w:char="0052"/>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税率按国家政策执行，</w:t>
      </w:r>
      <w:r>
        <w:rPr>
          <w:rFonts w:hint="eastAsia" w:ascii="仿宋" w:hAnsi="仿宋" w:eastAsia="仿宋" w:cs="仿宋"/>
          <w:color w:val="auto"/>
          <w:sz w:val="28"/>
          <w:szCs w:val="28"/>
          <w:highlight w:val="none"/>
          <w:vertAlign w:val="baseline"/>
          <w:lang w:eastAsia="zh-CN"/>
        </w:rPr>
        <w:t>如</w:t>
      </w:r>
      <w:r>
        <w:rPr>
          <w:rFonts w:hint="eastAsia" w:ascii="仿宋" w:hAnsi="仿宋" w:eastAsia="仿宋" w:cs="仿宋"/>
          <w:color w:val="auto"/>
          <w:sz w:val="28"/>
          <w:szCs w:val="28"/>
          <w:highlight w:val="none"/>
          <w:vertAlign w:val="baseline"/>
          <w:lang w:val="en-US" w:eastAsia="zh-CN"/>
        </w:rPr>
        <w:t>税率</w:t>
      </w:r>
      <w:r>
        <w:rPr>
          <w:rFonts w:hint="eastAsia" w:ascii="仿宋" w:hAnsi="仿宋" w:eastAsia="仿宋" w:cs="仿宋"/>
          <w:color w:val="auto"/>
          <w:sz w:val="28"/>
          <w:szCs w:val="28"/>
          <w:highlight w:val="none"/>
          <w:vertAlign w:val="baseline"/>
          <w:lang w:eastAsia="zh-CN"/>
        </w:rPr>
        <w:t>调整，</w:t>
      </w:r>
      <w:r>
        <w:rPr>
          <w:rFonts w:hint="eastAsia" w:ascii="仿宋" w:hAnsi="仿宋" w:eastAsia="仿宋" w:cs="仿宋"/>
          <w:color w:val="auto"/>
          <w:sz w:val="28"/>
          <w:szCs w:val="28"/>
          <w:highlight w:val="none"/>
          <w:vertAlign w:val="baseline"/>
          <w:lang w:val="en-US" w:eastAsia="zh-CN"/>
        </w:rPr>
        <w:t>合同</w:t>
      </w:r>
      <w:r>
        <w:rPr>
          <w:rFonts w:hint="eastAsia" w:ascii="仿宋" w:hAnsi="仿宋" w:eastAsia="仿宋" w:cs="仿宋"/>
          <w:color w:val="auto"/>
          <w:sz w:val="28"/>
          <w:szCs w:val="28"/>
          <w:highlight w:val="none"/>
          <w:vertAlign w:val="baseline"/>
        </w:rPr>
        <w:t>单价随之调整）等，含乙方承担合同义务、责任、风险的费用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除合同另有约</w:t>
      </w:r>
      <w:r>
        <w:rPr>
          <w:rFonts w:hint="eastAsia" w:ascii="仿宋" w:hAnsi="仿宋" w:eastAsia="仿宋" w:cs="仿宋"/>
          <w:color w:val="auto"/>
          <w:sz w:val="28"/>
          <w:szCs w:val="28"/>
          <w:highlight w:val="none"/>
          <w:u w:val="none"/>
          <w:vertAlign w:val="baseline"/>
        </w:rPr>
        <w:t>定外</w:t>
      </w:r>
      <w:r>
        <w:rPr>
          <w:rFonts w:hint="eastAsia" w:ascii="仿宋" w:hAnsi="仿宋" w:eastAsia="仿宋" w:cs="仿宋"/>
          <w:color w:val="auto"/>
          <w:sz w:val="28"/>
          <w:szCs w:val="28"/>
          <w:highlight w:val="none"/>
          <w:u w:val="none"/>
          <w:vertAlign w:val="baseline"/>
          <w:lang w:eastAsia="zh-CN"/>
        </w:rPr>
        <w:t>，单价</w:t>
      </w:r>
      <w:r>
        <w:rPr>
          <w:rFonts w:hint="eastAsia" w:ascii="仿宋" w:hAnsi="仿宋" w:eastAsia="仿宋" w:cs="仿宋"/>
          <w:color w:val="auto"/>
          <w:sz w:val="28"/>
          <w:szCs w:val="28"/>
          <w:highlight w:val="none"/>
          <w:u w:val="none"/>
          <w:vertAlign w:val="baseline"/>
        </w:rPr>
        <w:t>不</w:t>
      </w:r>
      <w:r>
        <w:rPr>
          <w:rFonts w:hint="eastAsia" w:ascii="仿宋" w:hAnsi="仿宋" w:eastAsia="仿宋" w:cs="仿宋"/>
          <w:color w:val="auto"/>
          <w:sz w:val="28"/>
          <w:szCs w:val="28"/>
          <w:highlight w:val="none"/>
          <w:u w:val="none"/>
          <w:vertAlign w:val="baseline"/>
          <w:lang w:eastAsia="zh-CN"/>
        </w:rPr>
        <w:t>作</w:t>
      </w:r>
      <w:r>
        <w:rPr>
          <w:rFonts w:hint="eastAsia" w:ascii="仿宋" w:hAnsi="仿宋" w:eastAsia="仿宋" w:cs="仿宋"/>
          <w:color w:val="auto"/>
          <w:sz w:val="28"/>
          <w:szCs w:val="28"/>
          <w:highlight w:val="none"/>
          <w:u w:val="none"/>
          <w:vertAlign w:val="baseline"/>
        </w:rPr>
        <w:t>任何调整</w:t>
      </w:r>
      <w:r>
        <w:rPr>
          <w:rFonts w:hint="eastAsia" w:ascii="仿宋" w:hAnsi="仿宋" w:eastAsia="仿宋" w:cs="仿宋"/>
          <w:color w:val="auto"/>
          <w:sz w:val="28"/>
          <w:szCs w:val="28"/>
          <w:highlight w:val="none"/>
          <w:u w:val="none"/>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kern w:val="2"/>
          <w:sz w:val="28"/>
          <w:szCs w:val="28"/>
          <w:highlight w:val="none"/>
          <w:u w:val="none"/>
          <w:lang w:val="en-US" w:eastAsia="zh-CN" w:bidi="ar-SA"/>
        </w:rPr>
        <w:t xml:space="preserve">1.2 </w:t>
      </w:r>
      <w:r>
        <w:rPr>
          <w:rFonts w:hint="eastAsia" w:ascii="仿宋" w:hAnsi="仿宋" w:eastAsia="仿宋" w:cs="仿宋"/>
          <w:color w:val="auto"/>
          <w:sz w:val="28"/>
          <w:szCs w:val="28"/>
          <w:highlight w:val="none"/>
          <w:u w:val="none"/>
          <w:vertAlign w:val="baseline"/>
        </w:rPr>
        <w:t>乙方</w:t>
      </w:r>
      <w:r>
        <w:rPr>
          <w:rFonts w:hint="eastAsia" w:ascii="仿宋" w:hAnsi="仿宋" w:eastAsia="仿宋" w:cs="仿宋"/>
          <w:color w:val="auto"/>
          <w:sz w:val="28"/>
          <w:szCs w:val="28"/>
          <w:highlight w:val="none"/>
          <w:u w:val="none"/>
          <w:vertAlign w:val="baseline"/>
          <w:lang w:val="en-US" w:eastAsia="zh-CN"/>
        </w:rPr>
        <w:t>每批次</w:t>
      </w:r>
      <w:r>
        <w:rPr>
          <w:rFonts w:hint="eastAsia" w:ascii="仿宋" w:hAnsi="仿宋" w:eastAsia="仿宋" w:cs="仿宋"/>
          <w:color w:val="auto"/>
          <w:sz w:val="28"/>
          <w:szCs w:val="28"/>
          <w:highlight w:val="none"/>
          <w:u w:val="none"/>
          <w:vertAlign w:val="baseline"/>
        </w:rPr>
        <w:t>送货数量由甲方决定，乙方无条件配合</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所需费用已含本合同单价内无需另计。</w:t>
      </w:r>
      <w:r>
        <w:rPr>
          <w:rFonts w:hint="eastAsia" w:ascii="仿宋" w:hAnsi="仿宋" w:eastAsia="仿宋" w:cs="仿宋"/>
          <w:color w:val="auto"/>
          <w:sz w:val="28"/>
          <w:szCs w:val="28"/>
          <w:highlight w:val="none"/>
          <w:u w:val="none"/>
          <w:vertAlign w:val="baseline"/>
          <w:lang w:eastAsia="zh-CN"/>
        </w:rPr>
        <w:t>上述数量仅作参考，不作为结算依据。</w:t>
      </w:r>
      <w:r>
        <w:rPr>
          <w:rFonts w:hint="eastAsia" w:ascii="仿宋" w:hAnsi="仿宋" w:eastAsia="仿宋" w:cs="仿宋"/>
          <w:color w:val="auto"/>
          <w:sz w:val="28"/>
          <w:szCs w:val="28"/>
          <w:highlight w:val="none"/>
          <w:vertAlign w:val="baseline"/>
        </w:rPr>
        <w:t>产品购销数量按甲方实际</w:t>
      </w:r>
      <w:r>
        <w:rPr>
          <w:rFonts w:hint="eastAsia" w:ascii="仿宋" w:hAnsi="仿宋" w:eastAsia="仿宋" w:cs="仿宋"/>
          <w:color w:val="auto"/>
          <w:sz w:val="28"/>
          <w:szCs w:val="28"/>
          <w:highlight w:val="none"/>
          <w:vertAlign w:val="baseline"/>
          <w:lang w:val="en-US" w:eastAsia="zh-CN"/>
        </w:rPr>
        <w:t>接收并</w:t>
      </w:r>
      <w:r>
        <w:rPr>
          <w:rFonts w:hint="eastAsia" w:ascii="仿宋" w:hAnsi="仿宋" w:eastAsia="仿宋" w:cs="仿宋"/>
          <w:color w:val="auto"/>
          <w:sz w:val="28"/>
          <w:szCs w:val="28"/>
          <w:highlight w:val="none"/>
          <w:vertAlign w:val="baseline"/>
        </w:rPr>
        <w:t>验收合格的数量结算</w:t>
      </w:r>
      <w:r>
        <w:rPr>
          <w:rFonts w:hint="eastAsia" w:ascii="仿宋" w:hAnsi="仿宋" w:eastAsia="仿宋" w:cs="仿宋"/>
          <w:color w:val="auto"/>
          <w:sz w:val="28"/>
          <w:szCs w:val="28"/>
          <w:highlight w:val="none"/>
          <w:vertAlign w:val="baseli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1.3根据产品暂定</w:t>
      </w:r>
      <w:r>
        <w:rPr>
          <w:rFonts w:hint="eastAsia" w:ascii="仿宋" w:hAnsi="仿宋" w:eastAsia="仿宋" w:cs="仿宋"/>
          <w:color w:val="auto"/>
          <w:kern w:val="2"/>
          <w:sz w:val="28"/>
          <w:szCs w:val="28"/>
          <w:highlight w:val="none"/>
          <w:u w:val="single"/>
          <w:lang w:val="en-US" w:eastAsia="zh-CN" w:bidi="ar-SA"/>
        </w:rPr>
        <w:t>数量</w:t>
      </w:r>
      <w:r>
        <w:rPr>
          <w:rFonts w:hint="eastAsia" w:ascii="仿宋" w:hAnsi="仿宋" w:eastAsia="仿宋" w:cs="仿宋"/>
          <w:color w:val="auto"/>
          <w:kern w:val="2"/>
          <w:sz w:val="28"/>
          <w:szCs w:val="28"/>
          <w:highlight w:val="none"/>
          <w:u w:val="none"/>
          <w:lang w:val="en-US" w:eastAsia="zh-CN" w:bidi="ar-SA"/>
        </w:rPr>
        <w:t>计算，本合同暂定总价为</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元，</w:t>
      </w:r>
      <w:r>
        <w:rPr>
          <w:rFonts w:hint="eastAsia" w:ascii="仿宋" w:hAnsi="仿宋" w:eastAsia="仿宋" w:cs="仿宋"/>
          <w:color w:val="auto"/>
          <w:sz w:val="28"/>
          <w:szCs w:val="28"/>
          <w:highlight w:val="none"/>
          <w:vertAlign w:val="baseline"/>
        </w:rPr>
        <w:t>合同暂定总价仅供参考，不作结算用途。</w:t>
      </w:r>
      <w:r>
        <w:rPr>
          <w:rFonts w:hint="eastAsia" w:ascii="仿宋" w:hAnsi="仿宋" w:eastAsia="仿宋" w:cs="仿宋"/>
          <w:color w:val="auto"/>
          <w:kern w:val="2"/>
          <w:sz w:val="28"/>
          <w:szCs w:val="28"/>
          <w:highlight w:val="none"/>
          <w:u w:val="none"/>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vertAlign w:val="baseline"/>
          <w:lang w:val="en-US" w:eastAsia="zh-CN"/>
        </w:rPr>
        <w:t>其他需要约定的与价格相关的事项：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vertAlign w:val="baseline"/>
          <w:lang w:val="en-US" w:eastAsia="zh-CN"/>
        </w:rPr>
        <w:t>1.4.1合同</w:t>
      </w:r>
      <w:r>
        <w:rPr>
          <w:rFonts w:hint="eastAsia" w:ascii="仿宋" w:hAnsi="仿宋" w:eastAsia="仿宋" w:cs="仿宋"/>
          <w:color w:val="auto"/>
          <w:sz w:val="28"/>
          <w:szCs w:val="28"/>
          <w:highlight w:val="none"/>
          <w:u w:val="single"/>
          <w:vertAlign w:val="baseline"/>
          <w:lang w:val="en-US" w:eastAsia="zh-CN"/>
        </w:rPr>
        <w:t>单</w:t>
      </w:r>
      <w:r>
        <w:rPr>
          <w:rFonts w:hint="eastAsia" w:ascii="仿宋" w:hAnsi="仿宋" w:eastAsia="仿宋" w:cs="仿宋"/>
          <w:color w:val="auto"/>
          <w:sz w:val="28"/>
          <w:szCs w:val="28"/>
          <w:highlight w:val="none"/>
          <w:vertAlign w:val="baseline"/>
          <w:lang w:val="en-US" w:eastAsia="zh-CN"/>
        </w:rPr>
        <w:t>价有效期为：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本合同生效之日起至本项目所需产品全部供应完毕为止，如市场价格发生波动，双方另行协商并以书面形式确定协商结果。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1.4.2其他要求：</w:t>
      </w:r>
      <w:r>
        <w:rPr>
          <w:rFonts w:hint="eastAsia" w:ascii="仿宋" w:hAnsi="仿宋" w:eastAsia="仿宋" w:cs="仿宋"/>
          <w:color w:val="auto"/>
          <w:sz w:val="28"/>
          <w:szCs w:val="28"/>
          <w:highlight w:val="none"/>
          <w:u w:val="singl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1.5合同</w:t>
      </w:r>
      <w:r>
        <w:rPr>
          <w:rFonts w:hint="eastAsia" w:ascii="仿宋" w:hAnsi="仿宋" w:eastAsia="仿宋" w:cs="仿宋"/>
          <w:color w:val="auto"/>
          <w:sz w:val="28"/>
          <w:szCs w:val="28"/>
          <w:highlight w:val="none"/>
          <w:u w:val="single"/>
          <w:vertAlign w:val="baseline"/>
          <w:lang w:val="en-US" w:eastAsia="zh-CN"/>
        </w:rPr>
        <w:t>单</w:t>
      </w:r>
      <w:r>
        <w:rPr>
          <w:rFonts w:hint="eastAsia" w:ascii="仿宋" w:hAnsi="仿宋" w:eastAsia="仿宋" w:cs="仿宋"/>
          <w:color w:val="auto"/>
          <w:sz w:val="28"/>
          <w:szCs w:val="28"/>
          <w:highlight w:val="none"/>
          <w:u w:val="none"/>
          <w:vertAlign w:val="baseline"/>
          <w:lang w:val="en-US" w:eastAsia="zh-CN"/>
        </w:rPr>
        <w:t>价已包含各种保险费用，乙方不得另计保险而向甲方索要费用。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1.6甲方或使用单位在产品使用过程中遇到的问题，乙方须随时提供电话答疑。凡与产品相关联的问题都属于答疑范围，所需费用已包含在合同</w:t>
      </w:r>
      <w:r>
        <w:rPr>
          <w:rFonts w:hint="eastAsia" w:ascii="仿宋" w:hAnsi="仿宋" w:eastAsia="仿宋" w:cs="仿宋"/>
          <w:color w:val="auto"/>
          <w:sz w:val="28"/>
          <w:szCs w:val="28"/>
          <w:highlight w:val="none"/>
          <w:u w:val="single"/>
          <w:vertAlign w:val="baseline"/>
          <w:lang w:val="en-US" w:eastAsia="zh-CN"/>
        </w:rPr>
        <w:t xml:space="preserve"> 单 </w:t>
      </w:r>
      <w:r>
        <w:rPr>
          <w:rFonts w:hint="eastAsia" w:ascii="仿宋" w:hAnsi="仿宋" w:eastAsia="仿宋" w:cs="仿宋"/>
          <w:color w:val="auto"/>
          <w:sz w:val="28"/>
          <w:szCs w:val="28"/>
          <w:highlight w:val="none"/>
          <w:u w:val="none"/>
          <w:vertAlign w:val="baseline"/>
          <w:lang w:val="en-US" w:eastAsia="zh-CN"/>
        </w:rPr>
        <w:t>价中，不另计费。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1.7</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根据</w:t>
      </w:r>
      <w:r>
        <w:rPr>
          <w:rFonts w:hint="eastAsia" w:ascii="仿宋" w:hAnsi="仿宋" w:eastAsia="仿宋" w:cs="仿宋"/>
          <w:color w:val="auto"/>
          <w:sz w:val="28"/>
          <w:highlight w:val="none"/>
          <w:u w:val="none"/>
          <w:lang w:val="en-US" w:eastAsia="zh-CN"/>
        </w:rPr>
        <w:t>甲方</w:t>
      </w:r>
      <w:r>
        <w:rPr>
          <w:rFonts w:hint="eastAsia" w:ascii="仿宋" w:hAnsi="仿宋" w:eastAsia="仿宋" w:cs="仿宋"/>
          <w:color w:val="auto"/>
          <w:sz w:val="28"/>
          <w:highlight w:val="none"/>
          <w:u w:val="none"/>
        </w:rPr>
        <w:t>需要提供现场临时指导</w:t>
      </w:r>
      <w:r>
        <w:rPr>
          <w:rFonts w:hint="eastAsia" w:ascii="仿宋" w:hAnsi="仿宋" w:eastAsia="仿宋" w:cs="仿宋"/>
          <w:color w:val="auto"/>
          <w:sz w:val="28"/>
          <w:highlight w:val="none"/>
          <w:u w:val="none"/>
          <w:lang w:eastAsia="zh-CN"/>
        </w:rPr>
        <w:t>和培训，费用已包含在</w:t>
      </w:r>
      <w:r>
        <w:rPr>
          <w:rFonts w:hint="eastAsia" w:ascii="仿宋" w:hAnsi="仿宋" w:eastAsia="仿宋" w:cs="仿宋"/>
          <w:color w:val="auto"/>
          <w:sz w:val="28"/>
          <w:highlight w:val="none"/>
          <w:u w:val="none"/>
          <w:lang w:val="en-US" w:eastAsia="zh-CN"/>
        </w:rPr>
        <w:t>合同单价</w:t>
      </w:r>
      <w:r>
        <w:rPr>
          <w:rFonts w:hint="eastAsia" w:ascii="仿宋" w:hAnsi="仿宋" w:eastAsia="仿宋" w:cs="仿宋"/>
          <w:color w:val="auto"/>
          <w:sz w:val="28"/>
          <w:highlight w:val="none"/>
          <w:u w:val="none"/>
          <w:lang w:eastAsia="zh-CN"/>
        </w:rPr>
        <w:t>中，不另计费。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default" w:ascii="仿宋" w:hAnsi="仿宋" w:eastAsia="仿宋" w:cs="仿宋"/>
          <w:b/>
          <w:bCs/>
          <w:color w:val="auto"/>
          <w:sz w:val="28"/>
          <w:highlight w:val="none"/>
          <w:lang w:val="en-US" w:eastAsia="zh-CN"/>
        </w:rPr>
      </w:pPr>
      <w:bookmarkStart w:id="6" w:name="_Toc32399"/>
      <w:bookmarkStart w:id="7" w:name="_Toc16052"/>
      <w:bookmarkStart w:id="8" w:name="_Toc24462"/>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6"/>
      <w:bookmarkEnd w:id="7"/>
      <w:bookmarkEnd w:id="8"/>
      <w:r>
        <w:rPr>
          <w:rFonts w:hint="eastAsia" w:ascii="仿宋" w:hAnsi="仿宋" w:eastAsia="仿宋" w:cs="仿宋"/>
          <w:b/>
          <w:bCs/>
          <w:color w:val="auto"/>
          <w:sz w:val="28"/>
          <w:highlight w:val="none"/>
          <w:lang w:val="en-US" w:eastAsia="zh-CN"/>
        </w:rPr>
        <w:t>及履约保证金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r>
        <w:rPr>
          <w:rFonts w:hint="eastAsia" w:ascii="仿宋" w:hAnsi="仿宋" w:eastAsia="仿宋" w:cs="仿宋"/>
          <w:b/>
          <w:bCs/>
          <w:color w:val="auto"/>
          <w:sz w:val="28"/>
          <w:highlight w:val="none"/>
          <w:lang w:eastAsia="zh-CN"/>
        </w:rPr>
        <w:t>（视定标文件具体情况而定）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办法一、有预付款：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2.1.1本合同生效后，甲方向乙方支付合同暂定总价的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color w:val="auto"/>
          <w:highlight w:val="none"/>
        </w:rPr>
      </w:pPr>
      <w:r>
        <w:rPr>
          <w:rFonts w:hint="eastAsia" w:ascii="仿宋" w:hAnsi="仿宋" w:eastAsia="仿宋" w:cs="仿宋"/>
          <w:color w:val="auto"/>
          <w:sz w:val="28"/>
          <w:highlight w:val="none"/>
          <w:u w:val="none"/>
          <w:lang w:val="en-US" w:eastAsia="zh-CN"/>
        </w:rPr>
        <w:t>2.1.2产品到齐甲方指定交货地点经甲方形式验收合格并移交甲方，甲方收齐金额等于结算款全额的发票等相关资料后付至合同结算总价的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2.1.3合同结算总价的</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52"/>
      </w:r>
      <w:r>
        <w:rPr>
          <w:rFonts w:hint="eastAsia" w:ascii="仿宋" w:hAnsi="仿宋" w:eastAsia="仿宋" w:cs="仿宋"/>
          <w:color w:val="auto"/>
          <w:sz w:val="28"/>
          <w:highlight w:val="none"/>
          <w:u w:val="none"/>
          <w:lang w:val="en-US" w:eastAsia="zh-CN"/>
        </w:rPr>
        <w:t>办法二、月结，无预付款：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2.1.1每月货款下月支付，具体为:乙方按合同约定的时间交齐上月货款对账资料且与甲方完成对账后，甲方支付上月货款的</w:t>
      </w:r>
      <w:r>
        <w:rPr>
          <w:rFonts w:hint="eastAsia" w:ascii="仿宋" w:hAnsi="仿宋" w:eastAsia="仿宋" w:cs="仿宋"/>
          <w:color w:val="auto"/>
          <w:sz w:val="28"/>
          <w:highlight w:val="none"/>
          <w:u w:val="single"/>
          <w:lang w:val="en-US" w:eastAsia="zh-CN"/>
        </w:rPr>
        <w:t xml:space="preserve"> 100 </w:t>
      </w:r>
      <w:r>
        <w:rPr>
          <w:rFonts w:hint="eastAsia" w:ascii="仿宋" w:hAnsi="仿宋" w:eastAsia="仿宋" w:cs="仿宋"/>
          <w:color w:val="auto"/>
          <w:sz w:val="28"/>
          <w:highlight w:val="none"/>
          <w:u w:val="none"/>
          <w:lang w:val="en-US" w:eastAsia="zh-CN"/>
        </w:rPr>
        <w:t>%，上月货款的</w:t>
      </w:r>
      <w:r>
        <w:rPr>
          <w:rFonts w:hint="eastAsia" w:ascii="仿宋" w:hAnsi="仿宋" w:eastAsia="仿宋" w:cs="仿宋"/>
          <w:color w:val="auto"/>
          <w:sz w:val="28"/>
          <w:highlight w:val="none"/>
          <w:u w:val="single"/>
          <w:lang w:val="en-US" w:eastAsia="zh-CN"/>
        </w:rPr>
        <w:t xml:space="preserve"> 0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%作为产品保修金，保修期满且乙方取得“保修合格证明”后，双方无息结清保修金。乙方逾期交齐对账资料或完成对账的，付款日期顺延至货款完成对账月份的下月底前。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对账日期为每月3日至每月8日。乙方在每月3日前一次性交齐上月供货产品的对账资料至甲方项目部，双方在每月8日前（遇节假日则顺延）完成对账，如乙方逾期交齐对账资料，则对账日期顺延至次月的3日至8日。次月乙方对账时还须提供“同意延迟付款声明函”（格式详见附件二）给甲方，以此类推。(例：乙方在6月3日前交齐5月份货款的对账资料给甲方项目部并在6月8日完成对账的，则甲方在6月30日前支付5月份货款的</w:t>
      </w:r>
      <w:r>
        <w:rPr>
          <w:rFonts w:hint="eastAsia" w:ascii="仿宋" w:hAnsi="仿宋" w:eastAsia="仿宋" w:cs="仿宋"/>
          <w:color w:val="auto"/>
          <w:sz w:val="28"/>
          <w:highlight w:val="none"/>
          <w:u w:val="single"/>
          <w:lang w:val="en-US" w:eastAsia="zh-CN"/>
        </w:rPr>
        <w:t xml:space="preserve"> 100</w:t>
      </w:r>
      <w:r>
        <w:rPr>
          <w:rFonts w:hint="eastAsia" w:ascii="仿宋" w:hAnsi="仿宋" w:eastAsia="仿宋" w:cs="仿宋"/>
          <w:color w:val="auto"/>
          <w:sz w:val="28"/>
          <w:highlight w:val="none"/>
          <w:u w:val="none"/>
          <w:lang w:val="en-US" w:eastAsia="zh-CN"/>
        </w:rPr>
        <w:t>%，余款作为保修金；若乙方6月4日（或更迟）交齐5月份货款的对账资料给甲方，则5月份货款的对账时间顺延至7月3日至8日，付款时间顺延至7月31日前，以此类推。)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对账资料：乙方每次对账须提供：乙方对账单（结算单）、本合同复印件（含调价函）、材料签收单、乙方送货单（发货单）、材料收货水印照片、材料款申报审批表、款项支付台账、供应商月度对账单、结清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2.1.3.1对账资料具体要求：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①乙方对账单（结算单）：该单据须盖乙方公章及乙方人员签名和注明日期，经甲方人员（甲方合同执行联系人、甲方仓管员）核对无误后签名和注明日期，原则上款项内容处填写的对账日期应与签注的日期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②本合同复印件（含调价函）：合同复印件以签公章完毕的为准，包括本合同及附属补充协议；调价函及调税率函以适用的为准，过期或者不适用的不附，以加盖双方公章的为准。如不调价/调税，则无需提供。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③材料签收单：注明材料/产品所用项目、地块、第几期，并正确填写日期、乙方公司全称、材料名称、规格型号、数量及金额等信息，不得随意修改或涂划，若确有修改，则在需修正数据旁进行修正并附甲方合同执行联系人、甲方仓管员、乙方送货员、乙方合同授权代表签字，有规定的同时按相关规定签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④乙方送货单（发货单）：此单据须盖乙方公章及甲乙双方人员（甲方合同执行联系人、甲方仓管员、乙方送货员、乙方合同授权代表）签字。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⑤材料收货水印照片：含甲乙双方产品签收人员合影，产品卸货前后对比照片，产品实物规格、品牌等参数照片，运输车辆、车牌信息照片，卸货现场工程背景照片，所有照片均要由水印备注，水印要有项目地址定位和拍照时间、日期。</w:t>
      </w:r>
    </w:p>
    <w:p>
      <w:pPr>
        <w:pStyle w:val="8"/>
        <w:keepNext w:val="0"/>
        <w:keepLines w:val="0"/>
        <w:pageBreakBefore w:val="0"/>
        <w:wordWrap/>
        <w:topLinePunct w:val="0"/>
        <w:bidi w:val="0"/>
        <w:snapToGrid/>
        <w:spacing w:line="360" w:lineRule="auto"/>
        <w:textAlignment w:val="auto"/>
        <w:rPr>
          <w:rFonts w:hint="eastAsia"/>
          <w:color w:val="auto"/>
          <w:highlight w:val="none"/>
          <w:lang w:val="en-US" w:eastAsia="zh-CN"/>
        </w:rPr>
      </w:pPr>
      <w:r>
        <w:rPr>
          <w:rFonts w:hint="eastAsia" w:ascii="仿宋" w:hAnsi="仿宋" w:eastAsia="仿宋" w:cs="仿宋"/>
          <w:color w:val="auto"/>
          <w:kern w:val="2"/>
          <w:sz w:val="28"/>
          <w:szCs w:val="24"/>
          <w:highlight w:val="none"/>
          <w:u w:val="none"/>
          <w:lang w:val="en-US" w:eastAsia="zh-CN" w:bidi="ar-SA"/>
        </w:rPr>
        <w:t>⑥结清承诺书：格式详见附件。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⑦</w:t>
      </w:r>
      <w:r>
        <w:rPr>
          <w:rFonts w:hint="eastAsia" w:ascii="仿宋" w:hAnsi="仿宋" w:eastAsia="仿宋" w:cs="仿宋"/>
          <w:color w:val="auto"/>
          <w:kern w:val="2"/>
          <w:sz w:val="28"/>
          <w:szCs w:val="24"/>
          <w:highlight w:val="none"/>
          <w:u w:val="none"/>
          <w:lang w:val="en-US" w:eastAsia="zh-CN" w:bidi="ar-SA"/>
        </w:rPr>
        <w:t>材料款申报审批表：格式详见附件。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⑧</w:t>
      </w:r>
      <w:r>
        <w:rPr>
          <w:rFonts w:hint="eastAsia" w:ascii="仿宋" w:hAnsi="仿宋" w:eastAsia="仿宋" w:cs="仿宋"/>
          <w:color w:val="auto"/>
          <w:sz w:val="28"/>
          <w:highlight w:val="none"/>
          <w:u w:val="none"/>
          <w:lang w:val="en-US" w:eastAsia="zh-CN"/>
        </w:rPr>
        <w:t>款项支付台账：格式详见附件。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⑨供应商月度对账单：格式详见附件。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办法三、其他办法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auto"/>
          <w:sz w:val="28"/>
          <w:highlight w:val="none"/>
          <w:u w:val="single"/>
          <w:lang w:val="en-US" w:eastAsia="zh-CN"/>
        </w:rPr>
        <w:t>（根据与乙方议定的实际情况填写）</w:t>
      </w:r>
      <w:r>
        <w:rPr>
          <w:rFonts w:hint="eastAsia" w:ascii="仿宋" w:hAnsi="仿宋" w:eastAsia="仿宋" w:cs="仿宋"/>
          <w:color w:val="auto"/>
          <w:sz w:val="28"/>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2.1.2</w:t>
      </w:r>
      <w:r>
        <w:rPr>
          <w:rFonts w:hint="eastAsia" w:ascii="仿宋" w:hAnsi="仿宋" w:eastAsia="仿宋" w:cs="仿宋"/>
          <w:color w:val="auto"/>
          <w:sz w:val="28"/>
          <w:highlight w:val="none"/>
          <w:u w:val="single"/>
          <w:lang w:val="en-US" w:eastAsia="zh-CN"/>
        </w:rPr>
        <w:t>（根据与乙方议定的实际情况填写）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付款</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式：优先使用网银、银行承兑汇票等，支票、电汇视情况而定。甲方</w:t>
      </w:r>
      <w:r>
        <w:rPr>
          <w:rFonts w:hint="eastAsia" w:ascii="仿宋" w:hAnsi="仿宋" w:eastAsia="仿宋" w:cs="仿宋"/>
          <w:color w:val="auto"/>
          <w:sz w:val="28"/>
          <w:highlight w:val="none"/>
          <w:u w:val="none"/>
          <w:lang w:val="en-US" w:eastAsia="zh-CN"/>
        </w:rPr>
        <w:t>以</w:t>
      </w:r>
      <w:r>
        <w:rPr>
          <w:rFonts w:hint="default" w:ascii="仿宋" w:hAnsi="仿宋" w:eastAsia="仿宋" w:cs="仿宋"/>
          <w:color w:val="auto"/>
          <w:sz w:val="28"/>
          <w:highlight w:val="none"/>
          <w:u w:val="none"/>
          <w:lang w:val="en-US" w:eastAsia="zh-CN"/>
        </w:rPr>
        <w:t>其中任意一种支付</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式给乙方</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款，均视为乙方收到该</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2.3发票要求：双方对账完成后，甲方项目部通知乙方开票，乙方开具的发票内容须与合同约定内容一致，并按甲方要求分项目、分地块、分楼栋分别开具，否则视为乙方逾期提供发票给甲方，属乙方违约，甲方有权不付款。乙方逾期提供合格发票的，在提供合格发票时须同时提供“同意延迟付款声明函”（格式详见附件），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殊原因未收发票却已付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none"/>
          <w:lang w:val="en-US" w:eastAsia="zh-CN"/>
        </w:rPr>
        <w:t>第</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bookmarkStart w:id="9" w:name="_Toc13709"/>
      <w:bookmarkStart w:id="10" w:name="_Toc9141"/>
      <w:r>
        <w:rPr>
          <w:rFonts w:hint="eastAsia" w:ascii="仿宋" w:hAnsi="仿宋" w:eastAsia="仿宋" w:cs="仿宋"/>
          <w:b w:val="0"/>
          <w:bCs w:val="0"/>
          <w:color w:val="auto"/>
          <w:sz w:val="28"/>
          <w:highlight w:val="none"/>
          <w:u w:val="none"/>
          <w:lang w:val="en-US" w:eastAsia="zh-CN"/>
        </w:rPr>
        <w:t>2.9甲方支付完任一批次货款（不含保修金）后或甲乙双方完成本项目货款结算或甲方支付完货款（不含保修金）后，视为乙方关于除保修金外的合同款支付事宜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的全部权利消灭，乙方不得基于合同款支付事宜向甲方提出任何权利主张或追索其他任何费用。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2.11合同履约保证金为人民币壹万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本合同供货完成、本项目竣工验收合格后，甲方无息原路退回剩余的履约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8"/>
          <w:highlight w:val="none"/>
          <w:lang w:val="en-US" w:eastAsia="zh-CN"/>
        </w:rPr>
      </w:pPr>
      <w:bookmarkStart w:id="11" w:name="_Toc20399"/>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9"/>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验收规定，必须是全新的、未使用过的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(包括</w:t>
      </w:r>
      <w:r>
        <w:rPr>
          <w:rFonts w:hint="eastAsia" w:ascii="仿宋" w:hAnsi="仿宋" w:eastAsia="仿宋" w:cs="仿宋"/>
          <w:color w:val="auto"/>
          <w:sz w:val="28"/>
          <w:highlight w:val="none"/>
          <w:lang w:val="en-US" w:eastAsia="zh-CN"/>
        </w:rPr>
        <w:t>产品包含的</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。产品生产日期距到货（进场）日期不得超过3个月。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进场产品必须与甲乙双方事先确认的样板相同，如不相同，乙方无条件按甲方要求更换或退货。本合同所述各种产品标准、规范的质量表述不一致时，按质量要求最高的表述执行。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bCs/>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b/>
          <w:bCs/>
          <w:color w:val="auto"/>
          <w:sz w:val="28"/>
          <w:highlight w:val="none"/>
          <w:u w:val="singl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w:t>
      </w:r>
      <w:r>
        <w:rPr>
          <w:rFonts w:hint="eastAsia" w:ascii="仿宋" w:hAnsi="仿宋" w:eastAsia="仿宋" w:cs="仿宋"/>
          <w:b/>
          <w:bCs/>
          <w:color w:val="auto"/>
          <w:sz w:val="28"/>
          <w:highlight w:val="none"/>
          <w:u w:val="single"/>
          <w:vertAlign w:val="baseline"/>
          <w:lang w:val="en-US" w:eastAsia="zh-CN"/>
        </w:rPr>
        <w:t>/</w:t>
      </w:r>
      <w:r>
        <w:rPr>
          <w:rFonts w:hint="eastAsia" w:ascii="仿宋" w:hAnsi="仿宋" w:eastAsia="仿宋" w:cs="仿宋"/>
          <w:color w:val="auto"/>
          <w:sz w:val="28"/>
          <w:highlight w:val="none"/>
          <w:u w:val="singl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vertAlign w:val="baseline"/>
          <w:lang w:val="en-US" w:eastAsia="zh-CN"/>
        </w:rPr>
        <w:t>3.3</w:t>
      </w:r>
      <w:r>
        <w:rPr>
          <w:rFonts w:hint="eastAsia" w:ascii="仿宋" w:hAnsi="仿宋" w:eastAsia="仿宋" w:cs="仿宋"/>
          <w:color w:val="auto"/>
          <w:sz w:val="28"/>
          <w:highlight w:val="none"/>
          <w:u w:val="none"/>
          <w:lang w:val="en-US" w:eastAsia="zh-CN"/>
        </w:rPr>
        <w:t>产品包装物归属：</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包装物归甲方所有，费用已含于合同单价中。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color w:val="auto"/>
          <w:sz w:val="28"/>
          <w:highlight w:val="none"/>
          <w:lang w:val="en-US" w:eastAsia="zh-CN"/>
        </w:rPr>
      </w:pPr>
      <w:bookmarkStart w:id="12" w:name="_Toc23033"/>
      <w:bookmarkStart w:id="13" w:name="_Toc29235"/>
      <w:bookmarkStart w:id="14" w:name="_Toc19751"/>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rPr>
        <w:t>交货</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lang w:val="en-US" w:eastAsia="zh-CN"/>
        </w:rPr>
        <w:t>包装物</w:t>
      </w:r>
      <w:r>
        <w:rPr>
          <w:rFonts w:hint="eastAsia" w:ascii="仿宋" w:hAnsi="仿宋" w:eastAsia="仿宋" w:cs="仿宋"/>
          <w:b/>
          <w:bCs/>
          <w:color w:val="auto"/>
          <w:sz w:val="28"/>
          <w:highlight w:val="none"/>
          <w:lang w:eastAsia="zh-CN"/>
        </w:rPr>
        <w:t>及</w:t>
      </w:r>
      <w:bookmarkEnd w:id="12"/>
      <w:r>
        <w:rPr>
          <w:rFonts w:hint="eastAsia" w:ascii="仿宋" w:hAnsi="仿宋" w:eastAsia="仿宋" w:cs="仿宋"/>
          <w:b/>
          <w:bCs/>
          <w:color w:val="auto"/>
          <w:sz w:val="28"/>
          <w:highlight w:val="none"/>
          <w:lang w:eastAsia="zh-CN"/>
        </w:rPr>
        <w:t>保修</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b w:val="0"/>
          <w:bCs w:val="0"/>
          <w:color w:val="auto"/>
          <w:sz w:val="28"/>
          <w:highlight w:val="none"/>
          <w:lang w:val="en-US" w:eastAsia="zh-CN"/>
        </w:rPr>
        <w:t>4.1</w:t>
      </w:r>
      <w:r>
        <w:rPr>
          <w:rFonts w:hint="eastAsia" w:ascii="仿宋" w:hAnsi="仿宋" w:eastAsia="仿宋" w:cs="仿宋"/>
          <w:color w:val="auto"/>
          <w:sz w:val="28"/>
          <w:highlight w:val="none"/>
          <w:u w:val="none"/>
          <w:lang w:eastAsia="zh-CN"/>
        </w:rPr>
        <w:t>订单确认方式：</w:t>
      </w:r>
      <w:bookmarkStart w:id="25" w:name="_GoBack"/>
      <w:bookmarkEnd w:id="25"/>
      <w:r>
        <w:rPr>
          <w:rFonts w:hint="eastAsia" w:ascii="仿宋" w:hAnsi="仿宋" w:eastAsia="仿宋" w:cs="仿宋"/>
          <w:color w:val="auto"/>
          <w:sz w:val="28"/>
          <w:highlight w:val="none"/>
          <w:u w:val="single"/>
          <w:lang w:val="en-US" w:eastAsia="zh-CN"/>
        </w:rPr>
        <w:t>以经甲方本合同执行联系人、仓管员等相关岗位人员签名的物料申购单(格式详见附件《物料申购单》)扫描件为准，详见第 4.4.1条约定。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 xml:space="preserve">  甲方项目部指定的堆放位置</w:t>
      </w:r>
      <w:r>
        <w:rPr>
          <w:rFonts w:hint="eastAsia" w:ascii="仿宋" w:hAnsi="仿宋" w:eastAsia="仿宋" w:cs="仿宋"/>
          <w:b/>
          <w:bCs/>
          <w:color w:val="auto"/>
          <w:sz w:val="28"/>
          <w:highlight w:val="none"/>
          <w:u w:val="single"/>
          <w:lang w:val="en-US" w:eastAsia="zh-CN"/>
        </w:rPr>
        <w:t>。</w:t>
      </w:r>
      <w:r>
        <w:rPr>
          <w:rFonts w:hint="eastAsia" w:ascii="仿宋" w:hAnsi="仿宋" w:eastAsia="仿宋" w:cs="仿宋"/>
          <w:color w:val="auto"/>
          <w:sz w:val="28"/>
          <w:highlight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w:t>
      </w:r>
      <w:r>
        <w:rPr>
          <w:rFonts w:hint="eastAsia" w:ascii="仿宋" w:hAnsi="仿宋" w:eastAsia="仿宋" w:cs="仿宋"/>
          <w:color w:val="auto"/>
          <w:sz w:val="28"/>
          <w:highlight w:val="none"/>
          <w:lang w:eastAsia="zh-CN"/>
        </w:rPr>
        <w:t>：</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 xml:space="preserve">甲方发出订单之日起 </w:t>
      </w:r>
      <w:r>
        <w:rPr>
          <w:rFonts w:hint="eastAsia" w:ascii="仿宋" w:hAnsi="仿宋" w:eastAsia="仿宋" w:cs="仿宋"/>
          <w:b/>
          <w:bCs/>
          <w:color w:val="auto"/>
          <w:sz w:val="28"/>
          <w:highlight w:val="none"/>
          <w:u w:val="single"/>
          <w:lang w:val="en-US" w:eastAsia="zh-CN"/>
        </w:rPr>
        <w:t xml:space="preserve"> XX 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把产品送齐至交货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val="en-US" w:eastAsia="zh-CN"/>
        </w:rPr>
        <w:t>。</w:t>
      </w:r>
      <w:r>
        <w:rPr>
          <w:rFonts w:hint="eastAsia" w:ascii="仿宋" w:hAnsi="仿宋" w:eastAsia="仿宋" w:cs="仿宋"/>
          <w:color w:val="auto"/>
          <w:sz w:val="28"/>
          <w:highlight w:val="none"/>
          <w:u w:val="single"/>
          <w:lang w:eastAsia="zh-CN"/>
        </w:rPr>
        <w:t>（按定标文件实际情况填写）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4.4联系人及权限：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4.4.1甲方指定</w:t>
      </w:r>
      <w:r>
        <w:rPr>
          <w:rFonts w:hint="eastAsia" w:ascii="仿宋" w:hAnsi="仿宋" w:eastAsia="仿宋" w:cs="仿宋"/>
          <w:b w:val="0"/>
          <w:bCs w:val="0"/>
          <w:color w:val="auto"/>
          <w:sz w:val="28"/>
          <w:highlight w:val="none"/>
          <w:u w:val="single"/>
          <w:lang w:val="en-US" w:eastAsia="zh-CN"/>
        </w:rPr>
        <w:t xml:space="preserve"> 彭善海（手机号码：13592796498 ）</w:t>
      </w:r>
      <w:r>
        <w:rPr>
          <w:rFonts w:hint="eastAsia" w:ascii="仿宋" w:hAnsi="仿宋" w:eastAsia="仿宋" w:cs="仿宋"/>
          <w:b w:val="0"/>
          <w:bCs w:val="0"/>
          <w:color w:val="auto"/>
          <w:sz w:val="28"/>
          <w:highlight w:val="none"/>
          <w:lang w:val="en-US" w:eastAsia="zh-CN"/>
        </w:rPr>
        <w:t>为本合同甲方执行联系人；指定</w:t>
      </w:r>
      <w:r>
        <w:rPr>
          <w:rFonts w:hint="eastAsia" w:ascii="仿宋" w:hAnsi="仿宋" w:eastAsia="仿宋" w:cs="仿宋"/>
          <w:b w:val="0"/>
          <w:bCs w:val="0"/>
          <w:color w:val="auto"/>
          <w:sz w:val="28"/>
          <w:highlight w:val="none"/>
          <w:u w:val="single"/>
          <w:lang w:val="en-US" w:eastAsia="zh-CN"/>
        </w:rPr>
        <w:t>杨军（仓管员）为产品签收人，联系电话 13652456602</w:t>
      </w:r>
      <w:r>
        <w:rPr>
          <w:rFonts w:hint="eastAsia"/>
          <w:lang w:eastAsia="zh-CN"/>
        </w:rPr>
        <w:t>。</w:t>
      </w:r>
      <w:r>
        <w:rPr>
          <w:rFonts w:hint="eastAsia" w:ascii="仿宋" w:hAnsi="仿宋" w:eastAsia="仿宋" w:cs="仿宋"/>
          <w:b w:val="0"/>
          <w:bCs w:val="0"/>
          <w:color w:val="auto"/>
          <w:sz w:val="28"/>
          <w:highlight w:val="none"/>
          <w:lang w:val="en-US"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甲方项目章方为有效，否则为无效文件，仅盖章或者签名的文件亦无效。甲方项目负责人、合同执行联系人变更的，甲方将以书面形式通知乙方。</w:t>
      </w:r>
    </w:p>
    <w:p>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4.4.1.1签订合同；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4.4.1.2任何类型的欠条或收据；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4.4.1.3任何形式的经济结算凭证；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4.4.1.4为他人或他单位提供任何形式的担保；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b w:val="0"/>
          <w:bCs w:val="0"/>
          <w:color w:val="auto"/>
          <w:sz w:val="28"/>
          <w:highlight w:val="none"/>
          <w:lang w:val="en-US" w:eastAsia="zh-CN"/>
        </w:rPr>
        <w:t>4.4.1.5确认任何形式的包含权利义</w:t>
      </w:r>
      <w:r>
        <w:rPr>
          <w:rFonts w:hint="eastAsia" w:ascii="仿宋" w:hAnsi="仿宋" w:eastAsia="仿宋" w:cs="仿宋"/>
          <w:color w:val="auto"/>
          <w:sz w:val="28"/>
          <w:highlight w:val="none"/>
          <w:shd w:val="clear" w:color="auto" w:fill="auto"/>
          <w:lang w:eastAsia="zh-CN"/>
        </w:rPr>
        <w:t>务及责任承担的文件。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4.4.2乙方指定</w:t>
      </w:r>
      <w:r>
        <w:rPr>
          <w:rFonts w:hint="eastAsia" w:ascii="仿宋" w:hAnsi="仿宋" w:eastAsia="仿宋" w:cs="仿宋"/>
          <w:b w:val="0"/>
          <w:bCs w:val="0"/>
          <w:color w:val="auto"/>
          <w:sz w:val="28"/>
          <w:highlight w:val="none"/>
          <w:u w:val="single"/>
          <w:lang w:val="en-US" w:eastAsia="zh-CN"/>
        </w:rPr>
        <w:t xml:space="preserve">         （身份证号码：            ；手机号码：         ）</w:t>
      </w:r>
      <w:r>
        <w:rPr>
          <w:rFonts w:hint="eastAsia" w:ascii="仿宋" w:hAnsi="仿宋" w:eastAsia="仿宋" w:cs="仿宋"/>
          <w:b w:val="0"/>
          <w:bCs w:val="0"/>
          <w:color w:val="auto"/>
          <w:sz w:val="28"/>
          <w:highlight w:val="none"/>
          <w:lang w:val="en-US" w:eastAsia="zh-CN"/>
        </w:rPr>
        <w:t>作为其授权代表，在本合同有效期内执行与本合同有关的事项。乙方授权代表以乙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方的名义处理与本合同相关的一切事务，乙方对其行为均认可并承担一切责任。乙方如需更换授权代表，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r>
        <w:rPr>
          <w:rFonts w:hint="eastAsia" w:ascii="仿宋" w:hAnsi="仿宋" w:eastAsia="仿宋" w:cs="仿宋"/>
          <w:b w:val="0"/>
          <w:bCs w:val="0"/>
          <w:color w:val="auto"/>
          <w:sz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lang w:val="en-US" w:eastAsia="zh-CN"/>
        </w:rPr>
        <w:t>4.5除甲方本合</w:t>
      </w:r>
      <w:r>
        <w:rPr>
          <w:rFonts w:hint="eastAsia" w:ascii="仿宋" w:hAnsi="仿宋" w:eastAsia="仿宋" w:cs="仿宋"/>
          <w:color w:val="auto"/>
          <w:sz w:val="28"/>
          <w:highlight w:val="none"/>
          <w:u w:val="none"/>
          <w:shd w:val="clear" w:color="auto" w:fill="auto"/>
          <w:lang w:eastAsia="zh-CN"/>
        </w:rPr>
        <w:t>同执行联系人外，甲方项目部其他任何人对涉及费用的所有文件、资料无权进行确定、批准。甲方的本合同执行联系人在履行本合同过程中，对涉及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费用的所有文件、资料审批权限为不超过三千元/次（含税）。三千元/次以该联系人负责管理的项目为最小单位，不得分地块、分期、分楼栋、分部位拆分使用权限。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4.7.3甲方项目施工员在产品进场时对品牌、规格、型号、质量等进行全检并拍照留存。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厂地、规格、型号、质量等），甲方本合同执行联系人按合同要求直接拒收、退场并作好记录备查，甲方不折价签收不符合合同要求的产品，且乙方向甲方承担违约金（违约金额等于不符合合同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定的产品金额的三倍且最少不低于一万元/次），甲方有权在任意一笔应付乙方的合同款中自行扣取违约金。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损失由乙方全部承担。产品如与合同约定不符或验收不合格，乙方自甲方要求之日起两个日历天内无条件更换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4.11由甲方仓管员对进场产品组织验收，如甲方栋号施工员不能第一时间进行验收，由甲方仓管员组织保安组长共同进行验收并签名，栋号施工员在产品进场12小时内进行复验，验收完成后在材料签收单签名。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4.14保修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按法律、法规和国家有关规定对产品在</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期内承担质量保修责任</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本合同有更长期限约定或更高保修要求的，按本合同执行。</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.2</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u w:val="single"/>
          <w:lang w:val="en-US" w:eastAsia="zh-CN"/>
        </w:rPr>
        <w:t xml:space="preserve"> 2  </w:t>
      </w:r>
      <w:r>
        <w:rPr>
          <w:rFonts w:hint="eastAsia" w:ascii="仿宋" w:hAnsi="仿宋" w:eastAsia="仿宋" w:cs="仿宋"/>
          <w:color w:val="auto"/>
          <w:sz w:val="28"/>
          <w:highlight w:val="none"/>
          <w:lang w:eastAsia="zh-CN"/>
        </w:rPr>
        <w:t>年免费</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(国家或甲方与本项目建设单位另有更长</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lang w:eastAsia="zh-CN"/>
        </w:rPr>
        <w:t>期限规定的，从其规定)</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rPr>
        <w:t>期自产品经甲方</w:t>
      </w:r>
      <w:r>
        <w:rPr>
          <w:rFonts w:hint="eastAsia" w:ascii="仿宋" w:hAnsi="仿宋" w:eastAsia="仿宋" w:cs="仿宋"/>
          <w:color w:val="auto"/>
          <w:sz w:val="28"/>
          <w:highlight w:val="none"/>
          <w:lang w:val="en-US" w:eastAsia="zh-CN"/>
        </w:rPr>
        <w:t>形式</w:t>
      </w:r>
      <w:r>
        <w:rPr>
          <w:rFonts w:hint="eastAsia" w:ascii="仿宋" w:hAnsi="仿宋" w:eastAsia="仿宋" w:cs="仿宋"/>
          <w:color w:val="auto"/>
          <w:sz w:val="28"/>
          <w:highlight w:val="none"/>
        </w:rPr>
        <w:t>验收合格并</w:t>
      </w:r>
      <w:r>
        <w:rPr>
          <w:rFonts w:hint="eastAsia" w:ascii="仿宋" w:hAnsi="仿宋" w:eastAsia="仿宋" w:cs="仿宋"/>
          <w:color w:val="auto"/>
          <w:sz w:val="28"/>
          <w:highlight w:val="none"/>
          <w:lang w:val="en-US" w:eastAsia="zh-CN"/>
        </w:rPr>
        <w:t>且本</w:t>
      </w:r>
      <w:r>
        <w:rPr>
          <w:rFonts w:hint="eastAsia" w:ascii="仿宋" w:hAnsi="仿宋" w:eastAsia="仿宋" w:cs="仿宋"/>
          <w:color w:val="auto"/>
          <w:sz w:val="28"/>
          <w:highlight w:val="none"/>
          <w:u w:val="none"/>
          <w:lang w:val="en-US" w:eastAsia="zh-CN"/>
        </w:rPr>
        <w:t>项目经建设单位竣工验收合格</w:t>
      </w:r>
      <w:r>
        <w:rPr>
          <w:rFonts w:hint="eastAsia" w:ascii="仿宋" w:hAnsi="仿宋" w:eastAsia="仿宋" w:cs="仿宋"/>
          <w:color w:val="auto"/>
          <w:sz w:val="28"/>
          <w:highlight w:val="none"/>
        </w:rPr>
        <w:t>之日起计。</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甲方形式验收仅查验合格证、数量、外观等，本</w:t>
      </w:r>
      <w:r>
        <w:rPr>
          <w:rFonts w:hint="eastAsia" w:ascii="仿宋" w:hAnsi="仿宋" w:eastAsia="仿宋" w:cs="仿宋"/>
          <w:color w:val="auto"/>
          <w:sz w:val="28"/>
          <w:highlight w:val="none"/>
          <w:u w:val="none"/>
          <w:lang w:val="en-US" w:eastAsia="zh-CN"/>
        </w:rPr>
        <w:t>项目经建设单位竣工验收合格视为乙方的产品验收合格</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u w:val="none"/>
          <w:lang w:val="en-US" w:eastAsia="zh-CN"/>
        </w:rPr>
        <w:t>14</w:t>
      </w:r>
      <w:r>
        <w:rPr>
          <w:rFonts w:hint="eastAsia" w:ascii="仿宋" w:hAnsi="仿宋" w:eastAsia="仿宋" w:cs="仿宋"/>
          <w:color w:val="auto"/>
          <w:sz w:val="28"/>
          <w:highlight w:val="none"/>
          <w:u w:val="none"/>
        </w:rPr>
        <w:t>.3</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仍应提供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未准时到达现场，</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问题</w:t>
      </w:r>
      <w:r>
        <w:rPr>
          <w:rFonts w:hint="eastAsia" w:ascii="仿宋" w:hAnsi="仿宋" w:eastAsia="仿宋" w:cs="仿宋"/>
          <w:color w:val="auto"/>
          <w:sz w:val="28"/>
          <w:highlight w:val="none"/>
          <w:u w:val="none"/>
        </w:rPr>
        <w:t>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4.14.4产品安装或完成施工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4.14.5保修期届满后第一周内，甲乙双方对产品进行全面检查。乙方自费负责对检查中发现的问题予以及时处理和解决。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4.14.6如产品在保修期满后发现乙方原因导致的质量问题或缺陷，乙方仍须承担修复责任，必须按甲方要求修复并赔偿甲方因此遭受的损失，否则甲方有权另行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安排第三方修复，同时乙方同意甲方从与乙方签订的其他合同款项中直接扣款用于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抵扣上述修复费用和损失。甲乙双方特别约定本条款不因本合同的终止而失效。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rPr>
      </w:pPr>
      <w:bookmarkStart w:id="15" w:name="_Toc10040"/>
      <w:bookmarkStart w:id="16" w:name="_Toc28514"/>
      <w:bookmarkStart w:id="17" w:name="_Toc25201"/>
      <w:r>
        <w:rPr>
          <w:rFonts w:hint="eastAsia" w:ascii="仿宋" w:hAnsi="仿宋" w:eastAsia="仿宋" w:cs="仿宋"/>
          <w:b/>
          <w:bCs/>
          <w:color w:val="auto"/>
          <w:sz w:val="28"/>
          <w:highlight w:val="none"/>
          <w:lang w:val="en-US" w:eastAsia="zh-CN"/>
        </w:rPr>
        <w:t>第五章</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违约责任</w:t>
      </w:r>
      <w:bookmarkEnd w:id="15"/>
      <w:bookmarkEnd w:id="16"/>
      <w:bookmarkEnd w:id="17"/>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5.1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解除合同并另行向他人采购产品，乙方返还已收款给甲方及向甲方支付合同暂定总价的20%作为违约金，同时乙方赔偿甲方因此遭受的损失。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5.2乙方产品出现质量或缺陷问题的，除按本合同约定进行更换、维修外，每出现一次，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5.6乙方违反本合同任何约定均属违约，乙方除按相应条款承担包括但不限于以上所述的违约责任外，甲方可随时单方解除合同，同时乙方赔偿甲方因此遭受的损失。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5.7乙方违反本合同约定给甲方造成损失的，除按本合同约定承担违约责任外，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甲方有权直接从应付合同款中直接扣除乙方应承担的违约金、罚款等费用，如应付合同款及乙方支付的违约金、罚款不足补偿甲方损失，乙方在甲方通知之日起七个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日历天内补齐，且甲方向乙方追偿责任所产生的律师费、差旅费、诉讼费、鉴定费、财产保全担保费由乙方全额承担。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5.9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5.10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5.11合同履行期间，因乙方原因导致建设单位或其他单位对甲方进行处罚扣款的，甲方有权按该处罚金额的2倍以上向乙方收取违约金。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val="0"/>
          <w:color w:val="auto"/>
          <w:sz w:val="28"/>
          <w:highlight w:val="none"/>
          <w:u w:val="none"/>
          <w:lang w:val="en-US" w:eastAsia="zh-CN"/>
        </w:rPr>
      </w:pP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u w:val="none"/>
        </w:rPr>
      </w:pPr>
      <w:bookmarkStart w:id="18" w:name="_Toc29740"/>
      <w:bookmarkStart w:id="19" w:name="_Toc2026"/>
      <w:bookmarkStart w:id="20" w:name="_Toc12600"/>
      <w:r>
        <w:rPr>
          <w:rFonts w:hint="eastAsia" w:ascii="仿宋" w:hAnsi="仿宋" w:eastAsia="仿宋" w:cs="仿宋"/>
          <w:b/>
          <w:bCs/>
          <w:color w:val="auto"/>
          <w:sz w:val="28"/>
          <w:highlight w:val="none"/>
          <w:u w:val="none"/>
          <w:lang w:val="en-US" w:eastAsia="zh-CN"/>
        </w:rPr>
        <w:t>第六章</w:t>
      </w:r>
      <w:r>
        <w:rPr>
          <w:rFonts w:hint="eastAsia" w:ascii="仿宋" w:hAnsi="仿宋" w:eastAsia="仿宋" w:cs="仿宋"/>
          <w:b/>
          <w:bCs/>
          <w:color w:val="auto"/>
          <w:sz w:val="28"/>
          <w:highlight w:val="none"/>
          <w:u w:val="none"/>
          <w:lang w:eastAsia="zh-CN"/>
        </w:rPr>
        <w:t>、</w:t>
      </w:r>
      <w:r>
        <w:rPr>
          <w:rFonts w:hint="eastAsia" w:ascii="仿宋" w:hAnsi="仿宋" w:eastAsia="仿宋" w:cs="仿宋"/>
          <w:b/>
          <w:bCs/>
          <w:color w:val="auto"/>
          <w:sz w:val="28"/>
          <w:highlight w:val="none"/>
          <w:u w:val="none"/>
        </w:rPr>
        <w:t>廉洁条款</w:t>
      </w:r>
      <w:bookmarkEnd w:id="18"/>
      <w:bookmarkEnd w:id="19"/>
      <w:bookmarkEnd w:id="20"/>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进行处罚并单方解除合同，对所发生的工程量/工作量不予结算及不支付费用</w:t>
      </w:r>
      <w:r>
        <w:rPr>
          <w:rFonts w:hint="eastAsia" w:ascii="仿宋" w:hAnsi="仿宋" w:eastAsia="仿宋" w:cs="仿宋"/>
          <w:color w:val="auto"/>
          <w:sz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6.3如甲方发现乙方可能存在违反本廉洁条款的行为时，甲方有权暂扣违约金/争议款/处罚款等对应等额的款项，直至调查完毕后根据调查结果再作处理，甲方暂不付款的行为不视为甲方违约。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21" w:name="_Toc8226"/>
      <w:bookmarkStart w:id="22" w:name="_Toc18645"/>
      <w:bookmarkStart w:id="23" w:name="_Toc23013"/>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lang w:eastAsia="zh-CN"/>
        </w:rPr>
        <w:t>、其他</w:t>
      </w:r>
      <w:bookmarkEnd w:id="21"/>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thick"/>
          <w:shd w:val="clear" w:color="auto" w:fill="auto"/>
          <w:lang w:eastAsia="zh-CN"/>
        </w:rPr>
      </w:pPr>
      <w:bookmarkStart w:id="24" w:name="_Toc13420"/>
      <w:r>
        <w:rPr>
          <w:rFonts w:hint="eastAsia" w:ascii="仿宋" w:hAnsi="仿宋" w:eastAsia="仿宋" w:cs="仿宋"/>
          <w:b w:val="0"/>
          <w:bCs w:val="0"/>
          <w:color w:val="auto"/>
          <w:sz w:val="28"/>
          <w:highlight w:val="none"/>
          <w:shd w:val="clear" w:color="auto" w:fill="auto"/>
          <w:lang w:val="en-US" w:eastAsia="zh-CN"/>
        </w:rPr>
        <w:t>7.1</w:t>
      </w:r>
      <w:r>
        <w:rPr>
          <w:rFonts w:hint="eastAsia" w:ascii="仿宋" w:hAnsi="仿宋" w:eastAsia="仿宋" w:cs="仿宋"/>
          <w:color w:val="auto"/>
          <w:sz w:val="28"/>
          <w:highlight w:val="none"/>
          <w:shd w:val="clear" w:color="auto" w:fill="auto"/>
        </w:rPr>
        <w:t>合同价</w:t>
      </w:r>
      <w:r>
        <w:rPr>
          <w:rFonts w:hint="eastAsia" w:ascii="仿宋" w:hAnsi="仿宋" w:eastAsia="仿宋" w:cs="仿宋"/>
          <w:color w:val="auto"/>
          <w:sz w:val="28"/>
          <w:highlight w:val="none"/>
          <w:shd w:val="clear" w:color="auto" w:fill="auto"/>
          <w:lang w:val="en-US" w:eastAsia="zh-CN"/>
        </w:rPr>
        <w:t>款</w:t>
      </w:r>
      <w:r>
        <w:rPr>
          <w:rFonts w:hint="eastAsia" w:ascii="仿宋" w:hAnsi="仿宋" w:eastAsia="仿宋" w:cs="仿宋"/>
          <w:color w:val="auto"/>
          <w:sz w:val="28"/>
          <w:highlight w:val="none"/>
          <w:shd w:val="clear" w:color="auto" w:fill="auto"/>
        </w:rPr>
        <w:t>及合同条款已考虑</w:t>
      </w:r>
      <w:r>
        <w:rPr>
          <w:rFonts w:hint="eastAsia" w:ascii="仿宋" w:hAnsi="仿宋" w:eastAsia="仿宋" w:cs="仿宋"/>
          <w:color w:val="auto"/>
          <w:sz w:val="28"/>
          <w:highlight w:val="none"/>
          <w:shd w:val="clear" w:color="auto" w:fill="auto"/>
          <w:lang w:val="en-US" w:eastAsia="zh-CN"/>
        </w:rPr>
        <w:t>各类</w:t>
      </w:r>
      <w:r>
        <w:rPr>
          <w:rFonts w:hint="eastAsia" w:ascii="仿宋" w:hAnsi="仿宋" w:eastAsia="仿宋" w:cs="仿宋"/>
          <w:color w:val="auto"/>
          <w:sz w:val="28"/>
          <w:highlight w:val="none"/>
          <w:shd w:val="clear" w:color="auto" w:fill="auto"/>
          <w:lang w:eastAsia="zh-CN"/>
        </w:rPr>
        <w:t>疾病</w:t>
      </w:r>
      <w:r>
        <w:rPr>
          <w:rFonts w:hint="eastAsia" w:ascii="仿宋" w:hAnsi="仿宋" w:eastAsia="仿宋" w:cs="仿宋"/>
          <w:color w:val="auto"/>
          <w:sz w:val="28"/>
          <w:highlight w:val="none"/>
          <w:shd w:val="clear" w:color="auto" w:fill="auto"/>
          <w:lang w:val="en-US" w:eastAsia="zh-CN"/>
        </w:rPr>
        <w:t>疫情</w:t>
      </w:r>
      <w:r>
        <w:rPr>
          <w:rFonts w:hint="eastAsia" w:ascii="仿宋" w:hAnsi="仿宋" w:eastAsia="仿宋" w:cs="仿宋"/>
          <w:color w:val="auto"/>
          <w:sz w:val="28"/>
          <w:highlight w:val="none"/>
          <w:shd w:val="clear" w:color="auto" w:fill="auto"/>
        </w:rPr>
        <w:t>影响，</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不以疫情为由要求</w:t>
      </w:r>
      <w:r>
        <w:rPr>
          <w:rFonts w:hint="eastAsia" w:ascii="仿宋" w:hAnsi="仿宋" w:eastAsia="仿宋" w:cs="仿宋"/>
          <w:color w:val="auto"/>
          <w:sz w:val="28"/>
          <w:highlight w:val="none"/>
          <w:shd w:val="clear" w:color="auto" w:fill="auto"/>
          <w:lang w:eastAsia="zh-CN"/>
        </w:rPr>
        <w:t>甲方</w:t>
      </w:r>
      <w:r>
        <w:rPr>
          <w:rFonts w:hint="eastAsia" w:ascii="仿宋" w:hAnsi="仿宋" w:eastAsia="仿宋" w:cs="仿宋"/>
          <w:color w:val="auto"/>
          <w:sz w:val="28"/>
          <w:highlight w:val="none"/>
          <w:shd w:val="clear" w:color="auto" w:fill="auto"/>
        </w:rPr>
        <w:t>对合同价款、结算办法及</w:t>
      </w:r>
      <w:r>
        <w:rPr>
          <w:rFonts w:hint="eastAsia" w:ascii="仿宋" w:hAnsi="仿宋" w:eastAsia="仿宋" w:cs="仿宋"/>
          <w:color w:val="auto"/>
          <w:sz w:val="28"/>
          <w:highlight w:val="none"/>
          <w:shd w:val="clear" w:color="auto" w:fill="auto"/>
          <w:lang w:eastAsia="zh-CN"/>
        </w:rPr>
        <w:t>货</w:t>
      </w:r>
      <w:r>
        <w:rPr>
          <w:rFonts w:hint="eastAsia" w:ascii="仿宋" w:hAnsi="仿宋" w:eastAsia="仿宋" w:cs="仿宋"/>
          <w:color w:val="auto"/>
          <w:sz w:val="28"/>
          <w:highlight w:val="none"/>
          <w:shd w:val="clear" w:color="auto" w:fill="auto"/>
        </w:rPr>
        <w:t>期等合同条款进行调整，防疫措施的一切费用由</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7.2</w:t>
      </w:r>
      <w:r>
        <w:rPr>
          <w:rFonts w:hint="eastAsia" w:ascii="仿宋" w:hAnsi="仿宋" w:eastAsia="仿宋" w:cs="仿宋"/>
          <w:b w:val="0"/>
          <w:bCs w:val="0"/>
          <w:color w:val="auto"/>
          <w:sz w:val="28"/>
          <w:highlight w:val="none"/>
          <w:lang w:val="en-US" w:eastAsia="zh-CN"/>
        </w:rPr>
        <w:t>乙方人员在本合同履行期间所发生的所有安全事故，均由乙方承担所涉及的全部费用及损失，对甲方造成损失的则赔偿甲方损失。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7.3甲、乙</w:t>
      </w:r>
      <w:r>
        <w:rPr>
          <w:rFonts w:hint="eastAsia" w:ascii="仿宋" w:hAnsi="仿宋" w:eastAsia="仿宋" w:cs="仿宋"/>
          <w:b w:val="0"/>
          <w:bCs w:val="0"/>
          <w:color w:val="auto"/>
          <w:sz w:val="28"/>
          <w:highlight w:val="none"/>
          <w:u w:val="none"/>
          <w:shd w:val="clear" w:color="auto" w:fill="auto"/>
          <w:lang w:eastAsia="zh-CN"/>
        </w:rPr>
        <w:t>双方对产品质量有争议的，由产品使用地点</w:t>
      </w:r>
      <w:r>
        <w:rPr>
          <w:rFonts w:hint="eastAsia" w:ascii="仿宋" w:hAnsi="仿宋" w:eastAsia="仿宋" w:cs="仿宋"/>
          <w:b w:val="0"/>
          <w:bCs w:val="0"/>
          <w:color w:val="auto"/>
          <w:sz w:val="28"/>
          <w:highlight w:val="none"/>
          <w:u w:val="none"/>
          <w:shd w:val="clear" w:color="auto" w:fill="auto"/>
          <w:lang w:val="en-US" w:eastAsia="zh-CN"/>
        </w:rPr>
        <w:t>的</w:t>
      </w:r>
      <w:r>
        <w:rPr>
          <w:rFonts w:hint="eastAsia" w:ascii="仿宋" w:hAnsi="仿宋" w:eastAsia="仿宋" w:cs="仿宋"/>
          <w:b w:val="0"/>
          <w:bCs w:val="0"/>
          <w:color w:val="auto"/>
          <w:sz w:val="28"/>
          <w:highlight w:val="none"/>
          <w:u w:val="none"/>
          <w:shd w:val="clear" w:color="auto" w:fill="auto"/>
          <w:lang w:eastAsia="zh-CN"/>
        </w:rPr>
        <w:t>、国家规定的质量检测机构鉴定，所需费用及因此造成的损失由责任方承担。如双方均有责任，由双方根据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shd w:val="clear" w:color="auto" w:fill="auto"/>
          <w:lang w:val="en-US" w:eastAsia="zh-CN"/>
        </w:rPr>
        <w:t>各自</w:t>
      </w:r>
      <w:r>
        <w:rPr>
          <w:rFonts w:hint="eastAsia" w:ascii="仿宋" w:hAnsi="仿宋" w:eastAsia="仿宋" w:cs="仿宋"/>
          <w:b w:val="0"/>
          <w:bCs w:val="0"/>
          <w:color w:val="auto"/>
          <w:sz w:val="28"/>
          <w:highlight w:val="none"/>
          <w:u w:val="none"/>
          <w:shd w:val="clear" w:color="auto" w:fill="auto"/>
          <w:lang w:eastAsia="zh-CN"/>
        </w:rPr>
        <w:t>责任分别承担。</w:t>
      </w:r>
      <w:r>
        <w:rPr>
          <w:rFonts w:hint="eastAsia" w:ascii="仿宋" w:hAnsi="仿宋" w:eastAsia="仿宋" w:cs="仿宋"/>
          <w:color w:val="auto"/>
          <w:sz w:val="28"/>
          <w:highlight w:val="none"/>
          <w:u w:val="none"/>
          <w:shd w:val="clear" w:color="auto" w:fill="auto"/>
          <w:lang w:eastAsia="zh-CN"/>
        </w:rPr>
        <w:t>不可抗力的情形按国家相应规定执行。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7.4</w:t>
      </w:r>
      <w:r>
        <w:rPr>
          <w:rFonts w:hint="eastAsia" w:ascii="仿宋" w:hAnsi="仿宋" w:eastAsia="仿宋" w:cs="仿宋"/>
          <w:b w:val="0"/>
          <w:bCs w:val="0"/>
          <w:color w:val="auto"/>
          <w:sz w:val="28"/>
          <w:highlight w:val="none"/>
          <w:u w:val="none"/>
          <w:shd w:val="clear" w:color="auto" w:fill="auto"/>
          <w:lang w:eastAsia="zh-CN"/>
        </w:rPr>
        <w:t>甲方因参与本合同履行而发出、或与乙方达成合意所形成的一切相关文件，均须同时具备甲方公章及法定代表人（或授权代表人）签名，否则均不对甲方产生约束力，除非事后获得甲方另行追认。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7.5</w:t>
      </w:r>
      <w:r>
        <w:rPr>
          <w:rFonts w:hint="eastAsia" w:ascii="仿宋" w:hAnsi="仿宋" w:eastAsia="仿宋" w:cs="仿宋"/>
          <w:b w:val="0"/>
          <w:bCs w:val="0"/>
          <w:color w:val="auto"/>
          <w:sz w:val="28"/>
          <w:highlight w:val="none"/>
          <w:lang w:val="en-US" w:eastAsia="zh-CN"/>
        </w:rPr>
        <w:t>本合同附件与合同正文具有同等法律效力，乙方须照章执行，此类文件格式以供应产品时甲方提供的最新版格式为准，最终解释权归甲方所有。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7.6</w:t>
      </w:r>
      <w:r>
        <w:rPr>
          <w:rFonts w:hint="eastAsia" w:ascii="仿宋" w:hAnsi="仿宋" w:eastAsia="仿宋" w:cs="仿宋"/>
          <w:b w:val="0"/>
          <w:bCs w:val="0"/>
          <w:color w:val="auto"/>
          <w:sz w:val="28"/>
          <w:highlight w:val="none"/>
          <w:u w:val="none"/>
          <w:shd w:val="clear" w:color="auto" w:fill="auto"/>
          <w:lang w:eastAsia="zh-CN"/>
        </w:rPr>
        <w:t>本合同执行期间，甲方制度文件如有更新，按甲方最新版要求执行，最终解释权归甲方所有。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7.7本合同条款相互矛盾、表达含糊的，以最有利于甲方的条款执行。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w:t>
      </w:r>
      <w:r>
        <w:rPr>
          <w:rFonts w:hint="eastAsia" w:ascii="仿宋" w:hAnsi="仿宋" w:eastAsia="仿宋" w:cs="仿宋"/>
          <w:b w:val="0"/>
          <w:bCs w:val="0"/>
          <w:color w:val="auto"/>
          <w:sz w:val="28"/>
          <w:highlight w:val="none"/>
          <w:u w:val="none"/>
          <w:shd w:val="clear" w:color="auto" w:fill="auto"/>
          <w:lang w:eastAsia="zh-CN"/>
        </w:rPr>
        <w:t xml:space="preserve">专利技术及特殊工艺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7.8.1乙方须保障甲</w:t>
      </w:r>
      <w:r>
        <w:rPr>
          <w:rFonts w:hint="eastAsia" w:ascii="仿宋" w:hAnsi="仿宋" w:eastAsia="仿宋" w:cs="仿宋"/>
          <w:b w:val="0"/>
          <w:bCs w:val="0"/>
          <w:color w:val="auto"/>
          <w:sz w:val="28"/>
          <w:highlight w:val="none"/>
          <w:u w:val="none"/>
          <w:shd w:val="clear" w:color="auto" w:fill="auto"/>
          <w:lang w:eastAsia="zh-CN"/>
        </w:rPr>
        <w:t>方在使用其提供的产品、服务不受到第三方关于侵权的指控。如果出现此类情况，由乙方与第三方交涉并承担一切费用和责任，如造成甲方损失的，乙方向甲方赔偿。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7.8.2乙方</w:t>
      </w:r>
      <w:r>
        <w:rPr>
          <w:rFonts w:hint="eastAsia" w:ascii="仿宋" w:hAnsi="仿宋" w:eastAsia="仿宋" w:cs="仿宋"/>
          <w:b w:val="0"/>
          <w:bCs w:val="0"/>
          <w:color w:val="auto"/>
          <w:sz w:val="28"/>
          <w:highlight w:val="none"/>
          <w:u w:val="none"/>
          <w:shd w:val="clear" w:color="auto" w:fill="auto"/>
          <w:lang w:eastAsia="zh-CN"/>
        </w:rPr>
        <w:t>擅自使用他人专利技术，侵犯他人专利权的，乙方依法承担相应责任。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7.9</w:t>
      </w:r>
      <w:r>
        <w:rPr>
          <w:rFonts w:hint="eastAsia" w:ascii="仿宋" w:hAnsi="仿宋" w:eastAsia="仿宋" w:cs="仿宋"/>
          <w:b w:val="0"/>
          <w:bCs w:val="0"/>
          <w:color w:val="auto"/>
          <w:sz w:val="28"/>
          <w:highlight w:val="none"/>
          <w:lang w:val="en-US" w:eastAsia="zh-CN"/>
        </w:rPr>
        <w:t>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7.10乙方与第三方发生的任何经济往来、债务纠纷均与甲方无关。乙方须保证所供应产品无权属上的瑕疵和知识产权的争议，若因此对甲方造成损失，则由乙方负全责赔偿。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7.11乙方与第三人签订的劳动、租赁、买卖等一切合同，与甲方无关。乙方在施工期间发生的与第三方一切合同债务，由乙方负全责处理并承担责任。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b w:val="0"/>
          <w:bCs w:val="0"/>
          <w:color w:val="auto"/>
          <w:sz w:val="28"/>
          <w:highlight w:val="none"/>
          <w:u w:val="none"/>
          <w:shd w:val="clear" w:color="auto" w:fill="auto"/>
          <w:lang w:val="en-US" w:eastAsia="zh-CN"/>
        </w:rPr>
        <w:t>7.12</w:t>
      </w:r>
      <w:r>
        <w:rPr>
          <w:rFonts w:hint="eastAsia" w:ascii="仿宋" w:hAnsi="仿宋" w:eastAsia="仿宋" w:cs="仿宋"/>
          <w:color w:val="auto"/>
          <w:sz w:val="28"/>
          <w:highlight w:val="none"/>
          <w:u w:val="none"/>
          <w:shd w:val="clear" w:color="auto" w:fill="auto"/>
        </w:rPr>
        <w:t>签订本合同后，</w:t>
      </w:r>
      <w:r>
        <w:rPr>
          <w:rFonts w:hint="eastAsia" w:ascii="仿宋" w:hAnsi="仿宋" w:eastAsia="仿宋" w:cs="仿宋"/>
          <w:color w:val="auto"/>
          <w:sz w:val="28"/>
          <w:highlight w:val="none"/>
          <w:u w:val="none"/>
          <w:shd w:val="clear" w:color="auto" w:fill="auto"/>
          <w:lang w:eastAsia="zh-CN"/>
        </w:rPr>
        <w:t>乙方</w:t>
      </w:r>
      <w:r>
        <w:rPr>
          <w:rFonts w:hint="eastAsia" w:ascii="仿宋" w:hAnsi="仿宋" w:eastAsia="仿宋" w:cs="仿宋"/>
          <w:color w:val="auto"/>
          <w:sz w:val="28"/>
          <w:highlight w:val="none"/>
          <w:u w:val="none"/>
          <w:shd w:val="clear" w:color="auto" w:fill="auto"/>
        </w:rPr>
        <w:t>只是取得供应资格且向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确定了可接受的交易条件，并不意味着双方的成交，能否向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销售</w:t>
      </w:r>
      <w:r>
        <w:rPr>
          <w:rFonts w:hint="eastAsia" w:ascii="仿宋" w:hAnsi="仿宋" w:eastAsia="仿宋" w:cs="仿宋"/>
          <w:color w:val="auto"/>
          <w:sz w:val="28"/>
          <w:highlight w:val="none"/>
          <w:u w:val="none"/>
          <w:shd w:val="clear" w:color="auto" w:fill="auto"/>
          <w:lang w:val="en-US" w:eastAsia="zh-CN"/>
        </w:rPr>
        <w:t>产品</w:t>
      </w:r>
      <w:r>
        <w:rPr>
          <w:rFonts w:hint="eastAsia" w:ascii="仿宋" w:hAnsi="仿宋" w:eastAsia="仿宋" w:cs="仿宋"/>
          <w:color w:val="auto"/>
          <w:sz w:val="28"/>
          <w:highlight w:val="none"/>
          <w:u w:val="none"/>
          <w:shd w:val="clear" w:color="auto" w:fill="auto"/>
        </w:rPr>
        <w:t>以</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发出的通知为准。</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随时有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rPr>
        <w:t>权另向第三方交易。</w:t>
      </w:r>
      <w:r>
        <w:rPr>
          <w:rFonts w:hint="eastAsia" w:ascii="仿宋" w:hAnsi="仿宋" w:eastAsia="仿宋" w:cs="仿宋"/>
          <w:color w:val="auto"/>
          <w:sz w:val="28"/>
          <w:highlight w:val="none"/>
          <w:u w:val="none"/>
          <w:shd w:val="clear" w:color="auto" w:fill="auto"/>
          <w:lang w:eastAsia="zh-CN"/>
        </w:rPr>
        <w:t>在甲方未向乙方发出具体的订货通知之前，乙方无权以本</w:t>
      </w:r>
      <w:r>
        <w:rPr>
          <w:rFonts w:hint="eastAsia" w:ascii="仿宋" w:hAnsi="仿宋" w:eastAsia="仿宋" w:cs="仿宋"/>
          <w:color w:val="auto"/>
          <w:sz w:val="28"/>
          <w:highlight w:val="none"/>
          <w:u w:val="none"/>
          <w:shd w:val="clear" w:color="auto" w:fill="auto"/>
          <w:lang w:val="en-US" w:eastAsia="zh-CN"/>
        </w:rPr>
        <w:t>合同</w:t>
      </w:r>
      <w:r>
        <w:rPr>
          <w:rFonts w:hint="eastAsia" w:ascii="仿宋" w:hAnsi="仿宋" w:eastAsia="仿宋" w:cs="仿宋"/>
          <w:color w:val="auto"/>
          <w:sz w:val="28"/>
          <w:highlight w:val="none"/>
          <w:u w:val="none"/>
          <w:shd w:val="clear" w:color="auto" w:fill="auto"/>
          <w:lang w:eastAsia="zh-CN"/>
        </w:rPr>
        <w:t>为由要求甲方进行交易</w:t>
      </w:r>
      <w:r>
        <w:rPr>
          <w:rFonts w:hint="eastAsia" w:ascii="仿宋" w:hAnsi="仿宋" w:eastAsia="仿宋" w:cs="仿宋"/>
          <w:color w:val="auto"/>
          <w:sz w:val="28"/>
          <w:highlight w:val="none"/>
          <w:u w:val="none"/>
          <w:shd w:val="clear" w:color="auto" w:fill="auto"/>
          <w:lang w:val="en-US" w:eastAsia="zh-CN"/>
        </w:rPr>
        <w:t>及支付任何费用</w:t>
      </w:r>
      <w:r>
        <w:rPr>
          <w:rFonts w:hint="eastAsia" w:ascii="仿宋" w:hAnsi="仿宋" w:eastAsia="仿宋" w:cs="仿宋"/>
          <w:color w:val="auto"/>
          <w:sz w:val="28"/>
          <w:highlight w:val="none"/>
          <w:u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color w:val="auto"/>
          <w:sz w:val="28"/>
          <w:highlight w:val="none"/>
          <w:u w:val="none"/>
          <w:shd w:val="clear" w:color="auto" w:fill="auto"/>
          <w:lang w:val="en-US" w:eastAsia="zh-CN"/>
        </w:rPr>
        <w:t>7.13</w:t>
      </w:r>
      <w:r>
        <w:rPr>
          <w:rFonts w:hint="eastAsia" w:ascii="仿宋" w:hAnsi="仿宋" w:eastAsia="仿宋" w:cs="仿宋"/>
          <w:b w:val="0"/>
          <w:bCs w:val="0"/>
          <w:color w:val="auto"/>
          <w:sz w:val="28"/>
          <w:highlight w:val="none"/>
          <w:u w:val="none"/>
          <w:shd w:val="clear" w:color="auto" w:fill="auto"/>
          <w:lang w:eastAsia="zh-CN"/>
        </w:rPr>
        <w:t>本合同</w:t>
      </w:r>
      <w:r>
        <w:rPr>
          <w:rFonts w:hint="eastAsia" w:ascii="仿宋" w:hAnsi="仿宋" w:eastAsia="仿宋" w:cs="仿宋"/>
          <w:color w:val="auto"/>
          <w:sz w:val="28"/>
          <w:highlight w:val="none"/>
          <w:u w:val="none"/>
          <w:shd w:val="clear" w:color="auto" w:fill="auto"/>
        </w:rPr>
        <w:t>未尽事宜，双方另行</w:t>
      </w:r>
      <w:r>
        <w:rPr>
          <w:rFonts w:hint="eastAsia" w:ascii="仿宋" w:hAnsi="仿宋" w:eastAsia="仿宋" w:cs="仿宋"/>
          <w:color w:val="auto"/>
          <w:sz w:val="28"/>
          <w:highlight w:val="none"/>
          <w:u w:val="none"/>
          <w:shd w:val="clear" w:color="auto" w:fill="auto"/>
          <w:lang w:eastAsia="zh-CN"/>
        </w:rPr>
        <w:t>签订</w:t>
      </w:r>
      <w:r>
        <w:rPr>
          <w:rFonts w:hint="eastAsia" w:ascii="仿宋" w:hAnsi="仿宋" w:eastAsia="仿宋" w:cs="仿宋"/>
          <w:color w:val="auto"/>
          <w:sz w:val="28"/>
          <w:highlight w:val="none"/>
          <w:u w:val="none"/>
          <w:shd w:val="clear" w:color="auto" w:fill="auto"/>
        </w:rPr>
        <w:t>补充协议</w:t>
      </w:r>
      <w:r>
        <w:rPr>
          <w:rFonts w:hint="eastAsia" w:ascii="仿宋" w:hAnsi="仿宋" w:eastAsia="仿宋" w:cs="仿宋"/>
          <w:color w:val="auto"/>
          <w:sz w:val="28"/>
          <w:highlight w:val="none"/>
          <w:u w:val="none"/>
          <w:shd w:val="clear" w:color="auto" w:fill="auto"/>
          <w:lang w:eastAsia="zh-CN"/>
        </w:rPr>
        <w:t>进行明确。与本</w:t>
      </w:r>
      <w:r>
        <w:rPr>
          <w:rFonts w:hint="eastAsia" w:ascii="仿宋" w:hAnsi="仿宋" w:eastAsia="仿宋" w:cs="仿宋"/>
          <w:color w:val="auto"/>
          <w:sz w:val="28"/>
          <w:highlight w:val="none"/>
          <w:u w:val="none"/>
          <w:shd w:val="clear" w:color="auto" w:fill="auto"/>
        </w:rPr>
        <w:t>合同</w:t>
      </w:r>
      <w:r>
        <w:rPr>
          <w:rFonts w:hint="eastAsia" w:ascii="仿宋" w:hAnsi="仿宋" w:eastAsia="仿宋" w:cs="仿宋"/>
          <w:color w:val="auto"/>
          <w:sz w:val="28"/>
          <w:highlight w:val="none"/>
          <w:u w:val="none"/>
          <w:shd w:val="clear" w:color="auto" w:fill="auto"/>
          <w:lang w:eastAsia="zh-CN"/>
        </w:rPr>
        <w:t>相关的</w:t>
      </w:r>
      <w:r>
        <w:rPr>
          <w:rFonts w:hint="eastAsia" w:ascii="仿宋" w:hAnsi="仿宋" w:eastAsia="仿宋" w:cs="仿宋"/>
          <w:color w:val="auto"/>
          <w:sz w:val="28"/>
          <w:highlight w:val="none"/>
          <w:u w:val="none"/>
          <w:shd w:val="clear" w:color="auto" w:fill="auto"/>
        </w:rPr>
        <w:t>争议，双方友好协商解决，协商不成</w:t>
      </w:r>
      <w:r>
        <w:rPr>
          <w:rFonts w:hint="eastAsia" w:ascii="仿宋" w:hAnsi="仿宋" w:eastAsia="仿宋" w:cs="仿宋"/>
          <w:color w:val="auto"/>
          <w:sz w:val="28"/>
          <w:highlight w:val="none"/>
          <w:u w:val="none"/>
          <w:shd w:val="clear" w:color="auto" w:fill="auto"/>
          <w:lang w:eastAsia="zh-CN"/>
        </w:rPr>
        <w:t>则</w:t>
      </w:r>
      <w:r>
        <w:rPr>
          <w:rFonts w:hint="eastAsia" w:ascii="仿宋" w:hAnsi="仿宋" w:eastAsia="仿宋" w:cs="仿宋"/>
          <w:color w:val="auto"/>
          <w:sz w:val="28"/>
          <w:highlight w:val="none"/>
          <w:u w:val="none"/>
          <w:shd w:val="clear" w:color="auto" w:fill="auto"/>
          <w:lang w:val="en-US" w:eastAsia="zh-CN"/>
        </w:rPr>
        <w:t>提交</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所在地人民法院</w:t>
      </w:r>
      <w:r>
        <w:rPr>
          <w:rFonts w:hint="eastAsia" w:ascii="仿宋" w:hAnsi="仿宋" w:eastAsia="仿宋" w:cs="仿宋"/>
          <w:color w:val="auto"/>
          <w:sz w:val="28"/>
          <w:highlight w:val="none"/>
          <w:u w:val="none"/>
          <w:shd w:val="clear" w:color="auto" w:fill="auto"/>
          <w:lang w:val="en-US" w:eastAsia="zh-CN"/>
        </w:rPr>
        <w:t>以</w:t>
      </w:r>
      <w:r>
        <w:rPr>
          <w:rFonts w:hint="eastAsia" w:ascii="仿宋" w:hAnsi="仿宋" w:eastAsia="仿宋" w:cs="仿宋"/>
          <w:color w:val="auto"/>
          <w:sz w:val="28"/>
          <w:highlight w:val="none"/>
          <w:u w:val="none"/>
          <w:shd w:val="clear" w:color="auto" w:fill="auto"/>
        </w:rPr>
        <w:t>诉讼</w:t>
      </w:r>
      <w:r>
        <w:rPr>
          <w:rFonts w:hint="eastAsia" w:ascii="仿宋" w:hAnsi="仿宋" w:eastAsia="仿宋" w:cs="仿宋"/>
          <w:color w:val="auto"/>
          <w:sz w:val="28"/>
          <w:highlight w:val="none"/>
          <w:u w:val="none"/>
          <w:shd w:val="clear" w:color="auto" w:fill="auto"/>
          <w:lang w:val="en-US" w:eastAsia="zh-CN"/>
        </w:rPr>
        <w:t>方式解决</w:t>
      </w:r>
      <w:r>
        <w:rPr>
          <w:rFonts w:hint="eastAsia" w:ascii="仿宋" w:hAnsi="仿宋" w:eastAsia="仿宋" w:cs="仿宋"/>
          <w:color w:val="auto"/>
          <w:sz w:val="28"/>
          <w:highlight w:val="none"/>
          <w:u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壹</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本合同自甲乙双方签字、加盖公章（或合同章）之日起生效，在结算价款支付完毕、乙方向甲方交付合格产品，双方履行完合同义务、责任之日起，本合同其余条款（保修条款除外）自动终止。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7.15以下文件均为合同有效组成部分，各文件互相解释，互为说明。当合同文件中出现不一致时，除合同另有约定外，以下排列顺序就是各合同文件的优先解释顺序：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① 合同履行过程中，双方法人代表或授权人签字并加盖公章的补充协议；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② 本合同书（含附件）；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③ 经甲方确认的方案及相关设计变更；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④ 本合同对应的招采文件（含相关答疑、补充通知等）；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⑤ 乙方发出的、经甲方确认的本合同对应的投标文件及相关澄清文件；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⑥ 本项目所在地现行的法律、法规、标准、规范。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7.16本合同正文为清洁打印文本，如双方对此合同有任何修改及补充均应另行签订补充协议。合同正文中任何非打印的文字或者图形，除非经双方确认同意，否则不产生约束力。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7.17甲乙双方均确认已经审阅并理解本合同的条款，且已经就条款相关的任何疑问得到满意的解释，并确认本合同的条款为双方本着诚信互利的原则友好协商一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致的结果，不属于任何一方的格式条款。</w:t>
      </w:r>
    </w:p>
    <w:bookmarkEnd w:id="24"/>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b/>
          <w:bCs/>
          <w:color w:val="auto"/>
          <w:sz w:val="28"/>
          <w:highlight w:val="none"/>
          <w:u w:val="none"/>
          <w:lang w:val="en-US" w:eastAsia="zh-CN"/>
        </w:rPr>
        <w:t>合同附件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附件一：</w:t>
      </w:r>
      <w:r>
        <w:rPr>
          <w:rFonts w:hint="eastAsia" w:ascii="仿宋" w:hAnsi="仿宋" w:eastAsia="仿宋" w:cs="仿宋"/>
          <w:color w:val="auto"/>
          <w:sz w:val="28"/>
          <w:highlight w:val="none"/>
          <w:u w:val="none"/>
          <w:lang w:val="en-US" w:eastAsia="zh-CN"/>
        </w:rPr>
        <w:t xml:space="preserve">《结清承诺书》格式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附件二：《</w:t>
      </w:r>
      <w:r>
        <w:rPr>
          <w:rFonts w:hint="eastAsia" w:ascii="仿宋" w:hAnsi="仿宋" w:eastAsia="仿宋" w:cs="仿宋"/>
          <w:color w:val="auto"/>
          <w:sz w:val="28"/>
          <w:highlight w:val="none"/>
          <w:u w:val="none"/>
          <w:lang w:val="en-US" w:eastAsia="zh-CN"/>
        </w:rPr>
        <w:t>同意</w:t>
      </w:r>
      <w:r>
        <w:rPr>
          <w:rFonts w:hint="default" w:ascii="仿宋" w:hAnsi="仿宋" w:eastAsia="仿宋" w:cs="仿宋"/>
          <w:color w:val="auto"/>
          <w:sz w:val="28"/>
          <w:highlight w:val="none"/>
          <w:u w:val="none"/>
          <w:lang w:val="en-US" w:eastAsia="zh-CN"/>
        </w:rPr>
        <w:t>延迟付款声明函》格式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附件三：《材料款申报审批表》格式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附件五：《供应商月度对账单》格式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附件六：</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 xml:space="preserve">附件七：《物料申购单》格式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  方：东莞市中泰建安工程有限公司              乙  方：XXX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（盖章）                                       （盖章）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签约代表：XXX                                   签约代表:XX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纳税号：</w:t>
      </w:r>
      <w:r>
        <w:rPr>
          <w:rFonts w:hint="eastAsia" w:ascii="仿宋" w:hAnsi="仿宋" w:eastAsia="仿宋" w:cs="仿宋"/>
          <w:b/>
          <w:bCs/>
          <w:color w:val="auto"/>
          <w:sz w:val="24"/>
          <w:szCs w:val="24"/>
          <w:highlight w:val="none"/>
        </w:rPr>
        <w:t>91441900732168546R</w:t>
      </w:r>
      <w:r>
        <w:rPr>
          <w:rFonts w:hint="eastAsia" w:ascii="仿宋" w:hAnsi="仿宋" w:eastAsia="仿宋" w:cs="仿宋"/>
          <w:b/>
          <w:bCs/>
          <w:color w:val="auto"/>
          <w:sz w:val="24"/>
          <w:szCs w:val="24"/>
          <w:highlight w:val="none"/>
          <w:lang w:val="en-US" w:eastAsia="zh-CN"/>
        </w:rPr>
        <w:t xml:space="preserve">                      纳税号：XXX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账  号：</w:t>
      </w:r>
      <w:r>
        <w:rPr>
          <w:rFonts w:hint="eastAsia" w:ascii="仿宋" w:hAnsi="仿宋" w:eastAsia="仿宋" w:cs="仿宋"/>
          <w:b/>
          <w:bCs/>
          <w:color w:val="auto"/>
          <w:sz w:val="24"/>
          <w:szCs w:val="24"/>
          <w:highlight w:val="none"/>
        </w:rPr>
        <w:t>548000013639239</w:t>
      </w:r>
      <w:r>
        <w:rPr>
          <w:rFonts w:hint="eastAsia" w:ascii="仿宋" w:hAnsi="仿宋" w:eastAsia="仿宋" w:cs="仿宋"/>
          <w:b/>
          <w:bCs/>
          <w:color w:val="auto"/>
          <w:sz w:val="24"/>
          <w:szCs w:val="24"/>
          <w:highlight w:val="none"/>
          <w:lang w:val="en-US" w:eastAsia="zh-CN"/>
        </w:rPr>
        <w:t xml:space="preserve">                         账  号：XXX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开户行：</w:t>
      </w:r>
      <w:r>
        <w:rPr>
          <w:rFonts w:hint="eastAsia" w:ascii="仿宋" w:hAnsi="仿宋" w:eastAsia="仿宋" w:cs="仿宋"/>
          <w:b/>
          <w:bCs/>
          <w:color w:val="auto"/>
          <w:sz w:val="24"/>
          <w:szCs w:val="24"/>
          <w:highlight w:val="none"/>
        </w:rPr>
        <w:t>东莞银行股份有限公司元美支行</w:t>
      </w:r>
      <w:r>
        <w:rPr>
          <w:rFonts w:hint="eastAsia" w:ascii="仿宋" w:hAnsi="仿宋" w:eastAsia="仿宋" w:cs="仿宋"/>
          <w:b/>
          <w:bCs/>
          <w:color w:val="auto"/>
          <w:sz w:val="24"/>
          <w:szCs w:val="24"/>
          <w:highlight w:val="none"/>
          <w:lang w:val="en-US" w:eastAsia="zh-CN"/>
        </w:rPr>
        <w:t xml:space="preserve">            开户行：XXX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地  址：广东省东莞市南城街道鸿福路              地  址：XXX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106号1栋1712室01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9" w:leftChars="-95" w:firstLine="241" w:firstLineChars="1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电  话：0769-22311322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28"/>
          <w:szCs w:val="22"/>
          <w:highlight w:val="none"/>
        </w:rPr>
        <w:t>（甲方人员如有营私舞弊、吃拿卡要等损害乙方合法权益的行为，乙方可拨打投诉专线 4000968086或发邮件至投诉邮箱:zhglzx@nanfeng.cn，也可至广东省东莞市南城街道鸿福路 106 号南峰中心 12楼内控中心办公室面诉。）</w:t>
      </w:r>
    </w:p>
    <w:p>
      <w:pPr>
        <w:jc w:val="right"/>
        <w:rPr>
          <w:rFonts w:hint="eastAsia" w:ascii="仿宋" w:hAnsi="仿宋" w:eastAsia="仿宋" w:cs="仿宋"/>
          <w:b/>
          <w:bCs/>
          <w:color w:val="auto"/>
          <w:sz w:val="44"/>
          <w:szCs w:val="44"/>
          <w:highlight w:val="none"/>
          <w:lang w:val="en-US" w:eastAsia="zh-CN"/>
        </w:rPr>
      </w:pPr>
    </w:p>
    <w:p>
      <w:pPr>
        <w:jc w:val="right"/>
        <w:rPr>
          <w:rFonts w:hint="eastAsia" w:ascii="仿宋" w:hAnsi="仿宋" w:eastAsia="仿宋" w:cs="仿宋"/>
          <w:b/>
          <w:bCs/>
          <w:color w:val="auto"/>
          <w:sz w:val="44"/>
          <w:szCs w:val="44"/>
          <w:highlight w:val="none"/>
          <w:lang w:val="en-US" w:eastAsia="zh-CN"/>
        </w:rPr>
      </w:pPr>
    </w:p>
    <w:p>
      <w:pPr>
        <w:jc w:val="right"/>
        <w:rPr>
          <w:rFonts w:hint="eastAsia" w:ascii="仿宋" w:hAnsi="仿宋" w:eastAsia="仿宋" w:cs="仿宋"/>
          <w:b/>
          <w:bCs/>
          <w:color w:val="auto"/>
          <w:sz w:val="44"/>
          <w:szCs w:val="44"/>
          <w:highlight w:val="none"/>
          <w:lang w:val="en-US" w:eastAsia="zh-CN"/>
        </w:rPr>
      </w:pPr>
    </w:p>
    <w:p>
      <w:pPr>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附件一</w:t>
      </w:r>
    </w:p>
    <w:p>
      <w:pPr>
        <w:jc w:val="right"/>
        <w:rPr>
          <w:rFonts w:hint="default" w:ascii="仿宋" w:hAnsi="仿宋" w:eastAsia="仿宋" w:cs="仿宋"/>
          <w:b/>
          <w:bCs/>
          <w:color w:val="auto"/>
          <w:sz w:val="44"/>
          <w:szCs w:val="44"/>
          <w:highlight w:val="none"/>
          <w:lang w:val="en-US" w:eastAsia="zh-CN"/>
        </w:rPr>
      </w:pPr>
    </w:p>
    <w:p>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pPr>
        <w:pStyle w:val="3"/>
        <w:spacing w:before="97" w:line="222" w:lineRule="auto"/>
        <w:ind w:left="23"/>
        <w:rPr>
          <w:color w:val="auto"/>
          <w:sz w:val="28"/>
          <w:szCs w:val="28"/>
        </w:rPr>
      </w:pPr>
      <w:r>
        <w:rPr>
          <w:color w:val="auto"/>
          <w:spacing w:val="-2"/>
          <w:sz w:val="28"/>
          <w:szCs w:val="28"/>
        </w:rPr>
        <w:t>致：东莞市中泰建安工程有限公司</w:t>
      </w:r>
    </w:p>
    <w:p>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 xml:space="preserve">  供应商，履约期间的材料费合计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 待收款项为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元起，该项目 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所涉及的材料费用全部结清，我司合同中的所有权利全部消灭，我司将不再以任何理由、任何方式就该项目的合作向贵司提出任何权利主张或追索其他任何费用，同时我司相应的义务和责任按照合同执行。</w:t>
      </w:r>
    </w:p>
    <w:p>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特此声明！</w:t>
      </w:r>
    </w:p>
    <w:p>
      <w:pPr>
        <w:spacing w:line="261" w:lineRule="auto"/>
        <w:rPr>
          <w:rFonts w:ascii="Arial"/>
          <w:color w:val="auto"/>
          <w:sz w:val="20"/>
          <w:szCs w:val="22"/>
        </w:rPr>
      </w:pPr>
    </w:p>
    <w:p>
      <w:pPr>
        <w:spacing w:line="261" w:lineRule="auto"/>
        <w:rPr>
          <w:rFonts w:ascii="Arial"/>
          <w:color w:val="auto"/>
          <w:sz w:val="20"/>
          <w:szCs w:val="22"/>
        </w:rPr>
      </w:pPr>
    </w:p>
    <w:p>
      <w:pPr>
        <w:pStyle w:val="3"/>
        <w:spacing w:before="98" w:line="221" w:lineRule="auto"/>
        <w:ind w:left="4819"/>
        <w:rPr>
          <w:color w:val="auto"/>
          <w:sz w:val="28"/>
          <w:szCs w:val="28"/>
        </w:rPr>
      </w:pPr>
      <w:r>
        <w:rPr>
          <w:color w:val="auto"/>
          <w:spacing w:val="-3"/>
          <w:sz w:val="28"/>
          <w:szCs w:val="28"/>
        </w:rPr>
        <w:t>承诺单位（盖章</w:t>
      </w:r>
      <w:r>
        <w:rPr>
          <w:color w:val="auto"/>
          <w:sz w:val="28"/>
          <w:szCs w:val="28"/>
        </w:rPr>
        <w:t>）：</w:t>
      </w:r>
    </w:p>
    <w:p>
      <w:pPr>
        <w:pStyle w:val="3"/>
        <w:spacing w:before="265" w:line="222" w:lineRule="auto"/>
        <w:ind w:left="6083"/>
        <w:rPr>
          <w:color w:val="auto"/>
          <w:sz w:val="28"/>
          <w:szCs w:val="28"/>
        </w:rPr>
      </w:pPr>
      <w:r>
        <w:rPr>
          <w:color w:val="auto"/>
          <w:spacing w:val="-35"/>
          <w:sz w:val="28"/>
          <w:szCs w:val="28"/>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pPr>
        <w:spacing w:line="281" w:lineRule="auto"/>
        <w:rPr>
          <w:rFonts w:ascii="Arial"/>
          <w:color w:val="auto"/>
          <w:sz w:val="20"/>
          <w:szCs w:val="22"/>
        </w:rPr>
      </w:pPr>
    </w:p>
    <w:p>
      <w:pPr>
        <w:spacing w:line="281" w:lineRule="auto"/>
        <w:rPr>
          <w:rFonts w:ascii="Arial"/>
          <w:color w:val="auto"/>
          <w:sz w:val="20"/>
          <w:szCs w:val="22"/>
        </w:rPr>
      </w:pPr>
    </w:p>
    <w:p>
      <w:pPr>
        <w:spacing w:line="281" w:lineRule="auto"/>
        <w:rPr>
          <w:rFonts w:ascii="Arial"/>
          <w:color w:val="auto"/>
          <w:sz w:val="20"/>
          <w:szCs w:val="22"/>
        </w:rPr>
      </w:pPr>
      <w:r>
        <w:rPr>
          <w:color w:val="auto"/>
          <w:sz w:val="20"/>
          <w:szCs w:val="2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60288;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Wo3v7UAAAABAEAAA8AAAAAAAAAAQAgAAAAIgAAAGRycy9kb3du&#10;cmV2LnhtbFBLAQIUABQAAAAIAIdO4kAWCe4JPAIAAJUEAAAOAAAAAAAAAAEAIAAAACMBAABkcnMv&#10;ZTJvRG9jLnhtbFBLBQYAAAAABgAGAFkBAADRBQAAAAA=&#10;" path="m0,7l9969,7e">
                <v:fill on="f" focussize="0,0"/>
                <v:stroke weight="0.72pt" color="#000000" joinstyle="bevel" dashstyle="dash"/>
                <v:imagedata o:title=""/>
                <o:lock v:ext="edit" aspectratio="f"/>
              </v:shape>
            </w:pict>
          </mc:Fallback>
        </mc:AlternateContent>
      </w:r>
    </w:p>
    <w:p>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 ”的购销合同。</w:t>
      </w:r>
    </w:p>
    <w:p>
      <w:pPr>
        <w:pStyle w:val="3"/>
        <w:spacing w:before="266" w:line="302" w:lineRule="auto"/>
        <w:ind w:left="25" w:right="14" w:hanging="1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2、承诺方须在“ 中泰建安 ”支付该合同最后一笔款前完成本承诺书签章，且 原件交给“ 中泰建安 ”作为支付最后一笔款的前提条件。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44"/>
          <w:szCs w:val="40"/>
          <w:highlight w:val="none"/>
          <w:lang w:val="en-US" w:eastAsia="zh-CN"/>
        </w:rPr>
      </w:pPr>
    </w:p>
    <w:p>
      <w:pPr>
        <w:numPr>
          <w:ilvl w:val="0"/>
          <w:numId w:val="0"/>
        </w:numPr>
        <w:ind w:leftChars="0"/>
        <w:jc w:val="left"/>
        <w:rPr>
          <w:rFonts w:hint="eastAsia" w:ascii="仿宋" w:hAnsi="仿宋" w:eastAsia="仿宋" w:cs="仿宋"/>
          <w:bCs/>
          <w:color w:val="auto"/>
          <w:kern w:val="0"/>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r>
        <w:rPr>
          <w:rFonts w:hint="default" w:ascii="仿宋" w:hAnsi="仿宋" w:eastAsia="仿宋" w:cs="仿宋"/>
          <w:b/>
          <w:bCs/>
          <w:color w:val="auto"/>
          <w:sz w:val="44"/>
          <w:szCs w:val="40"/>
          <w:highlight w:val="none"/>
          <w:lang w:val="en-US" w:eastAsia="zh-CN"/>
        </w:rPr>
        <w:t>附件</w:t>
      </w:r>
      <w:r>
        <w:rPr>
          <w:rFonts w:hint="eastAsia" w:ascii="仿宋" w:hAnsi="仿宋" w:eastAsia="仿宋" w:cs="仿宋"/>
          <w:b/>
          <w:bCs/>
          <w:color w:val="auto"/>
          <w:sz w:val="44"/>
          <w:szCs w:val="40"/>
          <w:highlight w:val="none"/>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eastAsia="宋体"/>
          <w:color w:val="auto"/>
          <w:highlight w:val="none"/>
          <w:lang w:val="en-US" w:eastAsia="zh-CN"/>
        </w:rPr>
      </w:pPr>
      <w:r>
        <w:rPr>
          <w:rFonts w:hint="eastAsia" w:ascii="仿宋" w:hAnsi="仿宋" w:eastAsia="仿宋" w:cs="仿宋"/>
          <w:color w:val="auto"/>
          <w:sz w:val="30"/>
          <w:szCs w:val="30"/>
          <w:highlight w:val="none"/>
          <w:lang w:val="en-US" w:eastAsia="zh-CN"/>
        </w:rPr>
        <w:t>特此声明。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eastAsia="宋体"/>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 xml:space="preserve">（加盖公章及法定代表人或授权代表签字）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pPr>
        <w:pStyle w:val="8"/>
        <w:pageBreakBefore w:val="0"/>
        <w:wordWrap/>
        <w:topLinePunct w:val="0"/>
        <w:bidi w:val="0"/>
        <w:spacing w:line="360" w:lineRule="auto"/>
        <w:ind w:left="0" w:leftChars="0" w:firstLine="0" w:firstLineChars="0"/>
        <w:rPr>
          <w:rFonts w:hint="default" w:ascii="仿宋" w:hAnsi="仿宋" w:eastAsia="仿宋" w:cs="仿宋"/>
          <w:b/>
          <w:bCs/>
          <w:color w:val="auto"/>
          <w:sz w:val="30"/>
          <w:highlight w:val="none"/>
          <w:lang w:val="en-US" w:eastAsia="zh-CN"/>
        </w:rPr>
      </w:pPr>
    </w:p>
    <w:p>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pPr>
        <w:pageBreakBefore w:val="0"/>
        <w:wordWrap/>
        <w:topLinePunct w:val="0"/>
        <w:bidi w:val="0"/>
        <w:spacing w:line="360" w:lineRule="auto"/>
        <w:rPr>
          <w:rFonts w:cs="宋体"/>
          <w:color w:val="auto"/>
          <w:highlight w:val="none"/>
        </w:rPr>
      </w:pPr>
    </w:p>
    <w:p>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p>
    <w:p>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附件三</w:t>
      </w:r>
    </w:p>
    <w:p>
      <w:pPr>
        <w:pageBreakBefore w:val="0"/>
        <w:tabs>
          <w:tab w:val="left" w:pos="720"/>
        </w:tabs>
        <w:wordWrap/>
        <w:topLinePunct w:val="0"/>
        <w:bidi w:val="0"/>
        <w:adjustRightInd w:val="0"/>
        <w:snapToGrid w:val="0"/>
        <w:spacing w:line="360" w:lineRule="auto"/>
        <w:ind w:left="482"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noWrap w:val="0"/>
            <w:vAlign w:val="top"/>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noWrap w:val="0"/>
            <w:vAlign w:val="top"/>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noWrap w:val="0"/>
            <w:vAlign w:val="top"/>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noWrap w:val="0"/>
            <w:vAlign w:val="top"/>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noWrap w:val="0"/>
            <w:vAlign w:val="top"/>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789" w:type="dxa"/>
            <w:gridSpan w:val="4"/>
            <w:noWrap w:val="0"/>
            <w:vAlign w:val="top"/>
          </w:tcPr>
          <w:p>
            <w:pPr>
              <w:pageBreakBefore w:val="0"/>
              <w:tabs>
                <w:tab w:val="left" w:pos="720"/>
              </w:tabs>
              <w:wordWrap/>
              <w:topLinePunct w:val="0"/>
              <w:bidi w:val="0"/>
              <w:adjustRightInd w:val="0"/>
              <w:snapToGri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789" w:type="dxa"/>
            <w:gridSpan w:val="4"/>
            <w:noWrap w:val="0"/>
            <w:vAlign w:val="top"/>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789" w:type="dxa"/>
            <w:gridSpan w:val="4"/>
            <w:noWrap w:val="0"/>
            <w:vAlign w:val="top"/>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8789" w:type="dxa"/>
            <w:gridSpan w:val="4"/>
            <w:noWrap w:val="0"/>
            <w:vAlign w:val="top"/>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789" w:type="dxa"/>
            <w:gridSpan w:val="4"/>
            <w:noWrap w:val="0"/>
            <w:vAlign w:val="top"/>
          </w:tcPr>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pPr>
        <w:pageBreakBefore w:val="0"/>
        <w:tabs>
          <w:tab w:val="left" w:pos="720"/>
        </w:tabs>
        <w:wordWrap/>
        <w:topLinePunct w:val="0"/>
        <w:bidi w:val="0"/>
        <w:adjustRightInd w:val="0"/>
        <w:snapToGrid w:val="0"/>
        <w:spacing w:line="360" w:lineRule="auto"/>
        <w:ind w:left="-630" w:leftChars="-300" w:right="-630" w:rightChars="-300" w:firstLine="542" w:firstLineChars="30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pPr>
        <w:pageBreakBefore w:val="0"/>
        <w:tabs>
          <w:tab w:val="left" w:pos="720"/>
        </w:tabs>
        <w:wordWrap/>
        <w:topLinePunct w:val="0"/>
        <w:bidi w:val="0"/>
        <w:adjustRightInd w:val="0"/>
        <w:snapToGrid w:val="0"/>
        <w:spacing w:line="360" w:lineRule="auto"/>
        <w:ind w:left="-315" w:leftChars="-150" w:right="-630" w:rightChars="-300" w:firstLine="1175" w:firstLineChars="650"/>
        <w:jc w:val="left"/>
        <w:rPr>
          <w:rFonts w:hint="eastAsia" w:ascii="仿宋" w:hAnsi="仿宋" w:eastAsia="仿宋" w:cs="仿宋"/>
          <w:b/>
          <w:bCs/>
          <w:color w:val="auto"/>
          <w:sz w:val="44"/>
          <w:szCs w:val="44"/>
          <w:highlight w:val="none"/>
          <w:lang w:val="en-US" w:eastAsia="zh-CN"/>
        </w:rPr>
      </w:pPr>
      <w:r>
        <w:rPr>
          <w:rFonts w:hint="eastAsia" w:ascii="仿宋" w:hAnsi="仿宋" w:eastAsia="仿宋" w:cs="仿宋"/>
          <w:b/>
          <w:color w:val="auto"/>
          <w:sz w:val="18"/>
          <w:szCs w:val="18"/>
          <w:highlight w:val="none"/>
        </w:rPr>
        <w:t>2、此确认表作为向公司申报款项支付审批单的附件。</w:t>
      </w:r>
    </w:p>
    <w:p>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484"/>
        <w:gridCol w:w="1117"/>
        <w:gridCol w:w="1117"/>
        <w:gridCol w:w="1570"/>
        <w:gridCol w:w="2017"/>
        <w:gridCol w:w="1117"/>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pPr>
              <w:keepNext w:val="0"/>
              <w:keepLines w:val="0"/>
              <w:pageBreakBefore w:val="0"/>
              <w:widowControl/>
              <w:suppressLineNumbers w:val="0"/>
              <w:wordWrap/>
              <w:topLinePunct w:val="0"/>
              <w:bidi w:val="0"/>
              <w:spacing w:line="360" w:lineRule="auto"/>
              <w:jc w:val="right"/>
              <w:textAlignment w:val="center"/>
              <w:rPr>
                <w:rFonts w:hint="default"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44"/>
                <w:szCs w:val="44"/>
                <w:highlight w:val="none"/>
                <w:u w:val="none"/>
                <w:lang w:val="en-US" w:eastAsia="zh-CN" w:bidi="ar"/>
              </w:rPr>
              <w:t>附件四</w:t>
            </w:r>
          </w:p>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收/付款日期</w:t>
            </w:r>
          </w:p>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bl>
    <w:p>
      <w:pPr>
        <w:pageBreakBefore w:val="0"/>
        <w:wordWrap/>
        <w:topLinePunct w:val="0"/>
        <w:bidi w:val="0"/>
        <w:spacing w:line="360" w:lineRule="auto"/>
        <w:jc w:val="both"/>
        <w:rPr>
          <w:rFonts w:hint="eastAsia" w:ascii="仿宋" w:hAnsi="仿宋" w:eastAsia="仿宋" w:cs="仿宋"/>
          <w:b/>
          <w:bCs/>
          <w:color w:val="auto"/>
          <w:sz w:val="44"/>
          <w:szCs w:val="44"/>
          <w:highlight w:val="none"/>
          <w:lang w:val="en-US" w:eastAsia="zh-CN"/>
        </w:rPr>
      </w:pPr>
    </w:p>
    <w:p>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footerReference r:id="rId5" w:type="default"/>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pPr>
        <w:spacing w:before="63" w:line="219" w:lineRule="auto"/>
        <w:jc w:val="right"/>
        <w:rPr>
          <w:rFonts w:ascii="Arial"/>
          <w:color w:val="auto"/>
          <w:sz w:val="24"/>
          <w:szCs w:val="32"/>
          <w:highlight w:val="none"/>
        </w:rPr>
      </w:pPr>
      <w:r>
        <w:rPr>
          <w:rFonts w:ascii="宋体" w:hAnsi="宋体" w:eastAsia="宋体" w:cs="宋体"/>
          <w:color w:val="auto"/>
          <w:spacing w:val="-13"/>
          <w:sz w:val="40"/>
          <w:szCs w:val="40"/>
          <w:highlight w:val="none"/>
          <w14:textOutline w14:w="5803" w14:cap="flat" w14:cmpd="sng">
            <w14:solidFill>
              <w14:srgbClr w14:val="000000"/>
            </w14:solidFill>
            <w14:prstDash w14:val="solid"/>
            <w14:miter w14:val="0"/>
          </w14:textOutline>
        </w:rPr>
        <w:t>附件五</w:t>
      </w:r>
    </w:p>
    <w:p>
      <w:pPr>
        <w:pStyle w:val="3"/>
        <w:tabs>
          <w:tab w:val="left" w:pos="5740"/>
        </w:tabs>
        <w:spacing w:before="111" w:line="184" w:lineRule="auto"/>
        <w:ind w:left="4625"/>
        <w:outlineLvl w:val="0"/>
        <w:rPr>
          <w:rFonts w:hint="eastAsia" w:ascii="宋体" w:hAnsi="宋体" w:eastAsia="宋体" w:cs="宋体"/>
          <w:b/>
          <w:bCs/>
          <w:color w:val="auto"/>
          <w:sz w:val="44"/>
          <w:szCs w:val="40"/>
          <w:highlight w:val="none"/>
          <w:lang w:val="en-US" w:eastAsia="zh-CN"/>
        </w:rPr>
      </w:pPr>
      <w:r>
        <w:rPr>
          <w:rFonts w:hint="eastAsia" w:ascii="宋体" w:hAnsi="宋体" w:eastAsia="宋体" w:cs="宋体"/>
          <w:color w:val="auto"/>
          <w:sz w:val="32"/>
          <w:szCs w:val="32"/>
          <w:highlight w:val="none"/>
          <w:u w:val="single" w:color="auto"/>
        </w:rPr>
        <w:tab/>
      </w:r>
      <w:r>
        <w:rPr>
          <w:rFonts w:hint="eastAsia" w:ascii="宋体" w:hAnsi="宋体" w:eastAsia="宋体" w:cs="宋体"/>
          <w:color w:val="auto"/>
          <w:sz w:val="32"/>
          <w:szCs w:val="32"/>
          <w:highlight w:val="none"/>
          <w:u w:val="single" w:color="auto"/>
          <w:lang w:val="en-US" w:eastAsia="zh-CN"/>
        </w:rPr>
        <w:t xml:space="preserve">     </w:t>
      </w:r>
      <w:r>
        <w:rPr>
          <w:rFonts w:hint="eastAsia" w:ascii="宋体" w:hAnsi="宋体" w:eastAsia="宋体" w:cs="宋体"/>
          <w:b/>
          <w:bCs/>
          <w:color w:val="auto"/>
          <w:sz w:val="32"/>
          <w:szCs w:val="32"/>
          <w:highlight w:val="none"/>
        </w:rPr>
        <w:t>有限公司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p>
    <w:p>
      <w:pPr>
        <w:rPr>
          <w:rFonts w:hint="default"/>
          <w:color w:val="auto"/>
          <w:highlight w:val="none"/>
          <w:lang w:val="en-US" w:eastAsia="zh-CN"/>
        </w:rPr>
      </w:pPr>
    </w:p>
    <w:p>
      <w:pPr>
        <w:pStyle w:val="3"/>
        <w:spacing w:before="35" w:line="309" w:lineRule="exact"/>
        <w:ind w:left="67"/>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pPr>
        <w:pStyle w:val="3"/>
        <w:spacing w:before="35" w:line="309" w:lineRule="exact"/>
        <w:ind w:left="67"/>
        <w:rPr>
          <w:rFonts w:hint="eastAsia" w:ascii="宋体" w:hAnsi="宋体" w:eastAsia="宋体" w:cs="宋体"/>
          <w:color w:val="auto"/>
          <w:spacing w:val="8"/>
          <w:position w:val="10"/>
          <w:sz w:val="20"/>
          <w:szCs w:val="20"/>
          <w:highlight w:val="none"/>
        </w:rPr>
      </w:pPr>
    </w:p>
    <w:p>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3"/>
        <w:tblW w:w="14142" w:type="dxa"/>
        <w:tblInd w:w="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831"/>
        <w:gridCol w:w="930"/>
        <w:gridCol w:w="931"/>
        <w:gridCol w:w="900"/>
        <w:gridCol w:w="1065"/>
        <w:gridCol w:w="854"/>
        <w:gridCol w:w="1201"/>
        <w:gridCol w:w="846"/>
        <w:gridCol w:w="916"/>
        <w:gridCol w:w="1142"/>
        <w:gridCol w:w="1142"/>
        <w:gridCol w:w="2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pPr>
              <w:spacing w:before="154" w:line="191" w:lineRule="auto"/>
              <w:ind w:left="124"/>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831" w:type="dxa"/>
            <w:vAlign w:val="top"/>
          </w:tcPr>
          <w:p>
            <w:pPr>
              <w:spacing w:before="154" w:line="191" w:lineRule="auto"/>
              <w:ind w:left="38"/>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930" w:type="dxa"/>
            <w:vAlign w:val="top"/>
          </w:tcPr>
          <w:p>
            <w:pPr>
              <w:spacing w:before="154" w:line="191" w:lineRule="auto"/>
              <w:ind w:left="41"/>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931" w:type="dxa"/>
            <w:vAlign w:val="top"/>
          </w:tcPr>
          <w:p>
            <w:pPr>
              <w:spacing w:before="154" w:line="191" w:lineRule="auto"/>
              <w:ind w:left="4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900" w:type="dxa"/>
            <w:vAlign w:val="top"/>
          </w:tcPr>
          <w:p>
            <w:pPr>
              <w:spacing w:before="154" w:line="191" w:lineRule="auto"/>
              <w:ind w:left="43"/>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1065" w:type="dxa"/>
            <w:vAlign w:val="top"/>
          </w:tcPr>
          <w:p>
            <w:pPr>
              <w:spacing w:before="156" w:line="190" w:lineRule="auto"/>
              <w:ind w:firstLine="188" w:firstLineChars="100"/>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854" w:type="dxa"/>
            <w:vAlign w:val="top"/>
          </w:tcPr>
          <w:p>
            <w:pPr>
              <w:spacing w:before="154"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1201" w:type="dxa"/>
            <w:vAlign w:val="top"/>
          </w:tcPr>
          <w:p>
            <w:pPr>
              <w:spacing w:before="154" w:line="191" w:lineRule="auto"/>
              <w:ind w:left="23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846" w:type="dxa"/>
            <w:vAlign w:val="top"/>
          </w:tcPr>
          <w:p>
            <w:pPr>
              <w:spacing w:before="154" w:line="191" w:lineRule="auto"/>
              <w:ind w:left="59"/>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6" w:type="dxa"/>
            <w:vAlign w:val="top"/>
          </w:tcPr>
          <w:p>
            <w:pPr>
              <w:spacing w:before="156" w:line="190" w:lineRule="auto"/>
              <w:ind w:left="281"/>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1142" w:type="dxa"/>
            <w:vAlign w:val="top"/>
          </w:tcPr>
          <w:p>
            <w:pPr>
              <w:spacing w:before="154" w:line="191" w:lineRule="auto"/>
              <w:ind w:left="397"/>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142" w:type="dxa"/>
            <w:vAlign w:val="top"/>
          </w:tcPr>
          <w:p>
            <w:pPr>
              <w:spacing w:before="156" w:line="190" w:lineRule="auto"/>
              <w:ind w:left="39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2777" w:type="dxa"/>
            <w:vAlign w:val="top"/>
          </w:tcPr>
          <w:p>
            <w:pPr>
              <w:spacing w:before="154" w:line="191" w:lineRule="auto"/>
              <w:ind w:left="1213"/>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pPr>
              <w:spacing w:before="163" w:line="180" w:lineRule="auto"/>
              <w:ind w:left="270"/>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831" w:type="dxa"/>
            <w:vAlign w:val="top"/>
          </w:tcPr>
          <w:p>
            <w:pPr>
              <w:pStyle w:val="14"/>
              <w:rPr>
                <w:color w:val="auto"/>
                <w:highlight w:val="none"/>
              </w:rPr>
            </w:pPr>
          </w:p>
        </w:tc>
        <w:tc>
          <w:tcPr>
            <w:tcW w:w="930" w:type="dxa"/>
            <w:vAlign w:val="top"/>
          </w:tcPr>
          <w:p>
            <w:pPr>
              <w:pStyle w:val="14"/>
              <w:rPr>
                <w:color w:val="auto"/>
                <w:highlight w:val="none"/>
              </w:rPr>
            </w:pPr>
          </w:p>
        </w:tc>
        <w:tc>
          <w:tcPr>
            <w:tcW w:w="931" w:type="dxa"/>
            <w:vAlign w:val="top"/>
          </w:tcPr>
          <w:p>
            <w:pPr>
              <w:pStyle w:val="14"/>
              <w:rPr>
                <w:color w:val="auto"/>
                <w:highlight w:val="none"/>
              </w:rPr>
            </w:pPr>
          </w:p>
        </w:tc>
        <w:tc>
          <w:tcPr>
            <w:tcW w:w="900" w:type="dxa"/>
            <w:vAlign w:val="top"/>
          </w:tcPr>
          <w:p>
            <w:pPr>
              <w:pStyle w:val="14"/>
              <w:rPr>
                <w:color w:val="auto"/>
                <w:highlight w:val="none"/>
              </w:rPr>
            </w:pPr>
          </w:p>
        </w:tc>
        <w:tc>
          <w:tcPr>
            <w:tcW w:w="1065" w:type="dxa"/>
            <w:vAlign w:val="top"/>
          </w:tcPr>
          <w:p>
            <w:pPr>
              <w:pStyle w:val="14"/>
              <w:rPr>
                <w:color w:val="auto"/>
                <w:highlight w:val="none"/>
              </w:rPr>
            </w:pPr>
          </w:p>
        </w:tc>
        <w:tc>
          <w:tcPr>
            <w:tcW w:w="854" w:type="dxa"/>
            <w:vAlign w:val="top"/>
          </w:tcPr>
          <w:p>
            <w:pPr>
              <w:pStyle w:val="14"/>
              <w:rPr>
                <w:color w:val="auto"/>
                <w:highlight w:val="none"/>
              </w:rPr>
            </w:pPr>
          </w:p>
        </w:tc>
        <w:tc>
          <w:tcPr>
            <w:tcW w:w="1201" w:type="dxa"/>
            <w:vAlign w:val="top"/>
          </w:tcPr>
          <w:p>
            <w:pPr>
              <w:pStyle w:val="14"/>
              <w:rPr>
                <w:color w:val="auto"/>
                <w:highlight w:val="none"/>
              </w:rPr>
            </w:pPr>
          </w:p>
        </w:tc>
        <w:tc>
          <w:tcPr>
            <w:tcW w:w="846" w:type="dxa"/>
            <w:vAlign w:val="top"/>
          </w:tcPr>
          <w:p>
            <w:pPr>
              <w:pStyle w:val="14"/>
              <w:rPr>
                <w:color w:val="auto"/>
                <w:highlight w:val="none"/>
              </w:rPr>
            </w:pPr>
          </w:p>
        </w:tc>
        <w:tc>
          <w:tcPr>
            <w:tcW w:w="916" w:type="dxa"/>
            <w:vAlign w:val="top"/>
          </w:tcPr>
          <w:p>
            <w:pPr>
              <w:pStyle w:val="14"/>
              <w:rPr>
                <w:color w:val="auto"/>
                <w:highlight w:val="none"/>
              </w:rPr>
            </w:pPr>
          </w:p>
        </w:tc>
        <w:tc>
          <w:tcPr>
            <w:tcW w:w="1142" w:type="dxa"/>
            <w:vAlign w:val="top"/>
          </w:tcPr>
          <w:p>
            <w:pPr>
              <w:pStyle w:val="14"/>
              <w:rPr>
                <w:color w:val="auto"/>
                <w:highlight w:val="none"/>
              </w:rPr>
            </w:pPr>
          </w:p>
        </w:tc>
        <w:tc>
          <w:tcPr>
            <w:tcW w:w="1142" w:type="dxa"/>
            <w:vAlign w:val="top"/>
          </w:tcPr>
          <w:p>
            <w:pPr>
              <w:pStyle w:val="14"/>
              <w:rPr>
                <w:color w:val="auto"/>
                <w:highlight w:val="none"/>
              </w:rPr>
            </w:pPr>
          </w:p>
        </w:tc>
        <w:tc>
          <w:tcPr>
            <w:tcW w:w="2777" w:type="dxa"/>
            <w:vAlign w:val="top"/>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pPr>
              <w:spacing w:before="164"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831" w:type="dxa"/>
            <w:vAlign w:val="top"/>
          </w:tcPr>
          <w:p>
            <w:pPr>
              <w:pStyle w:val="14"/>
              <w:rPr>
                <w:color w:val="auto"/>
                <w:highlight w:val="none"/>
              </w:rPr>
            </w:pPr>
          </w:p>
        </w:tc>
        <w:tc>
          <w:tcPr>
            <w:tcW w:w="930" w:type="dxa"/>
            <w:vAlign w:val="top"/>
          </w:tcPr>
          <w:p>
            <w:pPr>
              <w:pStyle w:val="14"/>
              <w:rPr>
                <w:color w:val="auto"/>
                <w:highlight w:val="none"/>
              </w:rPr>
            </w:pPr>
          </w:p>
        </w:tc>
        <w:tc>
          <w:tcPr>
            <w:tcW w:w="931" w:type="dxa"/>
            <w:vAlign w:val="top"/>
          </w:tcPr>
          <w:p>
            <w:pPr>
              <w:pStyle w:val="14"/>
              <w:rPr>
                <w:color w:val="auto"/>
                <w:highlight w:val="none"/>
              </w:rPr>
            </w:pPr>
          </w:p>
        </w:tc>
        <w:tc>
          <w:tcPr>
            <w:tcW w:w="900" w:type="dxa"/>
            <w:vAlign w:val="top"/>
          </w:tcPr>
          <w:p>
            <w:pPr>
              <w:pStyle w:val="14"/>
              <w:rPr>
                <w:color w:val="auto"/>
                <w:highlight w:val="none"/>
              </w:rPr>
            </w:pPr>
          </w:p>
        </w:tc>
        <w:tc>
          <w:tcPr>
            <w:tcW w:w="1065" w:type="dxa"/>
            <w:vAlign w:val="top"/>
          </w:tcPr>
          <w:p>
            <w:pPr>
              <w:pStyle w:val="14"/>
              <w:rPr>
                <w:color w:val="auto"/>
                <w:highlight w:val="none"/>
              </w:rPr>
            </w:pPr>
          </w:p>
        </w:tc>
        <w:tc>
          <w:tcPr>
            <w:tcW w:w="854" w:type="dxa"/>
            <w:vAlign w:val="top"/>
          </w:tcPr>
          <w:p>
            <w:pPr>
              <w:pStyle w:val="14"/>
              <w:rPr>
                <w:color w:val="auto"/>
                <w:highlight w:val="none"/>
              </w:rPr>
            </w:pPr>
          </w:p>
        </w:tc>
        <w:tc>
          <w:tcPr>
            <w:tcW w:w="1201" w:type="dxa"/>
            <w:vAlign w:val="top"/>
          </w:tcPr>
          <w:p>
            <w:pPr>
              <w:pStyle w:val="14"/>
              <w:rPr>
                <w:color w:val="auto"/>
                <w:highlight w:val="none"/>
              </w:rPr>
            </w:pPr>
          </w:p>
        </w:tc>
        <w:tc>
          <w:tcPr>
            <w:tcW w:w="846" w:type="dxa"/>
            <w:vAlign w:val="top"/>
          </w:tcPr>
          <w:p>
            <w:pPr>
              <w:pStyle w:val="14"/>
              <w:rPr>
                <w:color w:val="auto"/>
                <w:highlight w:val="none"/>
              </w:rPr>
            </w:pPr>
          </w:p>
        </w:tc>
        <w:tc>
          <w:tcPr>
            <w:tcW w:w="916" w:type="dxa"/>
            <w:vAlign w:val="top"/>
          </w:tcPr>
          <w:p>
            <w:pPr>
              <w:pStyle w:val="14"/>
              <w:rPr>
                <w:color w:val="auto"/>
                <w:highlight w:val="none"/>
              </w:rPr>
            </w:pPr>
          </w:p>
        </w:tc>
        <w:tc>
          <w:tcPr>
            <w:tcW w:w="1142" w:type="dxa"/>
            <w:vAlign w:val="top"/>
          </w:tcPr>
          <w:p>
            <w:pPr>
              <w:pStyle w:val="14"/>
              <w:rPr>
                <w:color w:val="auto"/>
                <w:highlight w:val="none"/>
              </w:rPr>
            </w:pPr>
          </w:p>
        </w:tc>
        <w:tc>
          <w:tcPr>
            <w:tcW w:w="1142" w:type="dxa"/>
            <w:vAlign w:val="top"/>
          </w:tcPr>
          <w:p>
            <w:pPr>
              <w:pStyle w:val="14"/>
              <w:rPr>
                <w:color w:val="auto"/>
                <w:highlight w:val="none"/>
              </w:rPr>
            </w:pPr>
          </w:p>
        </w:tc>
        <w:tc>
          <w:tcPr>
            <w:tcW w:w="2777" w:type="dxa"/>
            <w:vAlign w:val="top"/>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pPr>
              <w:spacing w:before="165" w:line="180" w:lineRule="auto"/>
              <w:ind w:left="264"/>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831" w:type="dxa"/>
            <w:vAlign w:val="top"/>
          </w:tcPr>
          <w:p>
            <w:pPr>
              <w:pStyle w:val="14"/>
              <w:rPr>
                <w:color w:val="auto"/>
                <w:highlight w:val="none"/>
              </w:rPr>
            </w:pPr>
          </w:p>
        </w:tc>
        <w:tc>
          <w:tcPr>
            <w:tcW w:w="930" w:type="dxa"/>
            <w:vAlign w:val="top"/>
          </w:tcPr>
          <w:p>
            <w:pPr>
              <w:pStyle w:val="14"/>
              <w:rPr>
                <w:color w:val="auto"/>
                <w:highlight w:val="none"/>
              </w:rPr>
            </w:pPr>
          </w:p>
        </w:tc>
        <w:tc>
          <w:tcPr>
            <w:tcW w:w="931" w:type="dxa"/>
            <w:vAlign w:val="top"/>
          </w:tcPr>
          <w:p>
            <w:pPr>
              <w:pStyle w:val="14"/>
              <w:rPr>
                <w:color w:val="auto"/>
                <w:highlight w:val="none"/>
              </w:rPr>
            </w:pPr>
          </w:p>
        </w:tc>
        <w:tc>
          <w:tcPr>
            <w:tcW w:w="900" w:type="dxa"/>
            <w:vAlign w:val="top"/>
          </w:tcPr>
          <w:p>
            <w:pPr>
              <w:pStyle w:val="14"/>
              <w:rPr>
                <w:color w:val="auto"/>
                <w:highlight w:val="none"/>
              </w:rPr>
            </w:pPr>
          </w:p>
        </w:tc>
        <w:tc>
          <w:tcPr>
            <w:tcW w:w="1065" w:type="dxa"/>
            <w:vAlign w:val="top"/>
          </w:tcPr>
          <w:p>
            <w:pPr>
              <w:pStyle w:val="14"/>
              <w:rPr>
                <w:color w:val="auto"/>
                <w:highlight w:val="none"/>
              </w:rPr>
            </w:pPr>
          </w:p>
        </w:tc>
        <w:tc>
          <w:tcPr>
            <w:tcW w:w="854" w:type="dxa"/>
            <w:vAlign w:val="top"/>
          </w:tcPr>
          <w:p>
            <w:pPr>
              <w:pStyle w:val="14"/>
              <w:rPr>
                <w:color w:val="auto"/>
                <w:highlight w:val="none"/>
              </w:rPr>
            </w:pPr>
          </w:p>
        </w:tc>
        <w:tc>
          <w:tcPr>
            <w:tcW w:w="1201" w:type="dxa"/>
            <w:vAlign w:val="top"/>
          </w:tcPr>
          <w:p>
            <w:pPr>
              <w:pStyle w:val="14"/>
              <w:rPr>
                <w:color w:val="auto"/>
                <w:highlight w:val="none"/>
              </w:rPr>
            </w:pPr>
          </w:p>
        </w:tc>
        <w:tc>
          <w:tcPr>
            <w:tcW w:w="846" w:type="dxa"/>
            <w:vAlign w:val="top"/>
          </w:tcPr>
          <w:p>
            <w:pPr>
              <w:pStyle w:val="14"/>
              <w:rPr>
                <w:color w:val="auto"/>
                <w:highlight w:val="none"/>
              </w:rPr>
            </w:pPr>
          </w:p>
        </w:tc>
        <w:tc>
          <w:tcPr>
            <w:tcW w:w="916" w:type="dxa"/>
            <w:vAlign w:val="top"/>
          </w:tcPr>
          <w:p>
            <w:pPr>
              <w:pStyle w:val="14"/>
              <w:rPr>
                <w:color w:val="auto"/>
                <w:highlight w:val="none"/>
              </w:rPr>
            </w:pPr>
          </w:p>
        </w:tc>
        <w:tc>
          <w:tcPr>
            <w:tcW w:w="1142" w:type="dxa"/>
            <w:vAlign w:val="top"/>
          </w:tcPr>
          <w:p>
            <w:pPr>
              <w:pStyle w:val="14"/>
              <w:rPr>
                <w:color w:val="auto"/>
                <w:highlight w:val="none"/>
              </w:rPr>
            </w:pPr>
          </w:p>
        </w:tc>
        <w:tc>
          <w:tcPr>
            <w:tcW w:w="1142" w:type="dxa"/>
            <w:vAlign w:val="top"/>
          </w:tcPr>
          <w:p>
            <w:pPr>
              <w:pStyle w:val="14"/>
              <w:rPr>
                <w:color w:val="auto"/>
                <w:highlight w:val="none"/>
              </w:rPr>
            </w:pPr>
          </w:p>
        </w:tc>
        <w:tc>
          <w:tcPr>
            <w:tcW w:w="2777" w:type="dxa"/>
            <w:vAlign w:val="top"/>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pPr>
              <w:spacing w:before="169" w:line="178" w:lineRule="auto"/>
              <w:ind w:left="253"/>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831" w:type="dxa"/>
            <w:vAlign w:val="top"/>
          </w:tcPr>
          <w:p>
            <w:pPr>
              <w:pStyle w:val="14"/>
              <w:rPr>
                <w:color w:val="auto"/>
                <w:highlight w:val="none"/>
              </w:rPr>
            </w:pPr>
          </w:p>
        </w:tc>
        <w:tc>
          <w:tcPr>
            <w:tcW w:w="930" w:type="dxa"/>
            <w:vAlign w:val="top"/>
          </w:tcPr>
          <w:p>
            <w:pPr>
              <w:pStyle w:val="14"/>
              <w:rPr>
                <w:color w:val="auto"/>
                <w:highlight w:val="none"/>
              </w:rPr>
            </w:pPr>
          </w:p>
        </w:tc>
        <w:tc>
          <w:tcPr>
            <w:tcW w:w="931" w:type="dxa"/>
            <w:vAlign w:val="top"/>
          </w:tcPr>
          <w:p>
            <w:pPr>
              <w:pStyle w:val="14"/>
              <w:rPr>
                <w:color w:val="auto"/>
                <w:highlight w:val="none"/>
              </w:rPr>
            </w:pPr>
          </w:p>
        </w:tc>
        <w:tc>
          <w:tcPr>
            <w:tcW w:w="900" w:type="dxa"/>
            <w:vAlign w:val="top"/>
          </w:tcPr>
          <w:p>
            <w:pPr>
              <w:pStyle w:val="14"/>
              <w:rPr>
                <w:color w:val="auto"/>
                <w:highlight w:val="none"/>
              </w:rPr>
            </w:pPr>
          </w:p>
        </w:tc>
        <w:tc>
          <w:tcPr>
            <w:tcW w:w="1065" w:type="dxa"/>
            <w:vAlign w:val="top"/>
          </w:tcPr>
          <w:p>
            <w:pPr>
              <w:pStyle w:val="14"/>
              <w:rPr>
                <w:color w:val="auto"/>
                <w:highlight w:val="none"/>
              </w:rPr>
            </w:pPr>
          </w:p>
        </w:tc>
        <w:tc>
          <w:tcPr>
            <w:tcW w:w="854" w:type="dxa"/>
            <w:vAlign w:val="top"/>
          </w:tcPr>
          <w:p>
            <w:pPr>
              <w:pStyle w:val="14"/>
              <w:rPr>
                <w:color w:val="auto"/>
                <w:highlight w:val="none"/>
              </w:rPr>
            </w:pPr>
          </w:p>
        </w:tc>
        <w:tc>
          <w:tcPr>
            <w:tcW w:w="1201" w:type="dxa"/>
            <w:vAlign w:val="top"/>
          </w:tcPr>
          <w:p>
            <w:pPr>
              <w:pStyle w:val="14"/>
              <w:rPr>
                <w:color w:val="auto"/>
                <w:highlight w:val="none"/>
              </w:rPr>
            </w:pPr>
          </w:p>
        </w:tc>
        <w:tc>
          <w:tcPr>
            <w:tcW w:w="846" w:type="dxa"/>
            <w:vAlign w:val="top"/>
          </w:tcPr>
          <w:p>
            <w:pPr>
              <w:pStyle w:val="14"/>
              <w:rPr>
                <w:color w:val="auto"/>
                <w:highlight w:val="none"/>
              </w:rPr>
            </w:pPr>
          </w:p>
        </w:tc>
        <w:tc>
          <w:tcPr>
            <w:tcW w:w="916" w:type="dxa"/>
            <w:vAlign w:val="top"/>
          </w:tcPr>
          <w:p>
            <w:pPr>
              <w:pStyle w:val="14"/>
              <w:rPr>
                <w:color w:val="auto"/>
                <w:highlight w:val="none"/>
              </w:rPr>
            </w:pPr>
          </w:p>
        </w:tc>
        <w:tc>
          <w:tcPr>
            <w:tcW w:w="1142" w:type="dxa"/>
            <w:vAlign w:val="top"/>
          </w:tcPr>
          <w:p>
            <w:pPr>
              <w:pStyle w:val="14"/>
              <w:rPr>
                <w:color w:val="auto"/>
                <w:highlight w:val="none"/>
              </w:rPr>
            </w:pPr>
          </w:p>
        </w:tc>
        <w:tc>
          <w:tcPr>
            <w:tcW w:w="1142" w:type="dxa"/>
            <w:vAlign w:val="top"/>
          </w:tcPr>
          <w:p>
            <w:pPr>
              <w:pStyle w:val="14"/>
              <w:rPr>
                <w:color w:val="auto"/>
                <w:highlight w:val="none"/>
              </w:rPr>
            </w:pPr>
          </w:p>
        </w:tc>
        <w:tc>
          <w:tcPr>
            <w:tcW w:w="2777" w:type="dxa"/>
            <w:vAlign w:val="top"/>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pPr>
              <w:spacing w:before="169" w:line="178" w:lineRule="auto"/>
              <w:ind w:left="267"/>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831" w:type="dxa"/>
            <w:vAlign w:val="top"/>
          </w:tcPr>
          <w:p>
            <w:pPr>
              <w:pStyle w:val="14"/>
              <w:rPr>
                <w:color w:val="auto"/>
                <w:highlight w:val="none"/>
              </w:rPr>
            </w:pPr>
          </w:p>
        </w:tc>
        <w:tc>
          <w:tcPr>
            <w:tcW w:w="930" w:type="dxa"/>
            <w:vAlign w:val="top"/>
          </w:tcPr>
          <w:p>
            <w:pPr>
              <w:pStyle w:val="14"/>
              <w:rPr>
                <w:color w:val="auto"/>
                <w:highlight w:val="none"/>
              </w:rPr>
            </w:pPr>
          </w:p>
        </w:tc>
        <w:tc>
          <w:tcPr>
            <w:tcW w:w="931" w:type="dxa"/>
            <w:vAlign w:val="top"/>
          </w:tcPr>
          <w:p>
            <w:pPr>
              <w:pStyle w:val="14"/>
              <w:rPr>
                <w:color w:val="auto"/>
                <w:highlight w:val="none"/>
              </w:rPr>
            </w:pPr>
          </w:p>
        </w:tc>
        <w:tc>
          <w:tcPr>
            <w:tcW w:w="900" w:type="dxa"/>
            <w:vAlign w:val="top"/>
          </w:tcPr>
          <w:p>
            <w:pPr>
              <w:pStyle w:val="14"/>
              <w:rPr>
                <w:color w:val="auto"/>
                <w:highlight w:val="none"/>
              </w:rPr>
            </w:pPr>
          </w:p>
        </w:tc>
        <w:tc>
          <w:tcPr>
            <w:tcW w:w="1065" w:type="dxa"/>
            <w:vAlign w:val="top"/>
          </w:tcPr>
          <w:p>
            <w:pPr>
              <w:pStyle w:val="14"/>
              <w:rPr>
                <w:color w:val="auto"/>
                <w:highlight w:val="none"/>
              </w:rPr>
            </w:pPr>
          </w:p>
        </w:tc>
        <w:tc>
          <w:tcPr>
            <w:tcW w:w="854" w:type="dxa"/>
            <w:vAlign w:val="top"/>
          </w:tcPr>
          <w:p>
            <w:pPr>
              <w:pStyle w:val="14"/>
              <w:rPr>
                <w:color w:val="auto"/>
                <w:highlight w:val="none"/>
              </w:rPr>
            </w:pPr>
          </w:p>
        </w:tc>
        <w:tc>
          <w:tcPr>
            <w:tcW w:w="1201" w:type="dxa"/>
            <w:vAlign w:val="top"/>
          </w:tcPr>
          <w:p>
            <w:pPr>
              <w:pStyle w:val="14"/>
              <w:rPr>
                <w:color w:val="auto"/>
                <w:highlight w:val="none"/>
              </w:rPr>
            </w:pPr>
          </w:p>
        </w:tc>
        <w:tc>
          <w:tcPr>
            <w:tcW w:w="846" w:type="dxa"/>
            <w:vAlign w:val="top"/>
          </w:tcPr>
          <w:p>
            <w:pPr>
              <w:pStyle w:val="14"/>
              <w:rPr>
                <w:color w:val="auto"/>
                <w:highlight w:val="none"/>
              </w:rPr>
            </w:pPr>
          </w:p>
        </w:tc>
        <w:tc>
          <w:tcPr>
            <w:tcW w:w="916" w:type="dxa"/>
            <w:vAlign w:val="top"/>
          </w:tcPr>
          <w:p>
            <w:pPr>
              <w:pStyle w:val="14"/>
              <w:rPr>
                <w:color w:val="auto"/>
                <w:highlight w:val="none"/>
              </w:rPr>
            </w:pPr>
          </w:p>
        </w:tc>
        <w:tc>
          <w:tcPr>
            <w:tcW w:w="1142" w:type="dxa"/>
            <w:vAlign w:val="top"/>
          </w:tcPr>
          <w:p>
            <w:pPr>
              <w:pStyle w:val="14"/>
              <w:rPr>
                <w:color w:val="auto"/>
                <w:highlight w:val="none"/>
              </w:rPr>
            </w:pPr>
          </w:p>
        </w:tc>
        <w:tc>
          <w:tcPr>
            <w:tcW w:w="1142" w:type="dxa"/>
            <w:vAlign w:val="top"/>
          </w:tcPr>
          <w:p>
            <w:pPr>
              <w:pStyle w:val="14"/>
              <w:rPr>
                <w:color w:val="auto"/>
                <w:highlight w:val="none"/>
              </w:rPr>
            </w:pPr>
          </w:p>
        </w:tc>
        <w:tc>
          <w:tcPr>
            <w:tcW w:w="2777" w:type="dxa"/>
            <w:vAlign w:val="top"/>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pPr>
              <w:spacing w:before="168"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831" w:type="dxa"/>
            <w:vAlign w:val="top"/>
          </w:tcPr>
          <w:p>
            <w:pPr>
              <w:pStyle w:val="14"/>
              <w:rPr>
                <w:color w:val="auto"/>
                <w:highlight w:val="none"/>
              </w:rPr>
            </w:pPr>
          </w:p>
        </w:tc>
        <w:tc>
          <w:tcPr>
            <w:tcW w:w="930" w:type="dxa"/>
            <w:vAlign w:val="top"/>
          </w:tcPr>
          <w:p>
            <w:pPr>
              <w:pStyle w:val="14"/>
              <w:rPr>
                <w:color w:val="auto"/>
                <w:highlight w:val="none"/>
              </w:rPr>
            </w:pPr>
          </w:p>
        </w:tc>
        <w:tc>
          <w:tcPr>
            <w:tcW w:w="931" w:type="dxa"/>
            <w:vAlign w:val="top"/>
          </w:tcPr>
          <w:p>
            <w:pPr>
              <w:pStyle w:val="14"/>
              <w:rPr>
                <w:color w:val="auto"/>
                <w:highlight w:val="none"/>
              </w:rPr>
            </w:pPr>
          </w:p>
        </w:tc>
        <w:tc>
          <w:tcPr>
            <w:tcW w:w="900" w:type="dxa"/>
            <w:vAlign w:val="top"/>
          </w:tcPr>
          <w:p>
            <w:pPr>
              <w:pStyle w:val="14"/>
              <w:rPr>
                <w:color w:val="auto"/>
                <w:highlight w:val="none"/>
              </w:rPr>
            </w:pPr>
          </w:p>
        </w:tc>
        <w:tc>
          <w:tcPr>
            <w:tcW w:w="1065" w:type="dxa"/>
            <w:vAlign w:val="top"/>
          </w:tcPr>
          <w:p>
            <w:pPr>
              <w:pStyle w:val="14"/>
              <w:rPr>
                <w:color w:val="auto"/>
                <w:highlight w:val="none"/>
              </w:rPr>
            </w:pPr>
          </w:p>
        </w:tc>
        <w:tc>
          <w:tcPr>
            <w:tcW w:w="854" w:type="dxa"/>
            <w:vAlign w:val="top"/>
          </w:tcPr>
          <w:p>
            <w:pPr>
              <w:pStyle w:val="14"/>
              <w:rPr>
                <w:color w:val="auto"/>
                <w:highlight w:val="none"/>
              </w:rPr>
            </w:pPr>
          </w:p>
        </w:tc>
        <w:tc>
          <w:tcPr>
            <w:tcW w:w="1201" w:type="dxa"/>
            <w:vAlign w:val="top"/>
          </w:tcPr>
          <w:p>
            <w:pPr>
              <w:pStyle w:val="14"/>
              <w:rPr>
                <w:color w:val="auto"/>
                <w:highlight w:val="none"/>
              </w:rPr>
            </w:pPr>
          </w:p>
        </w:tc>
        <w:tc>
          <w:tcPr>
            <w:tcW w:w="846" w:type="dxa"/>
            <w:vAlign w:val="top"/>
          </w:tcPr>
          <w:p>
            <w:pPr>
              <w:pStyle w:val="14"/>
              <w:rPr>
                <w:color w:val="auto"/>
                <w:highlight w:val="none"/>
              </w:rPr>
            </w:pPr>
          </w:p>
        </w:tc>
        <w:tc>
          <w:tcPr>
            <w:tcW w:w="916" w:type="dxa"/>
            <w:vAlign w:val="top"/>
          </w:tcPr>
          <w:p>
            <w:pPr>
              <w:pStyle w:val="14"/>
              <w:rPr>
                <w:color w:val="auto"/>
                <w:highlight w:val="none"/>
              </w:rPr>
            </w:pPr>
          </w:p>
        </w:tc>
        <w:tc>
          <w:tcPr>
            <w:tcW w:w="1142" w:type="dxa"/>
            <w:vAlign w:val="top"/>
          </w:tcPr>
          <w:p>
            <w:pPr>
              <w:pStyle w:val="14"/>
              <w:rPr>
                <w:color w:val="auto"/>
                <w:highlight w:val="none"/>
              </w:rPr>
            </w:pPr>
          </w:p>
        </w:tc>
        <w:tc>
          <w:tcPr>
            <w:tcW w:w="1142" w:type="dxa"/>
            <w:vAlign w:val="top"/>
          </w:tcPr>
          <w:p>
            <w:pPr>
              <w:pStyle w:val="14"/>
              <w:rPr>
                <w:color w:val="auto"/>
                <w:highlight w:val="none"/>
              </w:rPr>
            </w:pPr>
          </w:p>
        </w:tc>
        <w:tc>
          <w:tcPr>
            <w:tcW w:w="2777" w:type="dxa"/>
            <w:vAlign w:val="top"/>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pPr>
              <w:spacing w:before="171" w:line="178" w:lineRule="auto"/>
              <w:ind w:left="261"/>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831" w:type="dxa"/>
            <w:vAlign w:val="top"/>
          </w:tcPr>
          <w:p>
            <w:pPr>
              <w:pStyle w:val="14"/>
              <w:rPr>
                <w:color w:val="auto"/>
                <w:highlight w:val="none"/>
              </w:rPr>
            </w:pPr>
          </w:p>
        </w:tc>
        <w:tc>
          <w:tcPr>
            <w:tcW w:w="930" w:type="dxa"/>
            <w:vAlign w:val="top"/>
          </w:tcPr>
          <w:p>
            <w:pPr>
              <w:pStyle w:val="14"/>
              <w:rPr>
                <w:color w:val="auto"/>
                <w:highlight w:val="none"/>
              </w:rPr>
            </w:pPr>
          </w:p>
        </w:tc>
        <w:tc>
          <w:tcPr>
            <w:tcW w:w="931" w:type="dxa"/>
            <w:vAlign w:val="top"/>
          </w:tcPr>
          <w:p>
            <w:pPr>
              <w:pStyle w:val="14"/>
              <w:rPr>
                <w:color w:val="auto"/>
                <w:highlight w:val="none"/>
              </w:rPr>
            </w:pPr>
          </w:p>
        </w:tc>
        <w:tc>
          <w:tcPr>
            <w:tcW w:w="900" w:type="dxa"/>
            <w:vAlign w:val="top"/>
          </w:tcPr>
          <w:p>
            <w:pPr>
              <w:pStyle w:val="14"/>
              <w:rPr>
                <w:color w:val="auto"/>
                <w:highlight w:val="none"/>
              </w:rPr>
            </w:pPr>
          </w:p>
        </w:tc>
        <w:tc>
          <w:tcPr>
            <w:tcW w:w="1065" w:type="dxa"/>
            <w:vAlign w:val="top"/>
          </w:tcPr>
          <w:p>
            <w:pPr>
              <w:pStyle w:val="14"/>
              <w:rPr>
                <w:color w:val="auto"/>
                <w:highlight w:val="none"/>
              </w:rPr>
            </w:pPr>
          </w:p>
        </w:tc>
        <w:tc>
          <w:tcPr>
            <w:tcW w:w="854" w:type="dxa"/>
            <w:vAlign w:val="top"/>
          </w:tcPr>
          <w:p>
            <w:pPr>
              <w:pStyle w:val="14"/>
              <w:rPr>
                <w:color w:val="auto"/>
                <w:highlight w:val="none"/>
              </w:rPr>
            </w:pPr>
          </w:p>
        </w:tc>
        <w:tc>
          <w:tcPr>
            <w:tcW w:w="1201" w:type="dxa"/>
            <w:vAlign w:val="top"/>
          </w:tcPr>
          <w:p>
            <w:pPr>
              <w:pStyle w:val="14"/>
              <w:rPr>
                <w:color w:val="auto"/>
                <w:highlight w:val="none"/>
              </w:rPr>
            </w:pPr>
          </w:p>
        </w:tc>
        <w:tc>
          <w:tcPr>
            <w:tcW w:w="846" w:type="dxa"/>
            <w:vAlign w:val="top"/>
          </w:tcPr>
          <w:p>
            <w:pPr>
              <w:pStyle w:val="14"/>
              <w:rPr>
                <w:color w:val="auto"/>
                <w:highlight w:val="none"/>
              </w:rPr>
            </w:pPr>
          </w:p>
        </w:tc>
        <w:tc>
          <w:tcPr>
            <w:tcW w:w="916" w:type="dxa"/>
            <w:vAlign w:val="top"/>
          </w:tcPr>
          <w:p>
            <w:pPr>
              <w:pStyle w:val="14"/>
              <w:rPr>
                <w:color w:val="auto"/>
                <w:highlight w:val="none"/>
              </w:rPr>
            </w:pPr>
          </w:p>
        </w:tc>
        <w:tc>
          <w:tcPr>
            <w:tcW w:w="1142" w:type="dxa"/>
            <w:vAlign w:val="top"/>
          </w:tcPr>
          <w:p>
            <w:pPr>
              <w:pStyle w:val="14"/>
              <w:rPr>
                <w:color w:val="auto"/>
                <w:highlight w:val="none"/>
              </w:rPr>
            </w:pPr>
          </w:p>
        </w:tc>
        <w:tc>
          <w:tcPr>
            <w:tcW w:w="1142" w:type="dxa"/>
            <w:vAlign w:val="top"/>
          </w:tcPr>
          <w:p>
            <w:pPr>
              <w:pStyle w:val="14"/>
              <w:rPr>
                <w:color w:val="auto"/>
                <w:highlight w:val="none"/>
              </w:rPr>
            </w:pPr>
          </w:p>
        </w:tc>
        <w:tc>
          <w:tcPr>
            <w:tcW w:w="2777" w:type="dxa"/>
            <w:vAlign w:val="top"/>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7" w:type="dxa"/>
            <w:vAlign w:val="top"/>
          </w:tcPr>
          <w:p>
            <w:pPr>
              <w:spacing w:before="290" w:line="99" w:lineRule="exact"/>
              <w:ind w:left="249"/>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831" w:type="dxa"/>
            <w:vAlign w:val="top"/>
          </w:tcPr>
          <w:p>
            <w:pPr>
              <w:pStyle w:val="14"/>
              <w:rPr>
                <w:color w:val="auto"/>
                <w:highlight w:val="none"/>
              </w:rPr>
            </w:pPr>
          </w:p>
        </w:tc>
        <w:tc>
          <w:tcPr>
            <w:tcW w:w="930" w:type="dxa"/>
            <w:vAlign w:val="top"/>
          </w:tcPr>
          <w:p>
            <w:pPr>
              <w:pStyle w:val="14"/>
              <w:rPr>
                <w:color w:val="auto"/>
                <w:highlight w:val="none"/>
              </w:rPr>
            </w:pPr>
          </w:p>
        </w:tc>
        <w:tc>
          <w:tcPr>
            <w:tcW w:w="931" w:type="dxa"/>
            <w:vAlign w:val="top"/>
          </w:tcPr>
          <w:p>
            <w:pPr>
              <w:pStyle w:val="14"/>
              <w:rPr>
                <w:color w:val="auto"/>
                <w:highlight w:val="none"/>
              </w:rPr>
            </w:pPr>
          </w:p>
        </w:tc>
        <w:tc>
          <w:tcPr>
            <w:tcW w:w="900" w:type="dxa"/>
            <w:vAlign w:val="top"/>
          </w:tcPr>
          <w:p>
            <w:pPr>
              <w:pStyle w:val="14"/>
              <w:rPr>
                <w:color w:val="auto"/>
                <w:highlight w:val="none"/>
              </w:rPr>
            </w:pPr>
          </w:p>
        </w:tc>
        <w:tc>
          <w:tcPr>
            <w:tcW w:w="1065" w:type="dxa"/>
            <w:vAlign w:val="top"/>
          </w:tcPr>
          <w:p>
            <w:pPr>
              <w:pStyle w:val="14"/>
              <w:rPr>
                <w:color w:val="auto"/>
                <w:highlight w:val="none"/>
              </w:rPr>
            </w:pPr>
          </w:p>
        </w:tc>
        <w:tc>
          <w:tcPr>
            <w:tcW w:w="854" w:type="dxa"/>
            <w:vAlign w:val="top"/>
          </w:tcPr>
          <w:p>
            <w:pPr>
              <w:pStyle w:val="14"/>
              <w:rPr>
                <w:color w:val="auto"/>
                <w:highlight w:val="none"/>
              </w:rPr>
            </w:pPr>
          </w:p>
        </w:tc>
        <w:tc>
          <w:tcPr>
            <w:tcW w:w="1201" w:type="dxa"/>
            <w:vAlign w:val="top"/>
          </w:tcPr>
          <w:p>
            <w:pPr>
              <w:pStyle w:val="14"/>
              <w:rPr>
                <w:color w:val="auto"/>
                <w:highlight w:val="none"/>
              </w:rPr>
            </w:pPr>
          </w:p>
        </w:tc>
        <w:tc>
          <w:tcPr>
            <w:tcW w:w="846" w:type="dxa"/>
            <w:vAlign w:val="top"/>
          </w:tcPr>
          <w:p>
            <w:pPr>
              <w:pStyle w:val="14"/>
              <w:rPr>
                <w:color w:val="auto"/>
                <w:highlight w:val="none"/>
              </w:rPr>
            </w:pPr>
          </w:p>
        </w:tc>
        <w:tc>
          <w:tcPr>
            <w:tcW w:w="916" w:type="dxa"/>
            <w:vAlign w:val="top"/>
          </w:tcPr>
          <w:p>
            <w:pPr>
              <w:pStyle w:val="14"/>
              <w:rPr>
                <w:color w:val="auto"/>
                <w:highlight w:val="none"/>
              </w:rPr>
            </w:pPr>
          </w:p>
        </w:tc>
        <w:tc>
          <w:tcPr>
            <w:tcW w:w="1142" w:type="dxa"/>
            <w:vAlign w:val="top"/>
          </w:tcPr>
          <w:p>
            <w:pPr>
              <w:pStyle w:val="14"/>
              <w:rPr>
                <w:color w:val="auto"/>
                <w:highlight w:val="none"/>
              </w:rPr>
            </w:pPr>
          </w:p>
        </w:tc>
        <w:tc>
          <w:tcPr>
            <w:tcW w:w="1142" w:type="dxa"/>
            <w:vAlign w:val="top"/>
          </w:tcPr>
          <w:p>
            <w:pPr>
              <w:pStyle w:val="14"/>
              <w:rPr>
                <w:color w:val="auto"/>
                <w:highlight w:val="none"/>
              </w:rPr>
            </w:pPr>
          </w:p>
        </w:tc>
        <w:tc>
          <w:tcPr>
            <w:tcW w:w="2777" w:type="dxa"/>
            <w:vAlign w:val="top"/>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607" w:type="dxa"/>
            <w:vAlign w:val="top"/>
          </w:tcPr>
          <w:p>
            <w:pPr>
              <w:pStyle w:val="14"/>
              <w:rPr>
                <w:color w:val="auto"/>
                <w:highlight w:val="none"/>
              </w:rPr>
            </w:pPr>
          </w:p>
        </w:tc>
        <w:tc>
          <w:tcPr>
            <w:tcW w:w="831" w:type="dxa"/>
            <w:vAlign w:val="top"/>
          </w:tcPr>
          <w:p>
            <w:pPr>
              <w:pStyle w:val="14"/>
              <w:rPr>
                <w:color w:val="auto"/>
                <w:highlight w:val="none"/>
              </w:rPr>
            </w:pPr>
          </w:p>
        </w:tc>
        <w:tc>
          <w:tcPr>
            <w:tcW w:w="930" w:type="dxa"/>
            <w:vAlign w:val="top"/>
          </w:tcPr>
          <w:p>
            <w:pPr>
              <w:pStyle w:val="14"/>
              <w:rPr>
                <w:color w:val="auto"/>
                <w:highlight w:val="none"/>
              </w:rPr>
            </w:pPr>
          </w:p>
        </w:tc>
        <w:tc>
          <w:tcPr>
            <w:tcW w:w="931" w:type="dxa"/>
            <w:vAlign w:val="top"/>
          </w:tcPr>
          <w:p>
            <w:pPr>
              <w:pStyle w:val="14"/>
              <w:rPr>
                <w:color w:val="auto"/>
                <w:highlight w:val="none"/>
              </w:rPr>
            </w:pPr>
          </w:p>
        </w:tc>
        <w:tc>
          <w:tcPr>
            <w:tcW w:w="900" w:type="dxa"/>
            <w:vAlign w:val="top"/>
          </w:tcPr>
          <w:p>
            <w:pPr>
              <w:pStyle w:val="14"/>
              <w:rPr>
                <w:color w:val="auto"/>
                <w:highlight w:val="none"/>
              </w:rPr>
            </w:pPr>
          </w:p>
        </w:tc>
        <w:tc>
          <w:tcPr>
            <w:tcW w:w="1065" w:type="dxa"/>
            <w:vAlign w:val="top"/>
          </w:tcPr>
          <w:p>
            <w:pPr>
              <w:pStyle w:val="14"/>
              <w:rPr>
                <w:color w:val="auto"/>
                <w:highlight w:val="none"/>
              </w:rPr>
            </w:pPr>
          </w:p>
        </w:tc>
        <w:tc>
          <w:tcPr>
            <w:tcW w:w="854" w:type="dxa"/>
            <w:vAlign w:val="top"/>
          </w:tcPr>
          <w:p>
            <w:pPr>
              <w:pStyle w:val="14"/>
              <w:rPr>
                <w:color w:val="auto"/>
                <w:highlight w:val="none"/>
              </w:rPr>
            </w:pPr>
          </w:p>
        </w:tc>
        <w:tc>
          <w:tcPr>
            <w:tcW w:w="1201" w:type="dxa"/>
            <w:vAlign w:val="top"/>
          </w:tcPr>
          <w:p>
            <w:pPr>
              <w:pStyle w:val="14"/>
              <w:rPr>
                <w:color w:val="auto"/>
                <w:highlight w:val="none"/>
              </w:rPr>
            </w:pPr>
          </w:p>
        </w:tc>
        <w:tc>
          <w:tcPr>
            <w:tcW w:w="846" w:type="dxa"/>
            <w:vAlign w:val="top"/>
          </w:tcPr>
          <w:p>
            <w:pPr>
              <w:pStyle w:val="14"/>
              <w:rPr>
                <w:color w:val="auto"/>
                <w:highlight w:val="none"/>
              </w:rPr>
            </w:pPr>
          </w:p>
        </w:tc>
        <w:tc>
          <w:tcPr>
            <w:tcW w:w="916" w:type="dxa"/>
            <w:vAlign w:val="top"/>
          </w:tcPr>
          <w:p>
            <w:pPr>
              <w:pStyle w:val="14"/>
              <w:rPr>
                <w:color w:val="auto"/>
                <w:highlight w:val="none"/>
              </w:rPr>
            </w:pPr>
          </w:p>
        </w:tc>
        <w:tc>
          <w:tcPr>
            <w:tcW w:w="1142" w:type="dxa"/>
            <w:vAlign w:val="top"/>
          </w:tcPr>
          <w:p>
            <w:pPr>
              <w:pStyle w:val="14"/>
              <w:rPr>
                <w:color w:val="auto"/>
                <w:highlight w:val="none"/>
              </w:rPr>
            </w:pPr>
          </w:p>
        </w:tc>
        <w:tc>
          <w:tcPr>
            <w:tcW w:w="1142" w:type="dxa"/>
            <w:vAlign w:val="top"/>
          </w:tcPr>
          <w:p>
            <w:pPr>
              <w:pStyle w:val="14"/>
              <w:rPr>
                <w:color w:val="auto"/>
                <w:highlight w:val="none"/>
              </w:rPr>
            </w:pPr>
          </w:p>
        </w:tc>
        <w:tc>
          <w:tcPr>
            <w:tcW w:w="2777" w:type="dxa"/>
            <w:vAlign w:val="top"/>
          </w:tcPr>
          <w:p>
            <w:pPr>
              <w:pStyle w:val="14"/>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607" w:type="dxa"/>
            <w:vAlign w:val="top"/>
          </w:tcPr>
          <w:p>
            <w:pPr>
              <w:spacing w:before="158" w:line="190" w:lineRule="auto"/>
              <w:ind w:left="124"/>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831" w:type="dxa"/>
            <w:vAlign w:val="top"/>
          </w:tcPr>
          <w:p>
            <w:pPr>
              <w:pStyle w:val="14"/>
              <w:rPr>
                <w:color w:val="auto"/>
                <w:highlight w:val="none"/>
              </w:rPr>
            </w:pPr>
          </w:p>
        </w:tc>
        <w:tc>
          <w:tcPr>
            <w:tcW w:w="930" w:type="dxa"/>
            <w:vAlign w:val="top"/>
          </w:tcPr>
          <w:p>
            <w:pPr>
              <w:pStyle w:val="14"/>
              <w:rPr>
                <w:color w:val="auto"/>
                <w:highlight w:val="none"/>
              </w:rPr>
            </w:pPr>
          </w:p>
        </w:tc>
        <w:tc>
          <w:tcPr>
            <w:tcW w:w="931" w:type="dxa"/>
            <w:vAlign w:val="top"/>
          </w:tcPr>
          <w:p>
            <w:pPr>
              <w:pStyle w:val="14"/>
              <w:rPr>
                <w:color w:val="auto"/>
                <w:highlight w:val="none"/>
              </w:rPr>
            </w:pPr>
          </w:p>
        </w:tc>
        <w:tc>
          <w:tcPr>
            <w:tcW w:w="900" w:type="dxa"/>
            <w:vAlign w:val="top"/>
          </w:tcPr>
          <w:p>
            <w:pPr>
              <w:pStyle w:val="14"/>
              <w:rPr>
                <w:color w:val="auto"/>
                <w:highlight w:val="none"/>
              </w:rPr>
            </w:pPr>
          </w:p>
        </w:tc>
        <w:tc>
          <w:tcPr>
            <w:tcW w:w="1065" w:type="dxa"/>
            <w:vAlign w:val="top"/>
          </w:tcPr>
          <w:p>
            <w:pPr>
              <w:pStyle w:val="14"/>
              <w:rPr>
                <w:color w:val="auto"/>
                <w:highlight w:val="none"/>
              </w:rPr>
            </w:pPr>
          </w:p>
        </w:tc>
        <w:tc>
          <w:tcPr>
            <w:tcW w:w="854" w:type="dxa"/>
            <w:vAlign w:val="top"/>
          </w:tcPr>
          <w:p>
            <w:pPr>
              <w:pStyle w:val="14"/>
              <w:rPr>
                <w:color w:val="auto"/>
                <w:highlight w:val="none"/>
              </w:rPr>
            </w:pPr>
          </w:p>
        </w:tc>
        <w:tc>
          <w:tcPr>
            <w:tcW w:w="1201" w:type="dxa"/>
            <w:vAlign w:val="top"/>
          </w:tcPr>
          <w:p>
            <w:pPr>
              <w:pStyle w:val="14"/>
              <w:rPr>
                <w:color w:val="auto"/>
                <w:highlight w:val="none"/>
              </w:rPr>
            </w:pPr>
          </w:p>
        </w:tc>
        <w:tc>
          <w:tcPr>
            <w:tcW w:w="846" w:type="dxa"/>
            <w:vAlign w:val="top"/>
          </w:tcPr>
          <w:p>
            <w:pPr>
              <w:pStyle w:val="14"/>
              <w:rPr>
                <w:color w:val="auto"/>
                <w:highlight w:val="none"/>
              </w:rPr>
            </w:pPr>
          </w:p>
        </w:tc>
        <w:tc>
          <w:tcPr>
            <w:tcW w:w="916" w:type="dxa"/>
            <w:vAlign w:val="top"/>
          </w:tcPr>
          <w:p>
            <w:pPr>
              <w:pStyle w:val="14"/>
              <w:rPr>
                <w:color w:val="auto"/>
                <w:highlight w:val="none"/>
              </w:rPr>
            </w:pPr>
          </w:p>
        </w:tc>
        <w:tc>
          <w:tcPr>
            <w:tcW w:w="1142" w:type="dxa"/>
            <w:vAlign w:val="top"/>
          </w:tcPr>
          <w:p>
            <w:pPr>
              <w:pStyle w:val="14"/>
              <w:rPr>
                <w:color w:val="auto"/>
                <w:highlight w:val="none"/>
              </w:rPr>
            </w:pPr>
          </w:p>
        </w:tc>
        <w:tc>
          <w:tcPr>
            <w:tcW w:w="1142" w:type="dxa"/>
            <w:vAlign w:val="top"/>
          </w:tcPr>
          <w:p>
            <w:pPr>
              <w:pStyle w:val="14"/>
              <w:rPr>
                <w:color w:val="auto"/>
                <w:highlight w:val="none"/>
              </w:rPr>
            </w:pPr>
          </w:p>
        </w:tc>
        <w:tc>
          <w:tcPr>
            <w:tcW w:w="2777" w:type="dxa"/>
            <w:vAlign w:val="top"/>
          </w:tcPr>
          <w:p>
            <w:pPr>
              <w:pStyle w:val="14"/>
              <w:rPr>
                <w:color w:val="auto"/>
                <w:highlight w:val="none"/>
              </w:rPr>
            </w:pPr>
          </w:p>
        </w:tc>
      </w:tr>
    </w:tbl>
    <w:p>
      <w:pPr>
        <w:pStyle w:val="3"/>
        <w:spacing w:before="46" w:line="534" w:lineRule="exact"/>
        <w:ind w:left="68"/>
        <w:rPr>
          <w:rFonts w:hint="default" w:ascii="宋体" w:hAnsi="宋体" w:eastAsia="宋体" w:cs="宋体"/>
          <w:color w:val="auto"/>
          <w:spacing w:val="8"/>
          <w:position w:val="10"/>
          <w:sz w:val="20"/>
          <w:szCs w:val="20"/>
          <w:highlight w:val="none"/>
          <w:lang w:val="en-US" w:eastAsia="zh-CN"/>
        </w:rPr>
      </w:pPr>
      <w:r>
        <w:rPr>
          <w:rFonts w:hint="eastAsia" w:ascii="宋体" w:hAnsi="宋体" w:eastAsia="宋体" w:cs="宋体"/>
          <w:color w:val="auto"/>
          <w:spacing w:val="3"/>
          <w:position w:val="29"/>
          <w:sz w:val="18"/>
          <w:szCs w:val="18"/>
          <w:highlight w:val="none"/>
        </w:rPr>
        <w:t>说明：供应商根据对账需求可增加表头内容，不得删减表头内</w:t>
      </w:r>
      <w:r>
        <w:rPr>
          <w:rFonts w:hint="eastAsia" w:ascii="宋体" w:hAnsi="宋体" w:eastAsia="宋体" w:cs="宋体"/>
          <w:color w:val="auto"/>
          <w:spacing w:val="2"/>
          <w:position w:val="29"/>
          <w:sz w:val="18"/>
          <w:szCs w:val="18"/>
          <w:highlight w:val="none"/>
        </w:rPr>
        <w:t>容。</w:t>
      </w:r>
    </w:p>
    <w:p>
      <w:pPr>
        <w:spacing w:line="480" w:lineRule="auto"/>
        <w:jc w:val="both"/>
        <w:rPr>
          <w:rFonts w:hint="eastAsia" w:ascii="宋体" w:hAnsi="宋体" w:eastAsia="宋体" w:cs="宋体"/>
          <w:color w:val="auto"/>
          <w:spacing w:val="-5"/>
          <w:position w:val="-1"/>
          <w:sz w:val="24"/>
          <w:szCs w:val="24"/>
          <w:highlight w:val="none"/>
          <w:lang w:val="en-US"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ascii="宋体" w:hAnsi="宋体" w:cs="宋体"/>
          <w:color w:val="auto"/>
          <w:spacing w:val="8"/>
          <w:position w:val="-1"/>
          <w:sz w:val="24"/>
          <w:szCs w:val="24"/>
          <w:highlight w:val="none"/>
          <w:lang w:eastAsia="zh-CN"/>
        </w:rPr>
        <w:t>：</w:t>
      </w:r>
    </w:p>
    <w:p>
      <w:pPr>
        <w:spacing w:line="480" w:lineRule="auto"/>
        <w:jc w:val="both"/>
        <w:rPr>
          <w:rFonts w:hint="eastAsia" w:ascii="仿宋" w:hAnsi="仿宋" w:eastAsia="仿宋" w:cs="仿宋"/>
          <w:b/>
          <w:bCs/>
          <w:color w:val="auto"/>
          <w:sz w:val="44"/>
          <w:szCs w:val="44"/>
          <w:highlight w:val="none"/>
          <w:lang w:val="en-US" w:eastAsia="zh-CN"/>
        </w:rPr>
      </w:pPr>
      <w:r>
        <w:rPr>
          <w:rFonts w:hint="eastAsia" w:ascii="宋体" w:hAnsi="宋体" w:eastAsia="宋体" w:cs="宋体"/>
          <w:color w:val="auto"/>
          <w:spacing w:val="-5"/>
          <w:position w:val="-1"/>
          <w:sz w:val="24"/>
          <w:szCs w:val="24"/>
          <w:highlight w:val="none"/>
          <w:lang w:val="en-US" w:eastAsia="zh-CN"/>
        </w:rPr>
        <w:t>日期:</w:t>
      </w:r>
      <w:r>
        <w:rPr>
          <w:rFonts w:hint="eastAsia" w:ascii="宋体" w:hAnsi="宋体" w:cs="宋体"/>
          <w:color w:val="auto"/>
          <w:spacing w:val="-5"/>
          <w:position w:val="-1"/>
          <w:sz w:val="24"/>
          <w:szCs w:val="24"/>
          <w:highlight w:val="none"/>
          <w:lang w:val="en-US" w:eastAsia="zh-CN"/>
        </w:rPr>
        <w:t xml:space="preserve">                                                                              日期：</w:t>
      </w:r>
    </w:p>
    <w:p>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pgSz w:w="16838" w:h="11906" w:orient="landscape"/>
          <w:pgMar w:top="850" w:right="1134" w:bottom="850" w:left="567"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附件六</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0"/>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附件六《项目部用章》格式</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0"/>
          <w:szCs w:val="36"/>
          <w:highlight w:val="none"/>
          <w:lang w:val="en-US" w:eastAsia="zh-CN"/>
        </w:rPr>
        <w:drawing>
          <wp:inline distT="0" distB="0" distL="114300" distR="114300">
            <wp:extent cx="4476750" cy="3238500"/>
            <wp:effectExtent l="0" t="0" r="0" b="0"/>
            <wp:docPr id="4" name="图片 1" descr="17198028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1719802889972"/>
                    <pic:cNvPicPr>
                      <a:picLocks noChangeAspect="1"/>
                    </pic:cNvPicPr>
                  </pic:nvPicPr>
                  <pic:blipFill>
                    <a:blip r:embed="rId8"/>
                    <a:stretch>
                      <a:fillRect/>
                    </a:stretch>
                  </pic:blipFill>
                  <pic:spPr>
                    <a:xfrm>
                      <a:off x="0" y="0"/>
                      <a:ext cx="4476750" cy="32385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pPr>
        <w:jc w:val="right"/>
        <w:rPr>
          <w:rFonts w:hint="default" w:eastAsia="宋体"/>
          <w:color w:val="auto"/>
          <w:sz w:val="36"/>
          <w:szCs w:val="36"/>
          <w:highlight w:val="yellow"/>
          <w:lang w:val="en-US" w:eastAsia="zh-CN"/>
        </w:rPr>
      </w:pPr>
      <w:r>
        <w:rPr>
          <w:rFonts w:hint="eastAsia"/>
          <w:color w:val="auto"/>
          <w:sz w:val="36"/>
          <w:szCs w:val="36"/>
          <w:highlight w:val="none"/>
          <w:lang w:val="en-US" w:eastAsia="zh-CN"/>
        </w:rPr>
        <w:t>附件七</w:t>
      </w:r>
    </w:p>
    <w:p>
      <w:pPr>
        <w:jc w:val="center"/>
        <w:rPr>
          <w:color w:val="auto"/>
        </w:rPr>
      </w:pPr>
      <w:r>
        <w:rPr>
          <w:color w:val="auto"/>
          <w:sz w:val="44"/>
        </w:rPr>
        <mc:AlternateContent>
          <mc:Choice Requires="wps">
            <w:drawing>
              <wp:anchor distT="0" distB="0" distL="114300" distR="114300" simplePos="0" relativeHeight="251662336"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pPr>
                              <w:rPr>
                                <w:b/>
                                <w:bCs/>
                                <w:sz w:val="30"/>
                                <w:szCs w:val="30"/>
                              </w:rPr>
                            </w:pPr>
                            <w:r>
                              <w:rPr>
                                <w:rFonts w:hint="eastAsia"/>
                                <w:b/>
                                <w:bCs/>
                                <w:sz w:val="30"/>
                                <w:szCs w:val="30"/>
                              </w:rPr>
                              <w:t>No.0000001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2336;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pPr>
                        <w:rPr>
                          <w:b/>
                          <w:bCs/>
                          <w:sz w:val="30"/>
                          <w:szCs w:val="30"/>
                        </w:rPr>
                      </w:pPr>
                      <w:r>
                        <w:rPr>
                          <w:rFonts w:hint="eastAsia"/>
                          <w:b/>
                          <w:bCs/>
                          <w:sz w:val="30"/>
                          <w:szCs w:val="30"/>
                        </w:rPr>
                        <w:t>No.0000001</w:t>
                      </w:r>
                    </w:p>
                  </w:txbxContent>
                </v:textbox>
              </v:shape>
            </w:pict>
          </mc:Fallback>
        </mc:AlternateContent>
      </w:r>
      <w:r>
        <w:rPr>
          <w:rFonts w:hint="eastAsia"/>
          <w:color w:val="auto"/>
          <w:sz w:val="44"/>
          <w:szCs w:val="44"/>
        </w:rPr>
        <w:drawing>
          <wp:inline distT="0" distB="0" distL="114300" distR="114300">
            <wp:extent cx="5977255" cy="673735"/>
            <wp:effectExtent l="0" t="0" r="4445" b="12065"/>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977255" cy="673735"/>
                    </a:xfrm>
                    <a:prstGeom prst="rect">
                      <a:avLst/>
                    </a:prstGeom>
                  </pic:spPr>
                </pic:pic>
              </a:graphicData>
            </a:graphic>
          </wp:inline>
        </w:drawing>
      </w:r>
    </w:p>
    <w:p>
      <w:pPr>
        <w:spacing w:line="480" w:lineRule="exact"/>
        <w:jc w:val="center"/>
        <w:rPr>
          <w:color w:val="auto"/>
          <w:sz w:val="36"/>
          <w:szCs w:val="36"/>
        </w:rPr>
      </w:pPr>
      <w:r>
        <w:rPr>
          <w:rFonts w:hint="eastAsia"/>
          <w:color w:val="auto"/>
          <w:sz w:val="36"/>
          <w:szCs w:val="36"/>
        </w:rPr>
        <w:t>物 料 申 购 单</w:t>
      </w:r>
    </w:p>
    <w:p>
      <w:pPr>
        <w:jc w:val="left"/>
        <w:rPr>
          <w:color w:val="auto"/>
        </w:rPr>
      </w:pPr>
      <w:r>
        <w:rPr>
          <w:rFonts w:hint="eastAsia"/>
          <w:color w:val="auto"/>
        </w:rPr>
        <w:t xml:space="preserve">工程名称：     </w:t>
      </w:r>
      <w:r>
        <w:rPr>
          <w:rFonts w:hint="eastAsia"/>
          <w:color w:val="auto"/>
          <w:lang w:val="en-US" w:eastAsia="zh-CN"/>
        </w:rPr>
        <w:t xml:space="preserve">     </w:t>
      </w:r>
      <w:r>
        <w:rPr>
          <w:rFonts w:hint="eastAsia"/>
          <w:color w:val="auto"/>
        </w:rPr>
        <w:t xml:space="preserve"> 日 期 ：     </w:t>
      </w:r>
      <w:r>
        <w:rPr>
          <w:rFonts w:hint="eastAsia"/>
          <w:color w:val="auto"/>
          <w:lang w:val="en-US" w:eastAsia="zh-CN"/>
        </w:rPr>
        <w:t xml:space="preserve">202 </w:t>
      </w:r>
      <w:r>
        <w:rPr>
          <w:rFonts w:hint="eastAsia"/>
          <w:color w:val="auto"/>
        </w:rPr>
        <w:t xml:space="preserve">年 </w:t>
      </w:r>
      <w:r>
        <w:rPr>
          <w:rFonts w:hint="eastAsia"/>
          <w:color w:val="auto"/>
          <w:lang w:val="en-US" w:eastAsia="zh-CN"/>
        </w:rPr>
        <w:t xml:space="preserve"> </w:t>
      </w:r>
      <w:r>
        <w:rPr>
          <w:rFonts w:hint="eastAsia"/>
          <w:color w:val="auto"/>
        </w:rPr>
        <w:t xml:space="preserve">月  日 </w:t>
      </w:r>
      <w:r>
        <w:rPr>
          <w:rFonts w:hint="eastAsia"/>
          <w:color w:val="auto"/>
          <w:lang w:val="en-US" w:eastAsia="zh-CN"/>
        </w:rPr>
        <w:t xml:space="preserve">   </w:t>
      </w:r>
      <w:r>
        <w:rPr>
          <w:rFonts w:hint="eastAsia"/>
          <w:color w:val="auto"/>
        </w:rPr>
        <w:t>第</w:t>
      </w:r>
      <w:r>
        <w:rPr>
          <w:rFonts w:hint="eastAsia"/>
          <w:color w:val="auto"/>
          <w:lang w:val="en-US" w:eastAsia="zh-CN"/>
        </w:rPr>
        <w:t xml:space="preserve">   </w:t>
      </w:r>
      <w:r>
        <w:rPr>
          <w:rFonts w:hint="eastAsia"/>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pPr>
              <w:jc w:val="center"/>
              <w:rPr>
                <w:rFonts w:eastAsiaTheme="minorEastAsia"/>
                <w:color w:val="auto"/>
              </w:rPr>
            </w:pPr>
            <w:r>
              <w:rPr>
                <w:rFonts w:hint="eastAsia"/>
                <w:color w:val="auto"/>
              </w:rPr>
              <w:t>序号</w:t>
            </w:r>
          </w:p>
        </w:tc>
        <w:tc>
          <w:tcPr>
            <w:tcW w:w="2603" w:type="dxa"/>
            <w:vAlign w:val="center"/>
          </w:tcPr>
          <w:p>
            <w:pPr>
              <w:jc w:val="center"/>
              <w:rPr>
                <w:color w:val="auto"/>
              </w:rPr>
            </w:pPr>
            <w:r>
              <w:rPr>
                <w:rFonts w:hint="eastAsia"/>
                <w:color w:val="auto"/>
              </w:rPr>
              <w:t>材料名称/规格</w:t>
            </w:r>
          </w:p>
        </w:tc>
        <w:tc>
          <w:tcPr>
            <w:tcW w:w="1560" w:type="dxa"/>
            <w:vAlign w:val="center"/>
          </w:tcPr>
          <w:p>
            <w:pPr>
              <w:jc w:val="center"/>
              <w:rPr>
                <w:color w:val="auto"/>
              </w:rPr>
            </w:pPr>
            <w:r>
              <w:rPr>
                <w:rFonts w:hint="eastAsia"/>
                <w:color w:val="auto"/>
              </w:rPr>
              <w:t>数量/单位</w:t>
            </w:r>
          </w:p>
        </w:tc>
        <w:tc>
          <w:tcPr>
            <w:tcW w:w="1335" w:type="dxa"/>
            <w:vAlign w:val="center"/>
          </w:tcPr>
          <w:p>
            <w:pPr>
              <w:jc w:val="center"/>
              <w:rPr>
                <w:color w:val="auto"/>
              </w:rPr>
            </w:pPr>
            <w:r>
              <w:rPr>
                <w:rFonts w:hint="eastAsia"/>
                <w:color w:val="auto"/>
              </w:rPr>
              <w:t>到货日期</w:t>
            </w:r>
          </w:p>
        </w:tc>
        <w:tc>
          <w:tcPr>
            <w:tcW w:w="1515" w:type="dxa"/>
            <w:vAlign w:val="center"/>
          </w:tcPr>
          <w:p>
            <w:pPr>
              <w:jc w:val="center"/>
              <w:rPr>
                <w:color w:val="auto"/>
              </w:rPr>
            </w:pPr>
            <w:r>
              <w:rPr>
                <w:rFonts w:hint="eastAsia"/>
                <w:color w:val="auto"/>
              </w:rPr>
              <w:t>质量要求</w:t>
            </w:r>
          </w:p>
        </w:tc>
        <w:tc>
          <w:tcPr>
            <w:tcW w:w="2174" w:type="dxa"/>
            <w:vAlign w:val="center"/>
          </w:tcPr>
          <w:p>
            <w:pPr>
              <w:jc w:val="center"/>
              <w:rPr>
                <w:color w:val="auto"/>
              </w:rPr>
            </w:pPr>
            <w:r>
              <w:rPr>
                <w:rFonts w:hint="eastAsia"/>
                <w:color w:val="auto"/>
              </w:rPr>
              <w:t>用途等备注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pPr>
              <w:jc w:val="center"/>
              <w:rPr>
                <w:rFonts w:hint="eastAsia" w:eastAsia="宋体"/>
                <w:color w:val="auto"/>
                <w:lang w:val="en-US" w:eastAsia="zh-CN"/>
              </w:rPr>
            </w:pPr>
            <w:r>
              <w:rPr>
                <w:rFonts w:hint="eastAsia"/>
                <w:color w:val="auto"/>
                <w:lang w:val="en-US" w:eastAsia="zh-CN"/>
              </w:rPr>
              <w:t>1</w:t>
            </w:r>
          </w:p>
        </w:tc>
        <w:tc>
          <w:tcPr>
            <w:tcW w:w="2603" w:type="dxa"/>
            <w:vAlign w:val="center"/>
          </w:tcPr>
          <w:p>
            <w:pPr>
              <w:tabs>
                <w:tab w:val="left" w:pos="910"/>
              </w:tabs>
              <w:jc w:val="center"/>
              <w:rPr>
                <w:rFonts w:hint="default" w:ascii="宋体" w:hAnsi="宋体" w:eastAsia="宋体" w:cs="宋体"/>
                <w:color w:val="auto"/>
                <w:kern w:val="2"/>
                <w:sz w:val="21"/>
                <w:szCs w:val="24"/>
                <w:lang w:val="en-US" w:eastAsia="zh-CN" w:bidi="ar-SA"/>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eastAsia="宋体"/>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restart"/>
            <w:vAlign w:val="center"/>
          </w:tcPr>
          <w:p>
            <w:pPr>
              <w:jc w:val="both"/>
              <w:rPr>
                <w:rFonts w:hint="default"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pPr>
              <w:jc w:val="center"/>
              <w:rPr>
                <w:rFonts w:hint="eastAsia" w:eastAsia="宋体"/>
                <w:color w:val="auto"/>
                <w:lang w:val="en-US" w:eastAsia="zh-CN"/>
              </w:rPr>
            </w:pPr>
            <w:r>
              <w:rPr>
                <w:rFonts w:hint="eastAsia"/>
                <w:color w:val="auto"/>
                <w:lang w:val="en-US" w:eastAsia="zh-CN"/>
              </w:rPr>
              <w:t>2</w:t>
            </w:r>
          </w:p>
        </w:tc>
        <w:tc>
          <w:tcPr>
            <w:tcW w:w="2603" w:type="dxa"/>
            <w:vAlign w:val="center"/>
          </w:tcPr>
          <w:p>
            <w:pPr>
              <w:jc w:val="center"/>
              <w:rPr>
                <w:rFonts w:hint="default" w:ascii="宋体" w:hAnsi="宋体" w:eastAsia="宋体" w:cs="宋体"/>
                <w:color w:val="auto"/>
                <w:kern w:val="2"/>
                <w:sz w:val="21"/>
                <w:szCs w:val="24"/>
                <w:lang w:val="en-US" w:eastAsia="zh-CN" w:bidi="ar-SA"/>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eastAsia="宋体"/>
                <w:color w:val="auto"/>
                <w:lang w:val="en-US" w:eastAsia="zh-CN"/>
              </w:rPr>
            </w:pPr>
          </w:p>
        </w:tc>
        <w:tc>
          <w:tcPr>
            <w:tcW w:w="1515" w:type="dxa"/>
            <w:vAlign w:val="center"/>
          </w:tcPr>
          <w:p>
            <w:pPr>
              <w:jc w:val="center"/>
              <w:rPr>
                <w:rFonts w:hint="eastAsia" w:eastAsia="宋体"/>
                <w:color w:val="auto"/>
                <w:lang w:eastAsia="zh-CN"/>
              </w:rPr>
            </w:pPr>
          </w:p>
        </w:tc>
        <w:tc>
          <w:tcPr>
            <w:tcW w:w="2174" w:type="dxa"/>
            <w:vMerge w:val="continue"/>
            <w:vAlign w:val="center"/>
          </w:tcPr>
          <w:p>
            <w:pPr>
              <w:jc w:val="center"/>
              <w:rPr>
                <w:rFonts w:hint="default"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pPr>
              <w:jc w:val="center"/>
              <w:rPr>
                <w:rFonts w:hint="eastAsia" w:eastAsia="宋体"/>
                <w:color w:val="auto"/>
                <w:lang w:val="en-US" w:eastAsia="zh-CN"/>
              </w:rPr>
            </w:pPr>
            <w:r>
              <w:rPr>
                <w:rFonts w:hint="eastAsia"/>
                <w:color w:val="auto"/>
                <w:lang w:val="en-US" w:eastAsia="zh-CN"/>
              </w:rPr>
              <w:t>3</w:t>
            </w:r>
          </w:p>
        </w:tc>
        <w:tc>
          <w:tcPr>
            <w:tcW w:w="2603" w:type="dxa"/>
            <w:vAlign w:val="center"/>
          </w:tcPr>
          <w:p>
            <w:pPr>
              <w:jc w:val="center"/>
              <w:rPr>
                <w:rFonts w:hint="default" w:ascii="宋体" w:hAnsi="宋体" w:eastAsia="宋体" w:cs="宋体"/>
                <w:color w:val="auto"/>
                <w:kern w:val="2"/>
                <w:sz w:val="21"/>
                <w:szCs w:val="24"/>
                <w:lang w:val="en-US" w:eastAsia="zh-CN" w:bidi="ar-SA"/>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ascii="Calibri" w:hAnsi="Calibri" w:eastAsia="宋体" w:cs="宋体"/>
                <w:color w:val="auto"/>
                <w:kern w:val="2"/>
                <w:sz w:val="21"/>
                <w:szCs w:val="24"/>
                <w:lang w:val="en-US" w:eastAsia="zh-CN" w:bidi="ar-SA"/>
              </w:rPr>
            </w:pPr>
          </w:p>
        </w:tc>
        <w:tc>
          <w:tcPr>
            <w:tcW w:w="1515" w:type="dxa"/>
            <w:vAlign w:val="center"/>
          </w:tcPr>
          <w:p>
            <w:pPr>
              <w:jc w:val="center"/>
              <w:rPr>
                <w:rFonts w:hint="eastAsia" w:eastAsia="宋体"/>
                <w:color w:val="auto"/>
                <w:lang w:val="en-US" w:eastAsia="zh-CN"/>
              </w:rPr>
            </w:pPr>
          </w:p>
        </w:tc>
        <w:tc>
          <w:tcPr>
            <w:tcW w:w="2174" w:type="dxa"/>
            <w:vMerge w:val="continue"/>
            <w:vAlign w:val="center"/>
          </w:tcPr>
          <w:p>
            <w:pPr>
              <w:jc w:val="center"/>
              <w:rPr>
                <w:rFonts w:hint="default"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pPr>
              <w:jc w:val="center"/>
              <w:rPr>
                <w:rFonts w:hint="eastAsia" w:eastAsia="宋体"/>
                <w:color w:val="auto"/>
                <w:lang w:val="en-US" w:eastAsia="zh-CN"/>
              </w:rPr>
            </w:pPr>
            <w:r>
              <w:rPr>
                <w:rFonts w:hint="eastAsia"/>
                <w:color w:val="auto"/>
                <w:lang w:val="en-US" w:eastAsia="zh-CN"/>
              </w:rPr>
              <w:t>4</w:t>
            </w:r>
          </w:p>
        </w:tc>
        <w:tc>
          <w:tcPr>
            <w:tcW w:w="2603" w:type="dxa"/>
            <w:vAlign w:val="center"/>
          </w:tcPr>
          <w:p>
            <w:pPr>
              <w:jc w:val="center"/>
              <w:rPr>
                <w:rFonts w:hint="default" w:ascii="宋体" w:hAnsi="宋体" w:eastAsia="宋体" w:cs="宋体"/>
                <w:color w:val="auto"/>
                <w:kern w:val="2"/>
                <w:sz w:val="21"/>
                <w:szCs w:val="24"/>
                <w:lang w:val="en-US" w:eastAsia="zh-CN" w:bidi="ar-SA"/>
              </w:rPr>
            </w:pPr>
          </w:p>
        </w:tc>
        <w:tc>
          <w:tcPr>
            <w:tcW w:w="1560" w:type="dxa"/>
            <w:vAlign w:val="center"/>
          </w:tcPr>
          <w:p>
            <w:pPr>
              <w:jc w:val="center"/>
              <w:rPr>
                <w:rFonts w:hint="default" w:ascii="Calibri" w:hAnsi="Calibri" w:eastAsia="宋体" w:cs="宋体"/>
                <w:color w:val="auto"/>
                <w:kern w:val="2"/>
                <w:sz w:val="21"/>
                <w:szCs w:val="24"/>
                <w:lang w:val="en-US" w:eastAsia="zh-CN" w:bidi="ar-SA"/>
              </w:rPr>
            </w:pPr>
          </w:p>
        </w:tc>
        <w:tc>
          <w:tcPr>
            <w:tcW w:w="1335" w:type="dxa"/>
            <w:vAlign w:val="center"/>
          </w:tcPr>
          <w:p>
            <w:pPr>
              <w:jc w:val="center"/>
              <w:rPr>
                <w:rFonts w:hint="default" w:ascii="Calibri" w:hAnsi="Calibri" w:eastAsia="宋体" w:cs="宋体"/>
                <w:color w:val="auto"/>
                <w:kern w:val="2"/>
                <w:sz w:val="21"/>
                <w:szCs w:val="24"/>
                <w:lang w:val="en-US" w:eastAsia="zh-CN" w:bidi="ar-SA"/>
              </w:rPr>
            </w:pPr>
          </w:p>
        </w:tc>
        <w:tc>
          <w:tcPr>
            <w:tcW w:w="1515" w:type="dxa"/>
            <w:vAlign w:val="center"/>
          </w:tcPr>
          <w:p>
            <w:pPr>
              <w:jc w:val="center"/>
              <w:rPr>
                <w:rFonts w:hint="eastAsia" w:eastAsia="宋体"/>
                <w:color w:val="auto"/>
                <w:lang w:eastAsia="zh-CN"/>
              </w:rPr>
            </w:pPr>
          </w:p>
        </w:tc>
        <w:tc>
          <w:tcPr>
            <w:tcW w:w="2174" w:type="dxa"/>
            <w:vMerge w:val="continue"/>
            <w:vAlign w:val="center"/>
          </w:tcPr>
          <w:p>
            <w:pPr>
              <w:jc w:val="center"/>
              <w:rPr>
                <w:rFonts w:hint="default"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pPr>
              <w:jc w:val="center"/>
              <w:rPr>
                <w:rFonts w:hint="default"/>
                <w:color w:val="auto"/>
                <w:lang w:val="en-US" w:eastAsia="zh-CN"/>
              </w:rPr>
            </w:pPr>
            <w:r>
              <w:rPr>
                <w:rFonts w:hint="eastAsia"/>
                <w:color w:val="auto"/>
                <w:lang w:val="en-US" w:eastAsia="zh-CN"/>
              </w:rPr>
              <w:t>5</w:t>
            </w:r>
          </w:p>
        </w:tc>
        <w:tc>
          <w:tcPr>
            <w:tcW w:w="2603" w:type="dxa"/>
            <w:vAlign w:val="center"/>
          </w:tcPr>
          <w:p>
            <w:pPr>
              <w:jc w:val="center"/>
              <w:rPr>
                <w:rFonts w:hint="default" w:ascii="Calibri" w:hAnsi="Calibri" w:eastAsia="宋体" w:cs="Calibri"/>
                <w:color w:val="auto"/>
                <w:kern w:val="2"/>
                <w:sz w:val="21"/>
                <w:szCs w:val="24"/>
                <w:lang w:val="en-US" w:eastAsia="zh-CN" w:bidi="ar-SA"/>
              </w:rPr>
            </w:pPr>
          </w:p>
        </w:tc>
        <w:tc>
          <w:tcPr>
            <w:tcW w:w="1560" w:type="dxa"/>
            <w:vAlign w:val="center"/>
          </w:tcPr>
          <w:p>
            <w:pPr>
              <w:jc w:val="center"/>
              <w:rPr>
                <w:rFonts w:hint="eastAsia" w:ascii="Calibri" w:hAnsi="Calibri" w:eastAsia="宋体" w:cs="宋体"/>
                <w:color w:val="auto"/>
                <w:kern w:val="2"/>
                <w:sz w:val="21"/>
                <w:szCs w:val="24"/>
                <w:lang w:val="en-US" w:eastAsia="zh-CN" w:bidi="ar-SA"/>
              </w:rPr>
            </w:pPr>
          </w:p>
        </w:tc>
        <w:tc>
          <w:tcPr>
            <w:tcW w:w="1335" w:type="dxa"/>
            <w:vAlign w:val="center"/>
          </w:tcPr>
          <w:p>
            <w:pPr>
              <w:jc w:val="center"/>
              <w:rPr>
                <w:rFonts w:hint="default" w:ascii="Calibri" w:hAnsi="Calibri" w:eastAsia="宋体" w:cs="宋体"/>
                <w:color w:val="auto"/>
                <w:kern w:val="2"/>
                <w:sz w:val="21"/>
                <w:szCs w:val="24"/>
                <w:lang w:val="en-US" w:eastAsia="zh-CN" w:bidi="ar-SA"/>
              </w:rPr>
            </w:pPr>
          </w:p>
        </w:tc>
        <w:tc>
          <w:tcPr>
            <w:tcW w:w="1515" w:type="dxa"/>
            <w:vAlign w:val="center"/>
          </w:tcPr>
          <w:p>
            <w:pPr>
              <w:jc w:val="center"/>
              <w:rPr>
                <w:rFonts w:hint="eastAsia" w:ascii="Calibri" w:hAnsi="Calibri" w:eastAsia="宋体" w:cs="宋体"/>
                <w:color w:val="auto"/>
                <w:kern w:val="2"/>
                <w:sz w:val="21"/>
                <w:szCs w:val="24"/>
                <w:lang w:val="en-US" w:eastAsia="zh-CN" w:bidi="ar-SA"/>
              </w:rPr>
            </w:pPr>
          </w:p>
        </w:tc>
        <w:tc>
          <w:tcPr>
            <w:tcW w:w="2174" w:type="dxa"/>
            <w:vMerge w:val="continue"/>
            <w:vAlign w:val="center"/>
          </w:tcPr>
          <w:p>
            <w:pPr>
              <w:jc w:val="center"/>
              <w:rPr>
                <w:rFonts w:hint="default"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pPr>
              <w:jc w:val="center"/>
              <w:rPr>
                <w:rFonts w:hint="default" w:eastAsia="宋体"/>
                <w:color w:val="auto"/>
                <w:lang w:val="en-US" w:eastAsia="zh-CN"/>
              </w:rPr>
            </w:pPr>
            <w:r>
              <w:rPr>
                <w:rFonts w:hint="eastAsia"/>
                <w:color w:val="auto"/>
                <w:lang w:val="en-US" w:eastAsia="zh-CN"/>
              </w:rPr>
              <w:t>6</w:t>
            </w:r>
          </w:p>
        </w:tc>
        <w:tc>
          <w:tcPr>
            <w:tcW w:w="2603" w:type="dxa"/>
            <w:vAlign w:val="center"/>
          </w:tcPr>
          <w:p>
            <w:pPr>
              <w:jc w:val="center"/>
              <w:rPr>
                <w:rFonts w:hint="default" w:ascii="宋体" w:hAnsi="宋体" w:eastAsia="宋体" w:cs="宋体"/>
                <w:color w:val="auto"/>
                <w:kern w:val="2"/>
                <w:sz w:val="21"/>
                <w:szCs w:val="24"/>
                <w:lang w:val="en-US" w:eastAsia="zh-CN" w:bidi="ar-SA"/>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eastAsia" w:ascii="Calibri" w:hAnsi="Calibri" w:eastAsia="宋体" w:cs="宋体"/>
                <w:color w:val="auto"/>
                <w:kern w:val="2"/>
                <w:sz w:val="21"/>
                <w:szCs w:val="24"/>
                <w:lang w:val="en-US" w:eastAsia="zh-CN" w:bidi="ar-SA"/>
              </w:rPr>
            </w:pPr>
          </w:p>
        </w:tc>
        <w:tc>
          <w:tcPr>
            <w:tcW w:w="1515" w:type="dxa"/>
            <w:vAlign w:val="center"/>
          </w:tcPr>
          <w:p>
            <w:pPr>
              <w:jc w:val="center"/>
              <w:rPr>
                <w:rFonts w:hint="eastAsia" w:eastAsia="宋体"/>
                <w:color w:val="auto"/>
                <w:lang w:eastAsia="zh-CN"/>
              </w:rPr>
            </w:pPr>
          </w:p>
        </w:tc>
        <w:tc>
          <w:tcPr>
            <w:tcW w:w="2174" w:type="dxa"/>
            <w:vMerge w:val="restart"/>
            <w:vAlign w:val="center"/>
          </w:tcPr>
          <w:p>
            <w:pPr>
              <w:jc w:val="cente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pPr>
              <w:jc w:val="center"/>
              <w:rPr>
                <w:rFonts w:hint="default"/>
                <w:color w:val="auto"/>
                <w:lang w:val="en-US" w:eastAsia="zh-CN"/>
              </w:rPr>
            </w:pPr>
            <w:r>
              <w:rPr>
                <w:rFonts w:hint="eastAsia"/>
                <w:color w:val="auto"/>
                <w:lang w:val="en-US" w:eastAsia="zh-CN"/>
              </w:rPr>
              <w:t>7</w:t>
            </w:r>
          </w:p>
        </w:tc>
        <w:tc>
          <w:tcPr>
            <w:tcW w:w="2603" w:type="dxa"/>
            <w:vAlign w:val="center"/>
          </w:tcPr>
          <w:p>
            <w:pPr>
              <w:jc w:val="center"/>
              <w:rPr>
                <w:rFonts w:hint="default" w:eastAsia="宋体"/>
                <w:color w:val="auto"/>
                <w:lang w:val="en-US" w:eastAsia="zh-CN"/>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ascii="Calibri" w:hAnsi="Calibri" w:eastAsia="宋体" w:cs="宋体"/>
                <w:color w:val="auto"/>
                <w:kern w:val="2"/>
                <w:sz w:val="21"/>
                <w:szCs w:val="24"/>
                <w:lang w:val="en-US" w:eastAsia="zh-CN" w:bidi="ar-SA"/>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pPr>
              <w:jc w:val="center"/>
              <w:rPr>
                <w:rFonts w:hint="default"/>
                <w:color w:val="auto"/>
                <w:lang w:val="en-US" w:eastAsia="zh-CN"/>
              </w:rPr>
            </w:pPr>
            <w:r>
              <w:rPr>
                <w:rFonts w:hint="eastAsia"/>
                <w:color w:val="auto"/>
                <w:lang w:val="en-US" w:eastAsia="zh-CN"/>
              </w:rPr>
              <w:t>8</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ascii="Calibri" w:hAnsi="Calibri" w:eastAsia="宋体" w:cs="宋体"/>
                <w:color w:val="auto"/>
                <w:kern w:val="2"/>
                <w:sz w:val="21"/>
                <w:szCs w:val="24"/>
                <w:lang w:val="en-US" w:eastAsia="zh-CN" w:bidi="ar-SA"/>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ascii="Calibri" w:hAnsi="Calibri" w:eastAsia="宋体" w:cs="宋体"/>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pPr>
              <w:jc w:val="center"/>
              <w:rPr>
                <w:rFonts w:hint="default"/>
                <w:color w:val="auto"/>
                <w:lang w:val="en-US" w:eastAsia="zh-CN"/>
              </w:rPr>
            </w:pPr>
            <w:r>
              <w:rPr>
                <w:rFonts w:hint="eastAsia"/>
                <w:color w:val="auto"/>
                <w:lang w:val="en-US" w:eastAsia="zh-CN"/>
              </w:rPr>
              <w:t>9</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ascii="Calibri" w:hAnsi="Calibri" w:eastAsia="宋体" w:cs="宋体"/>
                <w:color w:val="auto"/>
                <w:kern w:val="2"/>
                <w:sz w:val="21"/>
                <w:szCs w:val="24"/>
                <w:lang w:val="en-US" w:eastAsia="zh-CN" w:bidi="ar-SA"/>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pPr>
              <w:jc w:val="center"/>
              <w:rPr>
                <w:rFonts w:hint="default"/>
                <w:color w:val="auto"/>
                <w:lang w:val="en-US" w:eastAsia="zh-CN"/>
              </w:rPr>
            </w:pPr>
            <w:r>
              <w:rPr>
                <w:rFonts w:hint="eastAsia"/>
                <w:color w:val="auto"/>
                <w:lang w:val="en-US" w:eastAsia="zh-CN"/>
              </w:rPr>
              <w:t>10</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eastAsia="宋体"/>
                <w:color w:val="auto"/>
                <w:lang w:val="en-US" w:eastAsia="zh-CN"/>
              </w:rPr>
            </w:pPr>
          </w:p>
        </w:tc>
        <w:tc>
          <w:tcPr>
            <w:tcW w:w="1335" w:type="dxa"/>
            <w:vAlign w:val="center"/>
          </w:tcPr>
          <w:p>
            <w:pPr>
              <w:jc w:val="center"/>
              <w:rPr>
                <w:rFonts w:hint="default" w:eastAsia="宋体"/>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pPr>
              <w:jc w:val="center"/>
              <w:rPr>
                <w:rFonts w:hint="default"/>
                <w:color w:val="auto"/>
                <w:lang w:val="en-US" w:eastAsia="zh-CN"/>
              </w:rPr>
            </w:pPr>
            <w:r>
              <w:rPr>
                <w:rFonts w:hint="eastAsia"/>
                <w:color w:val="auto"/>
                <w:lang w:val="en-US" w:eastAsia="zh-CN"/>
              </w:rPr>
              <w:t>11</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pPr>
              <w:jc w:val="center"/>
              <w:rPr>
                <w:rFonts w:hint="default"/>
                <w:color w:val="auto"/>
                <w:lang w:val="en-US" w:eastAsia="zh-CN"/>
              </w:rPr>
            </w:pPr>
            <w:r>
              <w:rPr>
                <w:rFonts w:hint="eastAsia"/>
                <w:color w:val="auto"/>
                <w:lang w:val="en-US" w:eastAsia="zh-CN"/>
              </w:rPr>
              <w:t>12</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pPr>
              <w:jc w:val="center"/>
              <w:rPr>
                <w:rFonts w:hint="default"/>
                <w:color w:val="auto"/>
                <w:lang w:val="en-US" w:eastAsia="zh-CN"/>
              </w:rPr>
            </w:pPr>
            <w:r>
              <w:rPr>
                <w:rFonts w:hint="eastAsia"/>
                <w:color w:val="auto"/>
                <w:lang w:val="en-US" w:eastAsia="zh-CN"/>
              </w:rPr>
              <w:t>13</w:t>
            </w:r>
          </w:p>
        </w:tc>
        <w:tc>
          <w:tcPr>
            <w:tcW w:w="2603" w:type="dxa"/>
            <w:vAlign w:val="center"/>
          </w:tcPr>
          <w:p>
            <w:pPr>
              <w:tabs>
                <w:tab w:val="left" w:pos="631"/>
              </w:tabs>
              <w:jc w:val="left"/>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pPr>
              <w:jc w:val="center"/>
              <w:rPr>
                <w:rFonts w:hint="default"/>
                <w:color w:val="auto"/>
                <w:lang w:val="en-US" w:eastAsia="zh-CN"/>
              </w:rPr>
            </w:pPr>
            <w:r>
              <w:rPr>
                <w:rFonts w:hint="eastAsia"/>
                <w:color w:val="auto"/>
                <w:lang w:val="en-US" w:eastAsia="zh-CN"/>
              </w:rPr>
              <w:t>14</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pPr>
              <w:jc w:val="center"/>
              <w:rPr>
                <w:rFonts w:hint="default"/>
                <w:color w:val="auto"/>
                <w:lang w:val="en-US" w:eastAsia="zh-CN"/>
              </w:rPr>
            </w:pPr>
            <w:r>
              <w:rPr>
                <w:rFonts w:hint="eastAsia"/>
                <w:color w:val="auto"/>
                <w:lang w:val="en-US" w:eastAsia="zh-CN"/>
              </w:rPr>
              <w:t>15</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pPr>
              <w:jc w:val="center"/>
              <w:rPr>
                <w:rFonts w:hint="default"/>
                <w:color w:val="auto"/>
                <w:lang w:val="en-US" w:eastAsia="zh-CN"/>
              </w:rPr>
            </w:pPr>
            <w:r>
              <w:rPr>
                <w:rFonts w:hint="eastAsia"/>
                <w:color w:val="auto"/>
                <w:lang w:val="en-US" w:eastAsia="zh-CN"/>
              </w:rPr>
              <w:t>16</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pPr>
              <w:jc w:val="center"/>
              <w:rPr>
                <w:rFonts w:hint="default"/>
                <w:color w:val="auto"/>
                <w:lang w:val="en-US" w:eastAsia="zh-CN"/>
              </w:rPr>
            </w:pPr>
            <w:r>
              <w:rPr>
                <w:rFonts w:hint="eastAsia"/>
                <w:color w:val="auto"/>
                <w:lang w:val="en-US" w:eastAsia="zh-CN"/>
              </w:rPr>
              <w:t>17</w:t>
            </w:r>
          </w:p>
        </w:tc>
        <w:tc>
          <w:tcPr>
            <w:tcW w:w="2603" w:type="dxa"/>
            <w:vAlign w:val="center"/>
          </w:tcPr>
          <w:p>
            <w:pPr>
              <w:jc w:val="center"/>
              <w:rPr>
                <w:rFonts w:hint="eastAsia" w:eastAsia="宋体"/>
                <w:color w:val="auto"/>
                <w:lang w:val="en-US" w:eastAsia="zh-CN"/>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pPr>
              <w:jc w:val="center"/>
              <w:rPr>
                <w:rFonts w:hint="default"/>
                <w:color w:val="auto"/>
                <w:lang w:val="en-US" w:eastAsia="zh-CN"/>
              </w:rPr>
            </w:pPr>
            <w:r>
              <w:rPr>
                <w:rFonts w:hint="eastAsia"/>
                <w:color w:val="auto"/>
                <w:lang w:val="en-US" w:eastAsia="zh-CN"/>
              </w:rPr>
              <w:t>18</w:t>
            </w:r>
          </w:p>
        </w:tc>
        <w:tc>
          <w:tcPr>
            <w:tcW w:w="2603" w:type="dxa"/>
            <w:vAlign w:val="center"/>
          </w:tcPr>
          <w:p>
            <w:pPr>
              <w:jc w:val="center"/>
              <w:rPr>
                <w:rFonts w:hint="default" w:ascii="Calibri" w:hAnsi="Calibri" w:cs="Calibri"/>
                <w:color w:val="auto"/>
                <w:kern w:val="2"/>
                <w:sz w:val="21"/>
                <w:szCs w:val="24"/>
                <w:lang w:val="en-US" w:eastAsia="zh-CN" w:bidi="ar-SA"/>
              </w:rPr>
            </w:pPr>
          </w:p>
        </w:tc>
        <w:tc>
          <w:tcPr>
            <w:tcW w:w="1560" w:type="dxa"/>
            <w:vAlign w:val="center"/>
          </w:tcPr>
          <w:p>
            <w:pPr>
              <w:jc w:val="center"/>
              <w:rPr>
                <w:rFonts w:hint="default"/>
                <w:color w:val="auto"/>
                <w:lang w:val="en-US" w:eastAsia="zh-CN"/>
              </w:rPr>
            </w:pPr>
          </w:p>
        </w:tc>
        <w:tc>
          <w:tcPr>
            <w:tcW w:w="1335" w:type="dxa"/>
            <w:vAlign w:val="center"/>
          </w:tcPr>
          <w:p>
            <w:pPr>
              <w:jc w:val="center"/>
              <w:rPr>
                <w:rFonts w:hint="default"/>
                <w:color w:val="auto"/>
                <w:lang w:val="en-US" w:eastAsia="zh-CN"/>
              </w:rPr>
            </w:pPr>
          </w:p>
        </w:tc>
        <w:tc>
          <w:tcPr>
            <w:tcW w:w="1515" w:type="dxa"/>
            <w:vAlign w:val="center"/>
          </w:tcPr>
          <w:p>
            <w:pPr>
              <w:jc w:val="center"/>
              <w:rPr>
                <w:rFonts w:hint="default" w:eastAsia="宋体"/>
                <w:color w:val="auto"/>
                <w:lang w:val="en-US" w:eastAsia="zh-CN"/>
              </w:rPr>
            </w:pPr>
          </w:p>
        </w:tc>
        <w:tc>
          <w:tcPr>
            <w:tcW w:w="2174" w:type="dxa"/>
            <w:vMerge w:val="continue"/>
            <w:vAlign w:val="center"/>
          </w:tcPr>
          <w:p>
            <w:pPr>
              <w:jc w:val="center"/>
              <w:rPr>
                <w:rFonts w:hint="eastAsia" w:eastAsia="宋体"/>
                <w:color w:val="auto"/>
                <w:lang w:eastAsia="zh-CN"/>
              </w:rPr>
            </w:pPr>
          </w:p>
        </w:tc>
      </w:tr>
    </w:tbl>
    <w:p>
      <w:pPr>
        <w:jc w:val="left"/>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1312;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pPr>
                        <w:jc w:val="center"/>
                        <w:rPr>
                          <w:rFonts w:eastAsiaTheme="minorEastAsia"/>
                          <w:szCs w:val="21"/>
                        </w:rPr>
                      </w:pPr>
                      <w:r>
                        <w:rPr>
                          <w:rFonts w:hint="eastAsia"/>
                          <w:szCs w:val="21"/>
                        </w:rPr>
                        <w:t>一 存根（白）二 财务（红）三 顾客（绿）</w:t>
                      </w:r>
                    </w:p>
                  </w:txbxContent>
                </v:textbox>
              </v:shape>
            </w:pict>
          </mc:Fallback>
        </mc:AlternateContent>
      </w:r>
    </w:p>
    <w:p>
      <w:pPr>
        <w:jc w:val="right"/>
        <w:rPr>
          <w:rFonts w:hint="eastAsia" w:ascii="宋体" w:hAnsi="宋体"/>
          <w:color w:val="auto"/>
        </w:rPr>
      </w:pPr>
      <w:r>
        <w:rPr>
          <w:rFonts w:hint="eastAsia" w:ascii="宋体" w:hAnsi="宋体"/>
          <w:color w:val="auto"/>
          <w:sz w:val="18"/>
          <w:szCs w:val="18"/>
        </w:rPr>
        <w:t>审批人：（项目经理）           审核人：（项目副经理</w:t>
      </w:r>
      <w:r>
        <w:rPr>
          <w:rFonts w:hint="eastAsia" w:ascii="宋体" w:hAnsi="宋体"/>
          <w:color w:val="auto"/>
          <w:sz w:val="18"/>
          <w:szCs w:val="18"/>
          <w:lang w:val="en-US" w:eastAsia="zh-CN"/>
        </w:rPr>
        <w:t>/技术负责人</w:t>
      </w:r>
      <w:r>
        <w:rPr>
          <w:rFonts w:hint="eastAsia" w:ascii="宋体" w:hAnsi="宋体"/>
          <w:color w:val="auto"/>
          <w:sz w:val="18"/>
          <w:szCs w:val="18"/>
          <w:lang w:eastAsia="zh-CN"/>
        </w:rPr>
        <w:t>）</w:t>
      </w:r>
      <w:r>
        <w:rPr>
          <w:rFonts w:hint="eastAsia" w:ascii="宋体" w:hAnsi="宋体"/>
          <w:color w:val="auto"/>
          <w:sz w:val="18"/>
          <w:szCs w:val="18"/>
          <w:lang w:val="en-US" w:eastAsia="zh-CN"/>
        </w:rPr>
        <w:t xml:space="preserve">           </w:t>
      </w:r>
      <w:r>
        <w:rPr>
          <w:rFonts w:hint="eastAsia" w:ascii="宋体" w:hAnsi="宋体"/>
          <w:color w:val="auto"/>
          <w:sz w:val="18"/>
          <w:szCs w:val="18"/>
        </w:rPr>
        <w:t>编制人：（栋号施工员</w:t>
      </w:r>
      <w:r>
        <w:rPr>
          <w:rFonts w:hint="eastAsia" w:ascii="宋体" w:hAnsi="宋体"/>
          <w:color w:val="auto"/>
          <w:sz w:val="18"/>
          <w:szCs w:val="18"/>
          <w:lang w:val="en-US" w:eastAsia="zh-CN"/>
        </w:rPr>
        <w:t>/</w:t>
      </w:r>
      <w:r>
        <w:rPr>
          <w:rFonts w:hint="eastAsia" w:ascii="宋体" w:hAnsi="宋体"/>
          <w:color w:val="auto"/>
          <w:sz w:val="18"/>
          <w:szCs w:val="18"/>
          <w:lang w:eastAsia="zh-CN"/>
        </w:rPr>
        <w:t>仓管员</w:t>
      </w:r>
      <w:r>
        <w:rPr>
          <w:rFonts w:hint="eastAsia" w:ascii="宋体" w:hAnsi="宋体"/>
          <w:color w:val="auto"/>
          <w:sz w:val="18"/>
          <w:szCs w:val="18"/>
          <w:lang w:val="en-US" w:eastAsia="zh-CN"/>
        </w:rPr>
        <w:t>/</w:t>
      </w:r>
      <w:r>
        <w:rPr>
          <w:rFonts w:hint="eastAsia" w:ascii="宋体" w:hAnsi="宋体"/>
          <w:color w:val="auto"/>
          <w:sz w:val="18"/>
          <w:szCs w:val="18"/>
          <w:lang w:eastAsia="zh-CN"/>
        </w:rPr>
        <w:t>使用人</w:t>
      </w:r>
      <w:r>
        <w:rPr>
          <w:rFonts w:hint="eastAsia" w:ascii="宋体" w:hAnsi="宋体"/>
          <w:color w:val="auto"/>
        </w:rPr>
        <w:t>）</w:t>
      </w:r>
    </w:p>
    <w:p>
      <w:pPr>
        <w:jc w:val="right"/>
        <w:rPr>
          <w:rFonts w:hint="eastAsia" w:ascii="宋体" w:hAnsi="宋体"/>
          <w:color w:val="auto"/>
        </w:rPr>
      </w:pPr>
    </w:p>
    <w:p>
      <w:pPr>
        <w:tabs>
          <w:tab w:val="right" w:pos="15138"/>
        </w:tabs>
        <w:jc w:val="left"/>
        <w:rPr>
          <w:rFonts w:hint="eastAsia" w:ascii="仿宋" w:hAnsi="仿宋" w:eastAsia="仿宋" w:cs="仿宋"/>
          <w:b/>
          <w:bCs/>
          <w:color w:val="auto"/>
          <w:sz w:val="30"/>
          <w:highlight w:val="none"/>
          <w:lang w:val="en-US" w:eastAsia="zh-CN"/>
        </w:rPr>
      </w:pPr>
    </w:p>
    <w:sectPr>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STvs3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4DFE4"/>
    <w:multiLevelType w:val="multilevel"/>
    <w:tmpl w:val="9004DFE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MmM3OTFjYzUzZjJiNjQ5YjkwMDcwODdiYWIwZTEifQ=="/>
  </w:docVars>
  <w:rsids>
    <w:rsidRoot w:val="00000000"/>
    <w:rsid w:val="00133387"/>
    <w:rsid w:val="001D4206"/>
    <w:rsid w:val="0022181C"/>
    <w:rsid w:val="00240114"/>
    <w:rsid w:val="00247343"/>
    <w:rsid w:val="003F23CE"/>
    <w:rsid w:val="00494FFB"/>
    <w:rsid w:val="0055574E"/>
    <w:rsid w:val="006308AB"/>
    <w:rsid w:val="006911F9"/>
    <w:rsid w:val="00732078"/>
    <w:rsid w:val="007E18FF"/>
    <w:rsid w:val="00863B59"/>
    <w:rsid w:val="008878D1"/>
    <w:rsid w:val="00942D05"/>
    <w:rsid w:val="00A87DE8"/>
    <w:rsid w:val="00B0507A"/>
    <w:rsid w:val="00BC757B"/>
    <w:rsid w:val="00D72607"/>
    <w:rsid w:val="00DC2680"/>
    <w:rsid w:val="01037573"/>
    <w:rsid w:val="01286562"/>
    <w:rsid w:val="012F2443"/>
    <w:rsid w:val="012F2B13"/>
    <w:rsid w:val="01305439"/>
    <w:rsid w:val="01325A8F"/>
    <w:rsid w:val="01326F3B"/>
    <w:rsid w:val="01351803"/>
    <w:rsid w:val="0156177E"/>
    <w:rsid w:val="015D207C"/>
    <w:rsid w:val="016814B1"/>
    <w:rsid w:val="01791910"/>
    <w:rsid w:val="017B7436"/>
    <w:rsid w:val="019978BC"/>
    <w:rsid w:val="01A71FD9"/>
    <w:rsid w:val="01AD3795"/>
    <w:rsid w:val="0210376E"/>
    <w:rsid w:val="02217FDE"/>
    <w:rsid w:val="02471A55"/>
    <w:rsid w:val="024E06A7"/>
    <w:rsid w:val="02895B83"/>
    <w:rsid w:val="0290648C"/>
    <w:rsid w:val="02A52D67"/>
    <w:rsid w:val="03024286"/>
    <w:rsid w:val="03061542"/>
    <w:rsid w:val="031418F0"/>
    <w:rsid w:val="03416159"/>
    <w:rsid w:val="03495361"/>
    <w:rsid w:val="03562E11"/>
    <w:rsid w:val="035F2640"/>
    <w:rsid w:val="036C617D"/>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515604A"/>
    <w:rsid w:val="05235E1B"/>
    <w:rsid w:val="05241B93"/>
    <w:rsid w:val="05571F68"/>
    <w:rsid w:val="055E32F7"/>
    <w:rsid w:val="055E648D"/>
    <w:rsid w:val="0563090D"/>
    <w:rsid w:val="058F1702"/>
    <w:rsid w:val="05B00870"/>
    <w:rsid w:val="05B94582"/>
    <w:rsid w:val="05CF7D50"/>
    <w:rsid w:val="05DC29A4"/>
    <w:rsid w:val="05E7046B"/>
    <w:rsid w:val="062A142B"/>
    <w:rsid w:val="062A31D9"/>
    <w:rsid w:val="06456265"/>
    <w:rsid w:val="064C13A1"/>
    <w:rsid w:val="065F1493"/>
    <w:rsid w:val="066A43D4"/>
    <w:rsid w:val="06994288"/>
    <w:rsid w:val="069A3EBB"/>
    <w:rsid w:val="069D0714"/>
    <w:rsid w:val="06B3319E"/>
    <w:rsid w:val="06B524FE"/>
    <w:rsid w:val="06CB49BC"/>
    <w:rsid w:val="06DB3895"/>
    <w:rsid w:val="06DC0977"/>
    <w:rsid w:val="070B4DB8"/>
    <w:rsid w:val="071E2D3E"/>
    <w:rsid w:val="071F6AB6"/>
    <w:rsid w:val="07222102"/>
    <w:rsid w:val="072916E2"/>
    <w:rsid w:val="07351E35"/>
    <w:rsid w:val="074D44A4"/>
    <w:rsid w:val="076444C8"/>
    <w:rsid w:val="078F7797"/>
    <w:rsid w:val="079B2A89"/>
    <w:rsid w:val="079C1EB4"/>
    <w:rsid w:val="07E838FA"/>
    <w:rsid w:val="08005A40"/>
    <w:rsid w:val="084762C4"/>
    <w:rsid w:val="08564322"/>
    <w:rsid w:val="085D5AE7"/>
    <w:rsid w:val="087A1BF2"/>
    <w:rsid w:val="088C6DAF"/>
    <w:rsid w:val="08E04023"/>
    <w:rsid w:val="08EE7CFD"/>
    <w:rsid w:val="08EF01D5"/>
    <w:rsid w:val="08FD1E97"/>
    <w:rsid w:val="09261E03"/>
    <w:rsid w:val="094B5940"/>
    <w:rsid w:val="0960032A"/>
    <w:rsid w:val="09615163"/>
    <w:rsid w:val="096D58B6"/>
    <w:rsid w:val="097F1A8E"/>
    <w:rsid w:val="09886B94"/>
    <w:rsid w:val="09A56D66"/>
    <w:rsid w:val="09BA4874"/>
    <w:rsid w:val="09C5399F"/>
    <w:rsid w:val="09D73678"/>
    <w:rsid w:val="09DF42DA"/>
    <w:rsid w:val="09FA34EB"/>
    <w:rsid w:val="0A026946"/>
    <w:rsid w:val="0A200B7B"/>
    <w:rsid w:val="0A624FB9"/>
    <w:rsid w:val="0A692F6B"/>
    <w:rsid w:val="0A7635CA"/>
    <w:rsid w:val="0AA30A0F"/>
    <w:rsid w:val="0AA95014"/>
    <w:rsid w:val="0AB72067"/>
    <w:rsid w:val="0ABF20F1"/>
    <w:rsid w:val="0ACC485F"/>
    <w:rsid w:val="0AD11E75"/>
    <w:rsid w:val="0AE127A9"/>
    <w:rsid w:val="0AFA761E"/>
    <w:rsid w:val="0B2E0F81"/>
    <w:rsid w:val="0B602DC9"/>
    <w:rsid w:val="0B61144B"/>
    <w:rsid w:val="0B732F2C"/>
    <w:rsid w:val="0B865355"/>
    <w:rsid w:val="0BC4514F"/>
    <w:rsid w:val="0BCB2D68"/>
    <w:rsid w:val="0BDB744F"/>
    <w:rsid w:val="0BFF07E0"/>
    <w:rsid w:val="0C0128E1"/>
    <w:rsid w:val="0C14470F"/>
    <w:rsid w:val="0C1E558E"/>
    <w:rsid w:val="0C2010AC"/>
    <w:rsid w:val="0C62191E"/>
    <w:rsid w:val="0CB90E13"/>
    <w:rsid w:val="0CC25F19"/>
    <w:rsid w:val="0CD2303E"/>
    <w:rsid w:val="0CDF02E8"/>
    <w:rsid w:val="0CF2453E"/>
    <w:rsid w:val="0D042E1A"/>
    <w:rsid w:val="0D4913C1"/>
    <w:rsid w:val="0D660F9A"/>
    <w:rsid w:val="0D6945E7"/>
    <w:rsid w:val="0D962F4D"/>
    <w:rsid w:val="0DBC6E0C"/>
    <w:rsid w:val="0DF77E44"/>
    <w:rsid w:val="0E1518A1"/>
    <w:rsid w:val="0E2350DD"/>
    <w:rsid w:val="0E262ED1"/>
    <w:rsid w:val="0E2714DC"/>
    <w:rsid w:val="0E4928DC"/>
    <w:rsid w:val="0E754C08"/>
    <w:rsid w:val="0E84109E"/>
    <w:rsid w:val="0E8B4260"/>
    <w:rsid w:val="0EBC4BEA"/>
    <w:rsid w:val="0ED85EC8"/>
    <w:rsid w:val="0EDA7072"/>
    <w:rsid w:val="0EDC11FC"/>
    <w:rsid w:val="0EE26D46"/>
    <w:rsid w:val="0EF12AE6"/>
    <w:rsid w:val="0F0C4A59"/>
    <w:rsid w:val="0F112C3E"/>
    <w:rsid w:val="0F1862C4"/>
    <w:rsid w:val="0F225395"/>
    <w:rsid w:val="0F24110D"/>
    <w:rsid w:val="0F2B249C"/>
    <w:rsid w:val="0F2C6214"/>
    <w:rsid w:val="0F2E5AE8"/>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54157E"/>
    <w:rsid w:val="105651B6"/>
    <w:rsid w:val="106A6FF4"/>
    <w:rsid w:val="10787323"/>
    <w:rsid w:val="10836E18"/>
    <w:rsid w:val="109C2F25"/>
    <w:rsid w:val="10AB142F"/>
    <w:rsid w:val="10AB4F16"/>
    <w:rsid w:val="10C06C14"/>
    <w:rsid w:val="10C36704"/>
    <w:rsid w:val="10CB4AD3"/>
    <w:rsid w:val="10E613C1"/>
    <w:rsid w:val="10EE19D3"/>
    <w:rsid w:val="11041F12"/>
    <w:rsid w:val="11095C2A"/>
    <w:rsid w:val="1154735C"/>
    <w:rsid w:val="1158509E"/>
    <w:rsid w:val="115A0AD0"/>
    <w:rsid w:val="11763776"/>
    <w:rsid w:val="117A14B8"/>
    <w:rsid w:val="118D7848"/>
    <w:rsid w:val="11A007F3"/>
    <w:rsid w:val="11AE31E0"/>
    <w:rsid w:val="11AE5258"/>
    <w:rsid w:val="11B147AE"/>
    <w:rsid w:val="11C646FD"/>
    <w:rsid w:val="11C9487C"/>
    <w:rsid w:val="11E95B94"/>
    <w:rsid w:val="11F56D91"/>
    <w:rsid w:val="12266F4A"/>
    <w:rsid w:val="12340406"/>
    <w:rsid w:val="123A0C48"/>
    <w:rsid w:val="124341AB"/>
    <w:rsid w:val="12521AED"/>
    <w:rsid w:val="12633CFA"/>
    <w:rsid w:val="12692EF2"/>
    <w:rsid w:val="12786986"/>
    <w:rsid w:val="12922832"/>
    <w:rsid w:val="12A3059B"/>
    <w:rsid w:val="12BD293A"/>
    <w:rsid w:val="12EF37E0"/>
    <w:rsid w:val="12F17558"/>
    <w:rsid w:val="12F2507E"/>
    <w:rsid w:val="12F46273"/>
    <w:rsid w:val="1301693A"/>
    <w:rsid w:val="1308124D"/>
    <w:rsid w:val="132C0590"/>
    <w:rsid w:val="133236CD"/>
    <w:rsid w:val="13370CE3"/>
    <w:rsid w:val="13386F35"/>
    <w:rsid w:val="13394A5B"/>
    <w:rsid w:val="134A56E4"/>
    <w:rsid w:val="13651CF4"/>
    <w:rsid w:val="13A9398F"/>
    <w:rsid w:val="13B3480E"/>
    <w:rsid w:val="13BD568C"/>
    <w:rsid w:val="13E44DAF"/>
    <w:rsid w:val="13FB325E"/>
    <w:rsid w:val="1470712F"/>
    <w:rsid w:val="14AF76CB"/>
    <w:rsid w:val="14B22D17"/>
    <w:rsid w:val="14B7032D"/>
    <w:rsid w:val="14BC1DE8"/>
    <w:rsid w:val="14C10EE2"/>
    <w:rsid w:val="14C201BA"/>
    <w:rsid w:val="14E31122"/>
    <w:rsid w:val="15036F45"/>
    <w:rsid w:val="152621F6"/>
    <w:rsid w:val="1529148F"/>
    <w:rsid w:val="1542409B"/>
    <w:rsid w:val="155301D7"/>
    <w:rsid w:val="1557566D"/>
    <w:rsid w:val="15610299"/>
    <w:rsid w:val="15671D54"/>
    <w:rsid w:val="15724254"/>
    <w:rsid w:val="157F7CAB"/>
    <w:rsid w:val="158C3568"/>
    <w:rsid w:val="158F270C"/>
    <w:rsid w:val="15B36931"/>
    <w:rsid w:val="15CF16A7"/>
    <w:rsid w:val="16197E6B"/>
    <w:rsid w:val="16281F12"/>
    <w:rsid w:val="16302145"/>
    <w:rsid w:val="16351E52"/>
    <w:rsid w:val="167043DB"/>
    <w:rsid w:val="16717081"/>
    <w:rsid w:val="167209B0"/>
    <w:rsid w:val="16750D36"/>
    <w:rsid w:val="16B014D8"/>
    <w:rsid w:val="16C17241"/>
    <w:rsid w:val="170B3EB5"/>
    <w:rsid w:val="171952CF"/>
    <w:rsid w:val="1719707D"/>
    <w:rsid w:val="171D2EE0"/>
    <w:rsid w:val="1730504B"/>
    <w:rsid w:val="17361868"/>
    <w:rsid w:val="17515EC2"/>
    <w:rsid w:val="175C420C"/>
    <w:rsid w:val="17740758"/>
    <w:rsid w:val="179D2E56"/>
    <w:rsid w:val="17A6044E"/>
    <w:rsid w:val="17BA0860"/>
    <w:rsid w:val="17BD20FF"/>
    <w:rsid w:val="17E44BFC"/>
    <w:rsid w:val="17E53404"/>
    <w:rsid w:val="17EF06F4"/>
    <w:rsid w:val="180A4C18"/>
    <w:rsid w:val="180D50C3"/>
    <w:rsid w:val="180D79FC"/>
    <w:rsid w:val="18310418"/>
    <w:rsid w:val="1864558B"/>
    <w:rsid w:val="187B6274"/>
    <w:rsid w:val="189D783A"/>
    <w:rsid w:val="18B2778A"/>
    <w:rsid w:val="18B904BA"/>
    <w:rsid w:val="18C03544"/>
    <w:rsid w:val="18EB67F8"/>
    <w:rsid w:val="18F90F15"/>
    <w:rsid w:val="19063790"/>
    <w:rsid w:val="19120228"/>
    <w:rsid w:val="191F6BF2"/>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9F78F8"/>
    <w:rsid w:val="1AA66E7A"/>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66609"/>
    <w:rsid w:val="1B724FAE"/>
    <w:rsid w:val="1B7A7441"/>
    <w:rsid w:val="1B83540D"/>
    <w:rsid w:val="1B8A78B2"/>
    <w:rsid w:val="1B9C202B"/>
    <w:rsid w:val="1BEA0FE8"/>
    <w:rsid w:val="1BEC2FB3"/>
    <w:rsid w:val="1C237506"/>
    <w:rsid w:val="1C2465A3"/>
    <w:rsid w:val="1C3B7A96"/>
    <w:rsid w:val="1C4F52EF"/>
    <w:rsid w:val="1C67088B"/>
    <w:rsid w:val="1C8B27CB"/>
    <w:rsid w:val="1C9571A6"/>
    <w:rsid w:val="1CD66BB0"/>
    <w:rsid w:val="1CF928A3"/>
    <w:rsid w:val="1D1C78C7"/>
    <w:rsid w:val="1D385E44"/>
    <w:rsid w:val="1D5A219E"/>
    <w:rsid w:val="1D6923E1"/>
    <w:rsid w:val="1D762D4C"/>
    <w:rsid w:val="1DB01F75"/>
    <w:rsid w:val="1DC92705"/>
    <w:rsid w:val="1DD51824"/>
    <w:rsid w:val="1DDA6E3B"/>
    <w:rsid w:val="1DDF12F2"/>
    <w:rsid w:val="1E0A5972"/>
    <w:rsid w:val="1E0A7720"/>
    <w:rsid w:val="1E0F4D36"/>
    <w:rsid w:val="1E291486"/>
    <w:rsid w:val="1E3824DF"/>
    <w:rsid w:val="1E4744D0"/>
    <w:rsid w:val="1E4C5F8A"/>
    <w:rsid w:val="1E596F15"/>
    <w:rsid w:val="1E5D7DE9"/>
    <w:rsid w:val="1E6E5AF7"/>
    <w:rsid w:val="1E6E6048"/>
    <w:rsid w:val="1E8A260F"/>
    <w:rsid w:val="1E952C15"/>
    <w:rsid w:val="1E967206"/>
    <w:rsid w:val="1E9B2EAC"/>
    <w:rsid w:val="1EAA33EB"/>
    <w:rsid w:val="1EAE6AE9"/>
    <w:rsid w:val="1EB55AAE"/>
    <w:rsid w:val="1EDE6925"/>
    <w:rsid w:val="1F066139"/>
    <w:rsid w:val="1F130856"/>
    <w:rsid w:val="1F2C36C6"/>
    <w:rsid w:val="1F2E743E"/>
    <w:rsid w:val="1F416D3C"/>
    <w:rsid w:val="1F4E71EE"/>
    <w:rsid w:val="1F576995"/>
    <w:rsid w:val="1F5F550C"/>
    <w:rsid w:val="1F63358C"/>
    <w:rsid w:val="1F6D61B8"/>
    <w:rsid w:val="1F6E66E3"/>
    <w:rsid w:val="1F871243"/>
    <w:rsid w:val="1F9F033C"/>
    <w:rsid w:val="1FBD2E59"/>
    <w:rsid w:val="1FBF278C"/>
    <w:rsid w:val="1FFE5062"/>
    <w:rsid w:val="2006231E"/>
    <w:rsid w:val="2007660D"/>
    <w:rsid w:val="200C6649"/>
    <w:rsid w:val="20124FB2"/>
    <w:rsid w:val="20191E9C"/>
    <w:rsid w:val="204A02A8"/>
    <w:rsid w:val="20692753"/>
    <w:rsid w:val="206C1BB2"/>
    <w:rsid w:val="2080016D"/>
    <w:rsid w:val="208E288A"/>
    <w:rsid w:val="20D9162C"/>
    <w:rsid w:val="20E63F9F"/>
    <w:rsid w:val="21042B4C"/>
    <w:rsid w:val="21271BF9"/>
    <w:rsid w:val="212E1977"/>
    <w:rsid w:val="212E3725"/>
    <w:rsid w:val="21425423"/>
    <w:rsid w:val="21645399"/>
    <w:rsid w:val="21696E53"/>
    <w:rsid w:val="21920158"/>
    <w:rsid w:val="21927F47"/>
    <w:rsid w:val="21A64783"/>
    <w:rsid w:val="21AD23A2"/>
    <w:rsid w:val="21CF315A"/>
    <w:rsid w:val="21DE514B"/>
    <w:rsid w:val="21E07116"/>
    <w:rsid w:val="21EF55AB"/>
    <w:rsid w:val="21EF63FF"/>
    <w:rsid w:val="21F20BF7"/>
    <w:rsid w:val="2217065D"/>
    <w:rsid w:val="22293AE7"/>
    <w:rsid w:val="22317971"/>
    <w:rsid w:val="223615FD"/>
    <w:rsid w:val="226E1396"/>
    <w:rsid w:val="22793056"/>
    <w:rsid w:val="22832569"/>
    <w:rsid w:val="22835CF3"/>
    <w:rsid w:val="22971AE5"/>
    <w:rsid w:val="22AE48F7"/>
    <w:rsid w:val="22DE026A"/>
    <w:rsid w:val="22E177D9"/>
    <w:rsid w:val="22E42C35"/>
    <w:rsid w:val="22EF3388"/>
    <w:rsid w:val="22F05754"/>
    <w:rsid w:val="22F46F43"/>
    <w:rsid w:val="23166844"/>
    <w:rsid w:val="232E1AC6"/>
    <w:rsid w:val="232F786B"/>
    <w:rsid w:val="23384D2F"/>
    <w:rsid w:val="234C768D"/>
    <w:rsid w:val="23671171"/>
    <w:rsid w:val="2369138D"/>
    <w:rsid w:val="236A568F"/>
    <w:rsid w:val="23812232"/>
    <w:rsid w:val="2387457D"/>
    <w:rsid w:val="23C46955"/>
    <w:rsid w:val="23D20CE0"/>
    <w:rsid w:val="23D507D0"/>
    <w:rsid w:val="23DC56BB"/>
    <w:rsid w:val="23F5677C"/>
    <w:rsid w:val="23F63C20"/>
    <w:rsid w:val="240115C5"/>
    <w:rsid w:val="241C63FF"/>
    <w:rsid w:val="24226F43"/>
    <w:rsid w:val="24247062"/>
    <w:rsid w:val="2435126F"/>
    <w:rsid w:val="243A6885"/>
    <w:rsid w:val="2479115B"/>
    <w:rsid w:val="247B4ED4"/>
    <w:rsid w:val="24853FA4"/>
    <w:rsid w:val="24A2174F"/>
    <w:rsid w:val="24AA1A26"/>
    <w:rsid w:val="24C513B8"/>
    <w:rsid w:val="24F80254"/>
    <w:rsid w:val="25070E5D"/>
    <w:rsid w:val="250A6257"/>
    <w:rsid w:val="250E5D48"/>
    <w:rsid w:val="25165925"/>
    <w:rsid w:val="25294857"/>
    <w:rsid w:val="252F3F10"/>
    <w:rsid w:val="25382DC5"/>
    <w:rsid w:val="255614AE"/>
    <w:rsid w:val="255676EF"/>
    <w:rsid w:val="255A71DF"/>
    <w:rsid w:val="255D0A7D"/>
    <w:rsid w:val="25735262"/>
    <w:rsid w:val="259B2F08"/>
    <w:rsid w:val="25AB2680"/>
    <w:rsid w:val="25AC3A6A"/>
    <w:rsid w:val="25D074A1"/>
    <w:rsid w:val="25D96C39"/>
    <w:rsid w:val="25ED0053"/>
    <w:rsid w:val="25FA451E"/>
    <w:rsid w:val="261964FD"/>
    <w:rsid w:val="262C38E5"/>
    <w:rsid w:val="263F14EC"/>
    <w:rsid w:val="264D0AF2"/>
    <w:rsid w:val="265C5712"/>
    <w:rsid w:val="265D05FD"/>
    <w:rsid w:val="26622EB6"/>
    <w:rsid w:val="26651F76"/>
    <w:rsid w:val="268A3AF4"/>
    <w:rsid w:val="26A10E3D"/>
    <w:rsid w:val="26A30712"/>
    <w:rsid w:val="26A51FB7"/>
    <w:rsid w:val="26A56238"/>
    <w:rsid w:val="26B5104E"/>
    <w:rsid w:val="26BA675A"/>
    <w:rsid w:val="26C55046"/>
    <w:rsid w:val="26C62A86"/>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F098D"/>
    <w:rsid w:val="278170DB"/>
    <w:rsid w:val="27930786"/>
    <w:rsid w:val="279D4D50"/>
    <w:rsid w:val="27AB3D22"/>
    <w:rsid w:val="27D05536"/>
    <w:rsid w:val="28292E99"/>
    <w:rsid w:val="283005FE"/>
    <w:rsid w:val="28327F9F"/>
    <w:rsid w:val="28331A56"/>
    <w:rsid w:val="28434849"/>
    <w:rsid w:val="28456613"/>
    <w:rsid w:val="286D202F"/>
    <w:rsid w:val="28956780"/>
    <w:rsid w:val="28C52BC1"/>
    <w:rsid w:val="28C606E7"/>
    <w:rsid w:val="28CC69C1"/>
    <w:rsid w:val="29085DCB"/>
    <w:rsid w:val="290D6316"/>
    <w:rsid w:val="291807B8"/>
    <w:rsid w:val="29352E3A"/>
    <w:rsid w:val="293F15D2"/>
    <w:rsid w:val="294A756A"/>
    <w:rsid w:val="295B01BA"/>
    <w:rsid w:val="295B1778"/>
    <w:rsid w:val="296E7D76"/>
    <w:rsid w:val="298F31CF"/>
    <w:rsid w:val="29B260BA"/>
    <w:rsid w:val="29C6285B"/>
    <w:rsid w:val="29D37560"/>
    <w:rsid w:val="29DD3F3B"/>
    <w:rsid w:val="29EF6C8F"/>
    <w:rsid w:val="29F97E4E"/>
    <w:rsid w:val="2A04596B"/>
    <w:rsid w:val="2A261D85"/>
    <w:rsid w:val="2A2B739C"/>
    <w:rsid w:val="2A3505EE"/>
    <w:rsid w:val="2A383867"/>
    <w:rsid w:val="2A467D32"/>
    <w:rsid w:val="2A4949BA"/>
    <w:rsid w:val="2A53244F"/>
    <w:rsid w:val="2A5744DB"/>
    <w:rsid w:val="2A5B72A5"/>
    <w:rsid w:val="2A5F7045"/>
    <w:rsid w:val="2A76764D"/>
    <w:rsid w:val="2AA42CAA"/>
    <w:rsid w:val="2ABD3BC6"/>
    <w:rsid w:val="2ACD2201"/>
    <w:rsid w:val="2AE337D3"/>
    <w:rsid w:val="2AF7727E"/>
    <w:rsid w:val="2B04158B"/>
    <w:rsid w:val="2B150495"/>
    <w:rsid w:val="2B177920"/>
    <w:rsid w:val="2B312C19"/>
    <w:rsid w:val="2B5A1960"/>
    <w:rsid w:val="2B637489"/>
    <w:rsid w:val="2B6C01DB"/>
    <w:rsid w:val="2B726905"/>
    <w:rsid w:val="2B8209DE"/>
    <w:rsid w:val="2B8D272F"/>
    <w:rsid w:val="2BA72A52"/>
    <w:rsid w:val="2BD27F42"/>
    <w:rsid w:val="2BE94E19"/>
    <w:rsid w:val="2BE96E2D"/>
    <w:rsid w:val="2C3A38C6"/>
    <w:rsid w:val="2C4C16FF"/>
    <w:rsid w:val="2C6721E1"/>
    <w:rsid w:val="2C8608B9"/>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A34FB"/>
    <w:rsid w:val="2DEF20D7"/>
    <w:rsid w:val="2E261FD3"/>
    <w:rsid w:val="2E2A1718"/>
    <w:rsid w:val="2E3422F8"/>
    <w:rsid w:val="2E382ECE"/>
    <w:rsid w:val="2E5A120D"/>
    <w:rsid w:val="2E5E7CC5"/>
    <w:rsid w:val="2E6609A2"/>
    <w:rsid w:val="2E89343E"/>
    <w:rsid w:val="2E9A4AF0"/>
    <w:rsid w:val="2EA75C11"/>
    <w:rsid w:val="2EAE017D"/>
    <w:rsid w:val="2EB01C1E"/>
    <w:rsid w:val="2EB13C87"/>
    <w:rsid w:val="2EC67693"/>
    <w:rsid w:val="2ECE6063"/>
    <w:rsid w:val="2ED753FC"/>
    <w:rsid w:val="2EE70552"/>
    <w:rsid w:val="2EE8585B"/>
    <w:rsid w:val="2EF064BE"/>
    <w:rsid w:val="2EF20488"/>
    <w:rsid w:val="2F0119DF"/>
    <w:rsid w:val="2F2717B8"/>
    <w:rsid w:val="2F3A39D1"/>
    <w:rsid w:val="2F3A3BDD"/>
    <w:rsid w:val="2F452CAE"/>
    <w:rsid w:val="2F5051AF"/>
    <w:rsid w:val="2F5922B5"/>
    <w:rsid w:val="2F6F3887"/>
    <w:rsid w:val="2F8224C5"/>
    <w:rsid w:val="2FA06136"/>
    <w:rsid w:val="2FA32702"/>
    <w:rsid w:val="2FC8743B"/>
    <w:rsid w:val="2FCA31B3"/>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A11CF2"/>
    <w:rsid w:val="31B55BDA"/>
    <w:rsid w:val="31C37EBA"/>
    <w:rsid w:val="31D245A1"/>
    <w:rsid w:val="31D9148B"/>
    <w:rsid w:val="31E47BCC"/>
    <w:rsid w:val="320D6B1C"/>
    <w:rsid w:val="321109A1"/>
    <w:rsid w:val="321270E3"/>
    <w:rsid w:val="321E1594"/>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F95CB7"/>
    <w:rsid w:val="33010C9A"/>
    <w:rsid w:val="33244988"/>
    <w:rsid w:val="334E5EA9"/>
    <w:rsid w:val="3356384F"/>
    <w:rsid w:val="33582236"/>
    <w:rsid w:val="33997124"/>
    <w:rsid w:val="33A65CE5"/>
    <w:rsid w:val="33AD7074"/>
    <w:rsid w:val="33B64277"/>
    <w:rsid w:val="33C76378"/>
    <w:rsid w:val="33D17B22"/>
    <w:rsid w:val="33D26ADA"/>
    <w:rsid w:val="33D62126"/>
    <w:rsid w:val="33DE722D"/>
    <w:rsid w:val="33E41C73"/>
    <w:rsid w:val="33F7717D"/>
    <w:rsid w:val="340C3D9A"/>
    <w:rsid w:val="34190265"/>
    <w:rsid w:val="342A6B27"/>
    <w:rsid w:val="34360E17"/>
    <w:rsid w:val="344D7F0F"/>
    <w:rsid w:val="3469049A"/>
    <w:rsid w:val="346E6B7F"/>
    <w:rsid w:val="34766B9C"/>
    <w:rsid w:val="349F41F7"/>
    <w:rsid w:val="350022EF"/>
    <w:rsid w:val="35020CF9"/>
    <w:rsid w:val="35074561"/>
    <w:rsid w:val="35132F06"/>
    <w:rsid w:val="3522139B"/>
    <w:rsid w:val="352B0250"/>
    <w:rsid w:val="352E1AEE"/>
    <w:rsid w:val="35325A82"/>
    <w:rsid w:val="35411821"/>
    <w:rsid w:val="3558300F"/>
    <w:rsid w:val="3566572C"/>
    <w:rsid w:val="3583585A"/>
    <w:rsid w:val="35904557"/>
    <w:rsid w:val="35935DF5"/>
    <w:rsid w:val="35987004"/>
    <w:rsid w:val="359C73A0"/>
    <w:rsid w:val="35B75970"/>
    <w:rsid w:val="35C8513F"/>
    <w:rsid w:val="35D040D0"/>
    <w:rsid w:val="35D11499"/>
    <w:rsid w:val="35E03756"/>
    <w:rsid w:val="3607320C"/>
    <w:rsid w:val="360E0992"/>
    <w:rsid w:val="361707D4"/>
    <w:rsid w:val="361E1B63"/>
    <w:rsid w:val="36271315"/>
    <w:rsid w:val="36296D8F"/>
    <w:rsid w:val="36394BEF"/>
    <w:rsid w:val="36454EF4"/>
    <w:rsid w:val="36480ED6"/>
    <w:rsid w:val="3667784E"/>
    <w:rsid w:val="366E687E"/>
    <w:rsid w:val="368049F0"/>
    <w:rsid w:val="36897924"/>
    <w:rsid w:val="369B1405"/>
    <w:rsid w:val="36C46BAE"/>
    <w:rsid w:val="36C56482"/>
    <w:rsid w:val="36F9612C"/>
    <w:rsid w:val="372C02AF"/>
    <w:rsid w:val="37427DCD"/>
    <w:rsid w:val="374D6BA3"/>
    <w:rsid w:val="376161AB"/>
    <w:rsid w:val="376E062B"/>
    <w:rsid w:val="3793032E"/>
    <w:rsid w:val="37AB17B4"/>
    <w:rsid w:val="37C14E9C"/>
    <w:rsid w:val="37DB5A6F"/>
    <w:rsid w:val="38003C16"/>
    <w:rsid w:val="38037262"/>
    <w:rsid w:val="38211DDE"/>
    <w:rsid w:val="385B0E4C"/>
    <w:rsid w:val="386717C0"/>
    <w:rsid w:val="38723425"/>
    <w:rsid w:val="38974AF0"/>
    <w:rsid w:val="38C34C43"/>
    <w:rsid w:val="38C95885"/>
    <w:rsid w:val="390019F4"/>
    <w:rsid w:val="391F631E"/>
    <w:rsid w:val="39202096"/>
    <w:rsid w:val="393F5676"/>
    <w:rsid w:val="39422DEA"/>
    <w:rsid w:val="395D29A2"/>
    <w:rsid w:val="396B7F88"/>
    <w:rsid w:val="39CE1AF2"/>
    <w:rsid w:val="39E676B1"/>
    <w:rsid w:val="39F257E0"/>
    <w:rsid w:val="39F96B6F"/>
    <w:rsid w:val="3A030AC5"/>
    <w:rsid w:val="3A06128C"/>
    <w:rsid w:val="3A3E7A83"/>
    <w:rsid w:val="3A476A7B"/>
    <w:rsid w:val="3A542215"/>
    <w:rsid w:val="3AA82343"/>
    <w:rsid w:val="3AD924FC"/>
    <w:rsid w:val="3ADF1DF8"/>
    <w:rsid w:val="3AE315CD"/>
    <w:rsid w:val="3AEF1D20"/>
    <w:rsid w:val="3B29323F"/>
    <w:rsid w:val="3B2C6AD0"/>
    <w:rsid w:val="3B8033E1"/>
    <w:rsid w:val="3BA269FD"/>
    <w:rsid w:val="3BAB20EB"/>
    <w:rsid w:val="3BB13099"/>
    <w:rsid w:val="3BB379B1"/>
    <w:rsid w:val="3BBD3BCC"/>
    <w:rsid w:val="3BD11425"/>
    <w:rsid w:val="3BD6013A"/>
    <w:rsid w:val="3BF13876"/>
    <w:rsid w:val="3BFF2436"/>
    <w:rsid w:val="3C08753D"/>
    <w:rsid w:val="3C2C6246"/>
    <w:rsid w:val="3C6A3D54"/>
    <w:rsid w:val="3C9E1C4F"/>
    <w:rsid w:val="3CCF40AD"/>
    <w:rsid w:val="3CE05AB2"/>
    <w:rsid w:val="3D1B504E"/>
    <w:rsid w:val="3D22018A"/>
    <w:rsid w:val="3D295E51"/>
    <w:rsid w:val="3D3B124C"/>
    <w:rsid w:val="3D3B2FFA"/>
    <w:rsid w:val="3D485717"/>
    <w:rsid w:val="3D5B24BE"/>
    <w:rsid w:val="3D657A24"/>
    <w:rsid w:val="3D6B7484"/>
    <w:rsid w:val="3D791D75"/>
    <w:rsid w:val="3D7D76FE"/>
    <w:rsid w:val="3D900F90"/>
    <w:rsid w:val="3D967432"/>
    <w:rsid w:val="3DA17C5A"/>
    <w:rsid w:val="3DA94408"/>
    <w:rsid w:val="3DD82F3F"/>
    <w:rsid w:val="3DE6565C"/>
    <w:rsid w:val="3DE6740A"/>
    <w:rsid w:val="3DE93FE1"/>
    <w:rsid w:val="3DEF2039"/>
    <w:rsid w:val="3E38014F"/>
    <w:rsid w:val="3E483C21"/>
    <w:rsid w:val="3E5726C4"/>
    <w:rsid w:val="3E5C147A"/>
    <w:rsid w:val="3E66477A"/>
    <w:rsid w:val="3E6B5B61"/>
    <w:rsid w:val="3E7F160D"/>
    <w:rsid w:val="3EAA6689"/>
    <w:rsid w:val="3F0E2A92"/>
    <w:rsid w:val="3F0F2990"/>
    <w:rsid w:val="3F253F62"/>
    <w:rsid w:val="3F2921E6"/>
    <w:rsid w:val="3F5356B7"/>
    <w:rsid w:val="3F5F6009"/>
    <w:rsid w:val="3F7857D1"/>
    <w:rsid w:val="3F7D5A4F"/>
    <w:rsid w:val="3F9A21C7"/>
    <w:rsid w:val="3FB13A48"/>
    <w:rsid w:val="3FB41B8F"/>
    <w:rsid w:val="3FBF43B6"/>
    <w:rsid w:val="3FCA68B7"/>
    <w:rsid w:val="3FD37E62"/>
    <w:rsid w:val="402D0145"/>
    <w:rsid w:val="403C77B5"/>
    <w:rsid w:val="407D1B7C"/>
    <w:rsid w:val="40884444"/>
    <w:rsid w:val="40A3112D"/>
    <w:rsid w:val="40A35A86"/>
    <w:rsid w:val="40A73B61"/>
    <w:rsid w:val="40BF3F42"/>
    <w:rsid w:val="40D03769"/>
    <w:rsid w:val="40D53EF1"/>
    <w:rsid w:val="40FB141E"/>
    <w:rsid w:val="411B561D"/>
    <w:rsid w:val="41216D50"/>
    <w:rsid w:val="412E12E8"/>
    <w:rsid w:val="4153338C"/>
    <w:rsid w:val="41581D4D"/>
    <w:rsid w:val="41656898"/>
    <w:rsid w:val="418D4040"/>
    <w:rsid w:val="41D028AB"/>
    <w:rsid w:val="41F95D14"/>
    <w:rsid w:val="42072045"/>
    <w:rsid w:val="42295B17"/>
    <w:rsid w:val="42336996"/>
    <w:rsid w:val="42447849"/>
    <w:rsid w:val="426217EC"/>
    <w:rsid w:val="429D6505"/>
    <w:rsid w:val="42CC4BAF"/>
    <w:rsid w:val="42CE4911"/>
    <w:rsid w:val="42DC527F"/>
    <w:rsid w:val="42E171C0"/>
    <w:rsid w:val="42E2739A"/>
    <w:rsid w:val="42ED4D97"/>
    <w:rsid w:val="42F97BDF"/>
    <w:rsid w:val="432A5FEB"/>
    <w:rsid w:val="43452E25"/>
    <w:rsid w:val="43613324"/>
    <w:rsid w:val="4364553F"/>
    <w:rsid w:val="4374370A"/>
    <w:rsid w:val="43853221"/>
    <w:rsid w:val="43C81360"/>
    <w:rsid w:val="43F07682"/>
    <w:rsid w:val="4416031D"/>
    <w:rsid w:val="44167F08"/>
    <w:rsid w:val="44175E76"/>
    <w:rsid w:val="44231A85"/>
    <w:rsid w:val="442A3DC9"/>
    <w:rsid w:val="443973A6"/>
    <w:rsid w:val="445E6A7B"/>
    <w:rsid w:val="44703ED1"/>
    <w:rsid w:val="447A4D50"/>
    <w:rsid w:val="448230D6"/>
    <w:rsid w:val="449C4CC6"/>
    <w:rsid w:val="449F6565"/>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5008"/>
    <w:rsid w:val="459E4A6E"/>
    <w:rsid w:val="45AA241A"/>
    <w:rsid w:val="45BE0C6C"/>
    <w:rsid w:val="45C30031"/>
    <w:rsid w:val="46192347"/>
    <w:rsid w:val="464F6181"/>
    <w:rsid w:val="46671304"/>
    <w:rsid w:val="467342B8"/>
    <w:rsid w:val="46963997"/>
    <w:rsid w:val="46B02CAB"/>
    <w:rsid w:val="46D36999"/>
    <w:rsid w:val="46DD3374"/>
    <w:rsid w:val="46E75FA1"/>
    <w:rsid w:val="47095F17"/>
    <w:rsid w:val="470D1EAB"/>
    <w:rsid w:val="473B735A"/>
    <w:rsid w:val="47484C91"/>
    <w:rsid w:val="4749496A"/>
    <w:rsid w:val="474D04FA"/>
    <w:rsid w:val="475950F1"/>
    <w:rsid w:val="47633879"/>
    <w:rsid w:val="4766336A"/>
    <w:rsid w:val="47677A6F"/>
    <w:rsid w:val="47737D22"/>
    <w:rsid w:val="47942E2B"/>
    <w:rsid w:val="47C50090"/>
    <w:rsid w:val="47CB7671"/>
    <w:rsid w:val="47D41743"/>
    <w:rsid w:val="47E25E36"/>
    <w:rsid w:val="48172BDB"/>
    <w:rsid w:val="48223734"/>
    <w:rsid w:val="483B2A48"/>
    <w:rsid w:val="485960BF"/>
    <w:rsid w:val="486C71BD"/>
    <w:rsid w:val="4873378B"/>
    <w:rsid w:val="488A12DA"/>
    <w:rsid w:val="488E2B78"/>
    <w:rsid w:val="489A151D"/>
    <w:rsid w:val="48B40105"/>
    <w:rsid w:val="48B87BF5"/>
    <w:rsid w:val="48D72771"/>
    <w:rsid w:val="48DB64A5"/>
    <w:rsid w:val="48E56510"/>
    <w:rsid w:val="48FD385A"/>
    <w:rsid w:val="493A4AAE"/>
    <w:rsid w:val="495C057F"/>
    <w:rsid w:val="497004D0"/>
    <w:rsid w:val="497E0E3E"/>
    <w:rsid w:val="49836455"/>
    <w:rsid w:val="498668DA"/>
    <w:rsid w:val="49A10689"/>
    <w:rsid w:val="49A85EBB"/>
    <w:rsid w:val="49AB1508"/>
    <w:rsid w:val="49EA0597"/>
    <w:rsid w:val="49F41101"/>
    <w:rsid w:val="4A0961E3"/>
    <w:rsid w:val="4A183041"/>
    <w:rsid w:val="4A205A52"/>
    <w:rsid w:val="4A5B4CDC"/>
    <w:rsid w:val="4A5E3F5D"/>
    <w:rsid w:val="4A6A1427"/>
    <w:rsid w:val="4A730277"/>
    <w:rsid w:val="4A8C758B"/>
    <w:rsid w:val="4A965D14"/>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4C16"/>
    <w:rsid w:val="4B893ACB"/>
    <w:rsid w:val="4B9F32EE"/>
    <w:rsid w:val="4BAB3530"/>
    <w:rsid w:val="4BB548C0"/>
    <w:rsid w:val="4BC36D42"/>
    <w:rsid w:val="4BE40D01"/>
    <w:rsid w:val="4BEB6533"/>
    <w:rsid w:val="4BEC408D"/>
    <w:rsid w:val="4BF076A6"/>
    <w:rsid w:val="4C0A1121"/>
    <w:rsid w:val="4C161AF1"/>
    <w:rsid w:val="4C222B32"/>
    <w:rsid w:val="4C285091"/>
    <w:rsid w:val="4C416153"/>
    <w:rsid w:val="4C417B78"/>
    <w:rsid w:val="4C5365B2"/>
    <w:rsid w:val="4C87101B"/>
    <w:rsid w:val="4C924E2D"/>
    <w:rsid w:val="4C9D5A7F"/>
    <w:rsid w:val="4CE74F4D"/>
    <w:rsid w:val="4D111FCA"/>
    <w:rsid w:val="4D1B2F53"/>
    <w:rsid w:val="4D4B54DB"/>
    <w:rsid w:val="4D565C2E"/>
    <w:rsid w:val="4D61085B"/>
    <w:rsid w:val="4D667004"/>
    <w:rsid w:val="4D6B0035"/>
    <w:rsid w:val="4D6D43F9"/>
    <w:rsid w:val="4D866514"/>
    <w:rsid w:val="4D930C30"/>
    <w:rsid w:val="4D9C7AE5"/>
    <w:rsid w:val="4DB210B7"/>
    <w:rsid w:val="4DC1754C"/>
    <w:rsid w:val="4DD54DA5"/>
    <w:rsid w:val="4DE33966"/>
    <w:rsid w:val="4DEB6377"/>
    <w:rsid w:val="4DF06083"/>
    <w:rsid w:val="4DFA2A5E"/>
    <w:rsid w:val="4DFA66E6"/>
    <w:rsid w:val="4E065CB6"/>
    <w:rsid w:val="4E200716"/>
    <w:rsid w:val="4E30022D"/>
    <w:rsid w:val="4E482208"/>
    <w:rsid w:val="4E4F2DA9"/>
    <w:rsid w:val="4E5401B4"/>
    <w:rsid w:val="4E5B57DC"/>
    <w:rsid w:val="4E6D5DEE"/>
    <w:rsid w:val="4E740A62"/>
    <w:rsid w:val="4E766588"/>
    <w:rsid w:val="4EA6788D"/>
    <w:rsid w:val="4EB470B0"/>
    <w:rsid w:val="4EC76DE4"/>
    <w:rsid w:val="4EFE6975"/>
    <w:rsid w:val="4F1815E2"/>
    <w:rsid w:val="4F183BE6"/>
    <w:rsid w:val="4F336227"/>
    <w:rsid w:val="4F4F73A1"/>
    <w:rsid w:val="4F8E7901"/>
    <w:rsid w:val="4F9B059D"/>
    <w:rsid w:val="4FCE41A2"/>
    <w:rsid w:val="4FD866CB"/>
    <w:rsid w:val="4FDC68BF"/>
    <w:rsid w:val="4FE94B38"/>
    <w:rsid w:val="4FEA5EB5"/>
    <w:rsid w:val="4FEB04D3"/>
    <w:rsid w:val="4FF9121F"/>
    <w:rsid w:val="501740DB"/>
    <w:rsid w:val="505B3C87"/>
    <w:rsid w:val="505D7058"/>
    <w:rsid w:val="507A1C34"/>
    <w:rsid w:val="509C7DFC"/>
    <w:rsid w:val="50B43398"/>
    <w:rsid w:val="50C00528"/>
    <w:rsid w:val="50C11611"/>
    <w:rsid w:val="50C25AB5"/>
    <w:rsid w:val="50C35389"/>
    <w:rsid w:val="50D137D5"/>
    <w:rsid w:val="50DB37CF"/>
    <w:rsid w:val="50F84F5E"/>
    <w:rsid w:val="51112598"/>
    <w:rsid w:val="51206ED5"/>
    <w:rsid w:val="51422684"/>
    <w:rsid w:val="514C35D0"/>
    <w:rsid w:val="51667392"/>
    <w:rsid w:val="51825244"/>
    <w:rsid w:val="51B01DB1"/>
    <w:rsid w:val="51BC4CC0"/>
    <w:rsid w:val="51DA6E2E"/>
    <w:rsid w:val="51FC0A11"/>
    <w:rsid w:val="521C7446"/>
    <w:rsid w:val="52417FCB"/>
    <w:rsid w:val="526606C2"/>
    <w:rsid w:val="528172AA"/>
    <w:rsid w:val="529C1904"/>
    <w:rsid w:val="529F12A2"/>
    <w:rsid w:val="52B753C1"/>
    <w:rsid w:val="530138E1"/>
    <w:rsid w:val="530F0D59"/>
    <w:rsid w:val="531613D5"/>
    <w:rsid w:val="5324020D"/>
    <w:rsid w:val="532A5B93"/>
    <w:rsid w:val="533267F6"/>
    <w:rsid w:val="535E4700"/>
    <w:rsid w:val="536B2FE6"/>
    <w:rsid w:val="536E3CD2"/>
    <w:rsid w:val="5373753A"/>
    <w:rsid w:val="537D5CC3"/>
    <w:rsid w:val="53BB4A3D"/>
    <w:rsid w:val="53E24C4B"/>
    <w:rsid w:val="53F37C05"/>
    <w:rsid w:val="540B7EB5"/>
    <w:rsid w:val="540E1011"/>
    <w:rsid w:val="54297BF9"/>
    <w:rsid w:val="5436445F"/>
    <w:rsid w:val="543F7869"/>
    <w:rsid w:val="544B5DC1"/>
    <w:rsid w:val="545033D7"/>
    <w:rsid w:val="54D20290"/>
    <w:rsid w:val="54D67D81"/>
    <w:rsid w:val="54E2482B"/>
    <w:rsid w:val="54E56216"/>
    <w:rsid w:val="54F47B28"/>
    <w:rsid w:val="550F6DEF"/>
    <w:rsid w:val="553B73E2"/>
    <w:rsid w:val="554051FA"/>
    <w:rsid w:val="55473338"/>
    <w:rsid w:val="55833339"/>
    <w:rsid w:val="559429E6"/>
    <w:rsid w:val="55FC07CB"/>
    <w:rsid w:val="560721BC"/>
    <w:rsid w:val="561F12B3"/>
    <w:rsid w:val="562B7C58"/>
    <w:rsid w:val="563D798B"/>
    <w:rsid w:val="56561738"/>
    <w:rsid w:val="56602B8B"/>
    <w:rsid w:val="56617B1E"/>
    <w:rsid w:val="56763E09"/>
    <w:rsid w:val="568071EB"/>
    <w:rsid w:val="568E3A93"/>
    <w:rsid w:val="56B52D87"/>
    <w:rsid w:val="56BB26A7"/>
    <w:rsid w:val="56C1680E"/>
    <w:rsid w:val="56CC00BF"/>
    <w:rsid w:val="56EF6ED8"/>
    <w:rsid w:val="570979E2"/>
    <w:rsid w:val="571C3A45"/>
    <w:rsid w:val="571C57F3"/>
    <w:rsid w:val="571D1826"/>
    <w:rsid w:val="57362D58"/>
    <w:rsid w:val="573C5E95"/>
    <w:rsid w:val="5743331B"/>
    <w:rsid w:val="57541431"/>
    <w:rsid w:val="575431DF"/>
    <w:rsid w:val="576462DE"/>
    <w:rsid w:val="576B0713"/>
    <w:rsid w:val="576E2DF4"/>
    <w:rsid w:val="57737EC4"/>
    <w:rsid w:val="5785783C"/>
    <w:rsid w:val="578876C0"/>
    <w:rsid w:val="57947A7F"/>
    <w:rsid w:val="57A86BE1"/>
    <w:rsid w:val="57CB5B25"/>
    <w:rsid w:val="57E44562"/>
    <w:rsid w:val="57EB4490"/>
    <w:rsid w:val="57EC1669"/>
    <w:rsid w:val="580449F9"/>
    <w:rsid w:val="582C5F09"/>
    <w:rsid w:val="58311772"/>
    <w:rsid w:val="58337298"/>
    <w:rsid w:val="58873140"/>
    <w:rsid w:val="58935F89"/>
    <w:rsid w:val="58A63441"/>
    <w:rsid w:val="58BF28DA"/>
    <w:rsid w:val="58D00AF4"/>
    <w:rsid w:val="58D74F65"/>
    <w:rsid w:val="58DE1D8C"/>
    <w:rsid w:val="58F06F37"/>
    <w:rsid w:val="58F44C79"/>
    <w:rsid w:val="5919648E"/>
    <w:rsid w:val="591A5DA5"/>
    <w:rsid w:val="59337D32"/>
    <w:rsid w:val="598A550B"/>
    <w:rsid w:val="599C09DC"/>
    <w:rsid w:val="599D70BF"/>
    <w:rsid w:val="59B47F65"/>
    <w:rsid w:val="59BA6FCD"/>
    <w:rsid w:val="59CC3500"/>
    <w:rsid w:val="59D14FBA"/>
    <w:rsid w:val="59EE3017"/>
    <w:rsid w:val="59F1323B"/>
    <w:rsid w:val="5A0D0436"/>
    <w:rsid w:val="5A2C0443"/>
    <w:rsid w:val="5A5B2AD6"/>
    <w:rsid w:val="5A7B0A82"/>
    <w:rsid w:val="5A86410C"/>
    <w:rsid w:val="5A9B2ED2"/>
    <w:rsid w:val="5AAE0E58"/>
    <w:rsid w:val="5AC32B55"/>
    <w:rsid w:val="5ADF3707"/>
    <w:rsid w:val="5AF56A87"/>
    <w:rsid w:val="5AFE1DDF"/>
    <w:rsid w:val="5B1433B1"/>
    <w:rsid w:val="5B1E5FDD"/>
    <w:rsid w:val="5B264B73"/>
    <w:rsid w:val="5B2A2BD4"/>
    <w:rsid w:val="5B5F1393"/>
    <w:rsid w:val="5B5F2152"/>
    <w:rsid w:val="5B6B6D49"/>
    <w:rsid w:val="5B9535F4"/>
    <w:rsid w:val="5B991B08"/>
    <w:rsid w:val="5B9938B6"/>
    <w:rsid w:val="5BC528FD"/>
    <w:rsid w:val="5BC8419B"/>
    <w:rsid w:val="5BD26DC8"/>
    <w:rsid w:val="5BDE576D"/>
    <w:rsid w:val="5C0B4CB9"/>
    <w:rsid w:val="5C0D0AE7"/>
    <w:rsid w:val="5C2018E1"/>
    <w:rsid w:val="5C2C0286"/>
    <w:rsid w:val="5C2C297C"/>
    <w:rsid w:val="5C2E2250"/>
    <w:rsid w:val="5C753B41"/>
    <w:rsid w:val="5C7D31D8"/>
    <w:rsid w:val="5C870D7B"/>
    <w:rsid w:val="5CC76A05"/>
    <w:rsid w:val="5CE05C01"/>
    <w:rsid w:val="5D1C654D"/>
    <w:rsid w:val="5D2015DA"/>
    <w:rsid w:val="5D213B63"/>
    <w:rsid w:val="5D226CFA"/>
    <w:rsid w:val="5D2C2695"/>
    <w:rsid w:val="5D2D69AC"/>
    <w:rsid w:val="5D912C18"/>
    <w:rsid w:val="5D9702C9"/>
    <w:rsid w:val="5DB91FED"/>
    <w:rsid w:val="5DC07B22"/>
    <w:rsid w:val="5DC2175C"/>
    <w:rsid w:val="5DF63972"/>
    <w:rsid w:val="5DFC012C"/>
    <w:rsid w:val="5E080D42"/>
    <w:rsid w:val="5E0A45F7"/>
    <w:rsid w:val="5E2E0A91"/>
    <w:rsid w:val="5E345B18"/>
    <w:rsid w:val="5E36132D"/>
    <w:rsid w:val="5E451AD3"/>
    <w:rsid w:val="5ED6597D"/>
    <w:rsid w:val="5EDD61AF"/>
    <w:rsid w:val="5EFC6636"/>
    <w:rsid w:val="5F076D88"/>
    <w:rsid w:val="5F5F532C"/>
    <w:rsid w:val="5F6D308F"/>
    <w:rsid w:val="5F7466FE"/>
    <w:rsid w:val="5F7A755A"/>
    <w:rsid w:val="5F863542"/>
    <w:rsid w:val="5FAE4D62"/>
    <w:rsid w:val="5FB20274"/>
    <w:rsid w:val="5FEB709A"/>
    <w:rsid w:val="5FFC7BC4"/>
    <w:rsid w:val="60182CB2"/>
    <w:rsid w:val="60287A9B"/>
    <w:rsid w:val="60326810"/>
    <w:rsid w:val="6042451C"/>
    <w:rsid w:val="60687CFB"/>
    <w:rsid w:val="60835BF8"/>
    <w:rsid w:val="60D62EB6"/>
    <w:rsid w:val="60F021CA"/>
    <w:rsid w:val="60FB0B6F"/>
    <w:rsid w:val="610619ED"/>
    <w:rsid w:val="613C6465"/>
    <w:rsid w:val="613D4CE3"/>
    <w:rsid w:val="61442516"/>
    <w:rsid w:val="614D13CA"/>
    <w:rsid w:val="61776447"/>
    <w:rsid w:val="618D5C6B"/>
    <w:rsid w:val="61CD42B9"/>
    <w:rsid w:val="61F555BE"/>
    <w:rsid w:val="62035F2D"/>
    <w:rsid w:val="62057D23"/>
    <w:rsid w:val="621C5BA9"/>
    <w:rsid w:val="62427522"/>
    <w:rsid w:val="624F23FA"/>
    <w:rsid w:val="62514EEA"/>
    <w:rsid w:val="62736350"/>
    <w:rsid w:val="62763D02"/>
    <w:rsid w:val="628506F0"/>
    <w:rsid w:val="629410CE"/>
    <w:rsid w:val="62CC2BB0"/>
    <w:rsid w:val="62EB3A25"/>
    <w:rsid w:val="63185A08"/>
    <w:rsid w:val="6320666B"/>
    <w:rsid w:val="632C5010"/>
    <w:rsid w:val="63712083"/>
    <w:rsid w:val="63936E3D"/>
    <w:rsid w:val="63BA479C"/>
    <w:rsid w:val="63C139AA"/>
    <w:rsid w:val="63D00091"/>
    <w:rsid w:val="63F35B2D"/>
    <w:rsid w:val="640A5918"/>
    <w:rsid w:val="640D6BEF"/>
    <w:rsid w:val="64265F03"/>
    <w:rsid w:val="6432550D"/>
    <w:rsid w:val="64371EBE"/>
    <w:rsid w:val="64426DE8"/>
    <w:rsid w:val="644F5459"/>
    <w:rsid w:val="64686B51"/>
    <w:rsid w:val="647C1FC7"/>
    <w:rsid w:val="648D7D30"/>
    <w:rsid w:val="649948E1"/>
    <w:rsid w:val="649E1D1A"/>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8329B"/>
    <w:rsid w:val="65F904A0"/>
    <w:rsid w:val="66044E06"/>
    <w:rsid w:val="66197FF3"/>
    <w:rsid w:val="66496A71"/>
    <w:rsid w:val="66967370"/>
    <w:rsid w:val="66C537B1"/>
    <w:rsid w:val="66E005EB"/>
    <w:rsid w:val="66E16111"/>
    <w:rsid w:val="66F37636"/>
    <w:rsid w:val="670A2DA3"/>
    <w:rsid w:val="671C2F0D"/>
    <w:rsid w:val="67472418"/>
    <w:rsid w:val="676273A8"/>
    <w:rsid w:val="677A0EB9"/>
    <w:rsid w:val="67B101D9"/>
    <w:rsid w:val="67B75B18"/>
    <w:rsid w:val="67B850C4"/>
    <w:rsid w:val="67C972D1"/>
    <w:rsid w:val="67CC0B6F"/>
    <w:rsid w:val="67DD2D7C"/>
    <w:rsid w:val="67E91721"/>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D0A15"/>
    <w:rsid w:val="69A00505"/>
    <w:rsid w:val="69A2427D"/>
    <w:rsid w:val="69BA1345"/>
    <w:rsid w:val="69D07FD1"/>
    <w:rsid w:val="69F566F5"/>
    <w:rsid w:val="69FA7C16"/>
    <w:rsid w:val="6A170B7C"/>
    <w:rsid w:val="6A2151A2"/>
    <w:rsid w:val="6A2627B9"/>
    <w:rsid w:val="6A2702BC"/>
    <w:rsid w:val="6A331379"/>
    <w:rsid w:val="6A3C1FDC"/>
    <w:rsid w:val="6A577A5F"/>
    <w:rsid w:val="6A647785"/>
    <w:rsid w:val="6A701C86"/>
    <w:rsid w:val="6A894DD0"/>
    <w:rsid w:val="6A8D0A8A"/>
    <w:rsid w:val="6A9E2C97"/>
    <w:rsid w:val="6AB763D1"/>
    <w:rsid w:val="6AB83C70"/>
    <w:rsid w:val="6AC01C35"/>
    <w:rsid w:val="6AC27BFE"/>
    <w:rsid w:val="6AC93F86"/>
    <w:rsid w:val="6ADB13C7"/>
    <w:rsid w:val="6AFE7291"/>
    <w:rsid w:val="6B0D2C0B"/>
    <w:rsid w:val="6B160A7F"/>
    <w:rsid w:val="6B1747F7"/>
    <w:rsid w:val="6B19231D"/>
    <w:rsid w:val="6B301415"/>
    <w:rsid w:val="6B5965FE"/>
    <w:rsid w:val="6B5C6B1E"/>
    <w:rsid w:val="6B5E41D4"/>
    <w:rsid w:val="6B8005EE"/>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D01102"/>
    <w:rsid w:val="6CD75FEC"/>
    <w:rsid w:val="6CDE737B"/>
    <w:rsid w:val="6CE24244"/>
    <w:rsid w:val="6D176D30"/>
    <w:rsid w:val="6D1F7993"/>
    <w:rsid w:val="6D2232F1"/>
    <w:rsid w:val="6D4A0EB4"/>
    <w:rsid w:val="6D975A3E"/>
    <w:rsid w:val="6D9914F3"/>
    <w:rsid w:val="6DAD528E"/>
    <w:rsid w:val="6DBF7D15"/>
    <w:rsid w:val="6DDB21D3"/>
    <w:rsid w:val="6DDF5000"/>
    <w:rsid w:val="6DE24C48"/>
    <w:rsid w:val="6E160D96"/>
    <w:rsid w:val="6E1F3036"/>
    <w:rsid w:val="6E2C05BA"/>
    <w:rsid w:val="6E3000AA"/>
    <w:rsid w:val="6E3B3456"/>
    <w:rsid w:val="6E4E22DE"/>
    <w:rsid w:val="6E645FA5"/>
    <w:rsid w:val="6E751F61"/>
    <w:rsid w:val="6E810366"/>
    <w:rsid w:val="6E881C94"/>
    <w:rsid w:val="6E9218A4"/>
    <w:rsid w:val="6EC364B5"/>
    <w:rsid w:val="6EC407F2"/>
    <w:rsid w:val="6EE449F0"/>
    <w:rsid w:val="6EF62128"/>
    <w:rsid w:val="6F3239AE"/>
    <w:rsid w:val="6F4C2993"/>
    <w:rsid w:val="6F5F0599"/>
    <w:rsid w:val="6F765F90"/>
    <w:rsid w:val="6F7B35A7"/>
    <w:rsid w:val="6FB22D40"/>
    <w:rsid w:val="6FBB68FC"/>
    <w:rsid w:val="6FDC1B6B"/>
    <w:rsid w:val="6FE0165C"/>
    <w:rsid w:val="6FE90800"/>
    <w:rsid w:val="701D465E"/>
    <w:rsid w:val="7023779A"/>
    <w:rsid w:val="702754DC"/>
    <w:rsid w:val="70281CF1"/>
    <w:rsid w:val="702F4391"/>
    <w:rsid w:val="705B0CE2"/>
    <w:rsid w:val="706C2EEF"/>
    <w:rsid w:val="706D1F44"/>
    <w:rsid w:val="706E4EB9"/>
    <w:rsid w:val="707B1384"/>
    <w:rsid w:val="70AA118A"/>
    <w:rsid w:val="70B97A34"/>
    <w:rsid w:val="70BE3020"/>
    <w:rsid w:val="70C42D2B"/>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CB03A1"/>
    <w:rsid w:val="72D03C09"/>
    <w:rsid w:val="72F37EB8"/>
    <w:rsid w:val="72F71196"/>
    <w:rsid w:val="73190D85"/>
    <w:rsid w:val="731F693F"/>
    <w:rsid w:val="732E6B82"/>
    <w:rsid w:val="734C3D25"/>
    <w:rsid w:val="73634A7D"/>
    <w:rsid w:val="736425A4"/>
    <w:rsid w:val="7372081D"/>
    <w:rsid w:val="738343C3"/>
    <w:rsid w:val="73F90F3E"/>
    <w:rsid w:val="7419338E"/>
    <w:rsid w:val="74341F76"/>
    <w:rsid w:val="74485A21"/>
    <w:rsid w:val="745D7A02"/>
    <w:rsid w:val="746E5488"/>
    <w:rsid w:val="747C35A9"/>
    <w:rsid w:val="74BE7A92"/>
    <w:rsid w:val="74D42813"/>
    <w:rsid w:val="750D2EF3"/>
    <w:rsid w:val="751F654B"/>
    <w:rsid w:val="752D5343"/>
    <w:rsid w:val="75322959"/>
    <w:rsid w:val="753C5586"/>
    <w:rsid w:val="75686BCC"/>
    <w:rsid w:val="75693EA1"/>
    <w:rsid w:val="75752846"/>
    <w:rsid w:val="75842A89"/>
    <w:rsid w:val="75932CCC"/>
    <w:rsid w:val="75AF45AE"/>
    <w:rsid w:val="75B275F6"/>
    <w:rsid w:val="75D237F5"/>
    <w:rsid w:val="75DE03EB"/>
    <w:rsid w:val="760D7FB3"/>
    <w:rsid w:val="76391AC6"/>
    <w:rsid w:val="764346F2"/>
    <w:rsid w:val="7645046A"/>
    <w:rsid w:val="764C557E"/>
    <w:rsid w:val="765C57B4"/>
    <w:rsid w:val="767174B1"/>
    <w:rsid w:val="76780840"/>
    <w:rsid w:val="76783F68"/>
    <w:rsid w:val="76793892"/>
    <w:rsid w:val="76941B1A"/>
    <w:rsid w:val="76AD7DBE"/>
    <w:rsid w:val="76DE441B"/>
    <w:rsid w:val="76E45ED5"/>
    <w:rsid w:val="770D1EB1"/>
    <w:rsid w:val="77147E3D"/>
    <w:rsid w:val="771A3ADA"/>
    <w:rsid w:val="7725204A"/>
    <w:rsid w:val="7730111A"/>
    <w:rsid w:val="77391FC6"/>
    <w:rsid w:val="773D3837"/>
    <w:rsid w:val="7746449A"/>
    <w:rsid w:val="77551879"/>
    <w:rsid w:val="776963DA"/>
    <w:rsid w:val="776D0DB5"/>
    <w:rsid w:val="779C40BA"/>
    <w:rsid w:val="779F1CDF"/>
    <w:rsid w:val="77AB69F3"/>
    <w:rsid w:val="77B07A95"/>
    <w:rsid w:val="77C6382D"/>
    <w:rsid w:val="77E048EF"/>
    <w:rsid w:val="780C3B22"/>
    <w:rsid w:val="787D038F"/>
    <w:rsid w:val="78960636"/>
    <w:rsid w:val="789F0530"/>
    <w:rsid w:val="78AC169E"/>
    <w:rsid w:val="78B96EEE"/>
    <w:rsid w:val="78C0027C"/>
    <w:rsid w:val="78CA55CE"/>
    <w:rsid w:val="78DC11E9"/>
    <w:rsid w:val="78EF46BD"/>
    <w:rsid w:val="78F9488B"/>
    <w:rsid w:val="78FB12B4"/>
    <w:rsid w:val="79074B53"/>
    <w:rsid w:val="790E7239"/>
    <w:rsid w:val="79257DFE"/>
    <w:rsid w:val="793A6280"/>
    <w:rsid w:val="794C5FB4"/>
    <w:rsid w:val="795E5094"/>
    <w:rsid w:val="79716072"/>
    <w:rsid w:val="797A667D"/>
    <w:rsid w:val="797D43BF"/>
    <w:rsid w:val="79870D9A"/>
    <w:rsid w:val="79993610"/>
    <w:rsid w:val="79B81A3C"/>
    <w:rsid w:val="79C478F8"/>
    <w:rsid w:val="79DD60B2"/>
    <w:rsid w:val="79EA1A55"/>
    <w:rsid w:val="79FA5A10"/>
    <w:rsid w:val="79FF6B82"/>
    <w:rsid w:val="7A2D118F"/>
    <w:rsid w:val="7A356A48"/>
    <w:rsid w:val="7A454EDD"/>
    <w:rsid w:val="7A551C2F"/>
    <w:rsid w:val="7A5769BE"/>
    <w:rsid w:val="7A8157E9"/>
    <w:rsid w:val="7A833F3B"/>
    <w:rsid w:val="7AE26947"/>
    <w:rsid w:val="7AF661D7"/>
    <w:rsid w:val="7AF75AAB"/>
    <w:rsid w:val="7B220D7A"/>
    <w:rsid w:val="7B2F3497"/>
    <w:rsid w:val="7B2F5245"/>
    <w:rsid w:val="7B430CF1"/>
    <w:rsid w:val="7B5237E2"/>
    <w:rsid w:val="7B786BEC"/>
    <w:rsid w:val="7B940C71"/>
    <w:rsid w:val="7BA7127F"/>
    <w:rsid w:val="7BBA7D61"/>
    <w:rsid w:val="7BC24845"/>
    <w:rsid w:val="7C430CD5"/>
    <w:rsid w:val="7C4371FA"/>
    <w:rsid w:val="7C796B83"/>
    <w:rsid w:val="7C7C270C"/>
    <w:rsid w:val="7C913580"/>
    <w:rsid w:val="7CA659DB"/>
    <w:rsid w:val="7CCB222D"/>
    <w:rsid w:val="7CD24A22"/>
    <w:rsid w:val="7CD930BA"/>
    <w:rsid w:val="7CFE0C47"/>
    <w:rsid w:val="7D006E99"/>
    <w:rsid w:val="7D366D5F"/>
    <w:rsid w:val="7D4F5B8A"/>
    <w:rsid w:val="7D517499"/>
    <w:rsid w:val="7D6F401F"/>
    <w:rsid w:val="7D752025"/>
    <w:rsid w:val="7D9D0B8C"/>
    <w:rsid w:val="7D9F1E09"/>
    <w:rsid w:val="7DA168CE"/>
    <w:rsid w:val="7DA56368"/>
    <w:rsid w:val="7DBB54B6"/>
    <w:rsid w:val="7DDD542C"/>
    <w:rsid w:val="7E0368D8"/>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qFormat/>
    <w:uiPriority w:val="1"/>
    <w:rPr>
      <w:rFonts w:ascii="仿宋" w:hAnsi="仿宋" w:eastAsia="仿宋" w:cs="仿宋"/>
      <w:sz w:val="30"/>
      <w:szCs w:val="30"/>
      <w:lang w:val="zh-CN" w:eastAsia="zh-CN" w:bidi="zh-CN"/>
    </w:rPr>
  </w:style>
  <w:style w:type="paragraph" w:styleId="4">
    <w:name w:val="Body Text Indent"/>
    <w:basedOn w:val="1"/>
    <w:autoRedefine/>
    <w:qFormat/>
    <w:uiPriority w:val="99"/>
    <w:pPr>
      <w:ind w:firstLine="525"/>
      <w:jc w:val="left"/>
    </w:pPr>
    <w:rPr>
      <w:rFonts w:ascii="宋体" w:hAnsi="Times New Roman" w:cs="Times New Roman"/>
      <w:sz w:val="28"/>
      <w:szCs w:val="2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autoRedefine/>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autoRedefine/>
    <w:qFormat/>
    <w:uiPriority w:val="0"/>
    <w:pPr>
      <w:ind w:leftChars="0"/>
    </w:pPr>
    <w:rPr>
      <w:rFonts w:ascii="Calibri" w:hAnsi="Calibri" w:eastAsia="宋体" w:cs="Times New Roman"/>
      <w:sz w:val="20"/>
      <w:szCs w:val="20"/>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11750</Words>
  <Characters>12240</Characters>
  <Lines>0</Lines>
  <Paragraphs>0</Paragraphs>
  <TotalTime>4</TotalTime>
  <ScaleCrop>false</ScaleCrop>
  <LinksUpToDate>false</LinksUpToDate>
  <CharactersWithSpaces>13263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招采中心2</cp:lastModifiedBy>
  <cp:lastPrinted>2023-05-22T02:04:00Z</cp:lastPrinted>
  <dcterms:modified xsi:type="dcterms:W3CDTF">2024-08-06T00:20:16Z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B5BA5962C96E46D4B387E7778D0DB23B_13</vt:lpwstr>
  </property>
</Properties>
</file>